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360" w:lineRule="auto"/>
        <w:jc w:val="center"/>
        <w:rPr>
          <w:rFonts w:hint="default" w:ascii="宋体" w:hAnsi="宋体" w:eastAsia="宋体" w:cs="宋体"/>
          <w:b/>
          <w:bCs/>
          <w:snapToGrid w:val="0"/>
          <w:sz w:val="32"/>
          <w:szCs w:val="32"/>
          <w:lang w:val="en-US" w:eastAsia="zh-CN"/>
        </w:rPr>
      </w:pPr>
      <w:bookmarkStart w:id="0" w:name="_Toc8445"/>
      <w:r>
        <w:rPr>
          <w:rFonts w:hint="eastAsia" w:ascii="宋体" w:hAnsi="宋体" w:eastAsia="宋体" w:cs="宋体"/>
          <w:b/>
          <w:bCs/>
          <w:snapToGrid w:val="0"/>
          <w:sz w:val="32"/>
          <w:szCs w:val="32"/>
          <w:lang w:val="en-US" w:eastAsia="zh-CN"/>
        </w:rPr>
        <w:t>标的3</w:t>
      </w:r>
    </w:p>
    <w:p>
      <w:pPr>
        <w:pStyle w:val="7"/>
        <w:adjustRightInd w:val="0"/>
        <w:snapToGrid w:val="0"/>
        <w:spacing w:line="360" w:lineRule="auto"/>
        <w:ind w:firstLine="562" w:firstLineChars="200"/>
        <w:jc w:val="center"/>
        <w:outlineLvl w:val="0"/>
        <w:rPr>
          <w:rFonts w:hint="eastAsia" w:hAnsi="宋体" w:cs="宋体"/>
          <w:b/>
          <w:color w:val="FF0000"/>
          <w:sz w:val="28"/>
          <w:szCs w:val="28"/>
        </w:rPr>
      </w:pPr>
      <w:r>
        <w:rPr>
          <w:rFonts w:hint="eastAsia" w:hAnsi="宋体" w:cs="宋体"/>
          <w:b/>
          <w:bCs/>
          <w:snapToGrid w:val="0"/>
          <w:sz w:val="28"/>
          <w:szCs w:val="28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sz w:val="28"/>
          <w:szCs w:val="28"/>
        </w:rPr>
        <w:t>名称：500千伏江城输变电工程施工1标</w:t>
      </w:r>
    </w:p>
    <w:tbl>
      <w:tblPr>
        <w:tblStyle w:val="12"/>
        <w:tblW w:w="7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szCs w:val="21"/>
              </w:rPr>
              <w:t>项目</w:t>
            </w:r>
          </w:p>
        </w:tc>
        <w:tc>
          <w:tcPr>
            <w:tcW w:w="3473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szCs w:val="21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项目建设单位</w:t>
            </w:r>
          </w:p>
        </w:tc>
        <w:tc>
          <w:tcPr>
            <w:tcW w:w="3473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云南电网有限责任公司</w:t>
            </w:r>
            <w:r>
              <w:rPr>
                <w:rFonts w:hint="eastAsia" w:hAnsi="宋体" w:cs="宋体"/>
                <w:szCs w:val="21"/>
              </w:rPr>
              <w:t>建设分公司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项目建设地点</w:t>
            </w:r>
          </w:p>
        </w:tc>
        <w:tc>
          <w:tcPr>
            <w:tcW w:w="3473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szCs w:val="21"/>
              </w:rPr>
            </w:pPr>
            <w:r>
              <w:rPr>
                <w:rFonts w:hint="eastAsia" w:hAnsi="宋体" w:eastAsia="宋体" w:cs="宋体"/>
                <w:szCs w:val="21"/>
              </w:rPr>
              <w:t>普洱市江城哈尼族彝族自治县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可研批复文号</w:t>
            </w:r>
          </w:p>
        </w:tc>
        <w:tc>
          <w:tcPr>
            <w:tcW w:w="3473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hAnsi="宋体" w:eastAsia="宋体" w:cs="宋体"/>
                <w:snapToGrid w:val="0"/>
                <w:szCs w:val="21"/>
              </w:rPr>
            </w:pPr>
            <w:r>
              <w:rPr>
                <w:rFonts w:hint="eastAsia" w:hAnsi="宋体" w:eastAsia="宋体" w:cs="宋体"/>
                <w:szCs w:val="21"/>
              </w:rPr>
              <w:t>南方电网规划[2025]44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项目核准、备案文号</w:t>
            </w:r>
          </w:p>
        </w:tc>
        <w:tc>
          <w:tcPr>
            <w:tcW w:w="3473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hAnsi="宋体" w:eastAsia="宋体" w:cs="宋体"/>
                <w:snapToGrid w:val="0"/>
                <w:szCs w:val="21"/>
                <w:highlight w:val="cyan"/>
              </w:rPr>
            </w:pPr>
            <w:r>
              <w:rPr>
                <w:rFonts w:hint="eastAsia" w:hAnsi="宋体" w:eastAsia="宋体" w:cs="宋体"/>
                <w:szCs w:val="21"/>
              </w:rPr>
              <w:t>云发改能源[2025]951号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资金落实情况</w:t>
            </w:r>
          </w:p>
        </w:tc>
        <w:tc>
          <w:tcPr>
            <w:tcW w:w="3473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云电规划〔2025〕881号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初设批复文号</w:t>
            </w:r>
          </w:p>
        </w:tc>
        <w:tc>
          <w:tcPr>
            <w:tcW w:w="3473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南方电网工程〔2026〕5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施工图预算批复文号</w:t>
            </w:r>
          </w:p>
        </w:tc>
        <w:tc>
          <w:tcPr>
            <w:tcW w:w="347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前期的设计或咨询服务单位名称</w:t>
            </w:r>
          </w:p>
        </w:tc>
        <w:tc>
          <w:tcPr>
            <w:tcW w:w="347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中国能源建设集团云南省电力设计院有限公司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项目监理单位</w:t>
            </w:r>
          </w:p>
        </w:tc>
        <w:tc>
          <w:tcPr>
            <w:tcW w:w="347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Cs w:val="21"/>
              </w:rPr>
              <w:t>/</w:t>
            </w:r>
          </w:p>
        </w:tc>
      </w:tr>
    </w:tbl>
    <w:p>
      <w:pPr>
        <w:pStyle w:val="7"/>
        <w:adjustRightInd w:val="0"/>
        <w:snapToGrid w:val="0"/>
        <w:spacing w:line="360" w:lineRule="auto"/>
        <w:ind w:firstLine="562" w:firstLineChars="200"/>
        <w:jc w:val="center"/>
        <w:outlineLvl w:val="0"/>
        <w:rPr>
          <w:rFonts w:hint="eastAsia" w:hAnsi="宋体" w:cs="宋体"/>
          <w:b/>
          <w:color w:val="FF0000"/>
          <w:sz w:val="28"/>
          <w:szCs w:val="28"/>
        </w:rPr>
      </w:pPr>
    </w:p>
    <w:bookmarkEnd w:id="0"/>
    <w:p>
      <w:pPr>
        <w:pStyle w:val="7"/>
        <w:numPr>
          <w:ilvl w:val="0"/>
          <w:numId w:val="1"/>
        </w:numPr>
        <w:adjustRightInd w:val="0"/>
        <w:snapToGrid w:val="0"/>
        <w:spacing w:line="360" w:lineRule="auto"/>
        <w:ind w:firstLine="0"/>
        <w:outlineLvl w:val="0"/>
        <w:rPr>
          <w:rFonts w:hint="eastAsia" w:ascii="宋体" w:hAnsi="宋体" w:eastAsia="宋体" w:cs="宋体"/>
          <w:b/>
          <w:sz w:val="24"/>
        </w:rPr>
      </w:pPr>
      <w:r>
        <w:rPr>
          <w:rFonts w:hint="eastAsia" w:hAnsi="宋体" w:eastAsia="宋体" w:cs="宋体"/>
          <w:b/>
          <w:sz w:val="24"/>
        </w:rPr>
        <w:t>建设规模</w:t>
      </w:r>
    </w:p>
    <w:p>
      <w:pPr>
        <w:pStyle w:val="7"/>
        <w:spacing w:line="360" w:lineRule="auto"/>
        <w:ind w:firstLine="482" w:firstLineChars="200"/>
        <w:rPr>
          <w:rFonts w:hint="eastAsia"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 xml:space="preserve">1. 500千伏江城变电站新建工程 </w:t>
      </w:r>
    </w:p>
    <w:p>
      <w:pPr>
        <w:pStyle w:val="7"/>
        <w:spacing w:line="360" w:lineRule="auto"/>
        <w:ind w:firstLine="480" w:firstLineChars="200"/>
        <w:rPr>
          <w:rFonts w:hint="eastAsia"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（1）主变压器：远期规模 4×1000MVA，本期规模 2×1000MVA。</w:t>
      </w:r>
    </w:p>
    <w:p>
      <w:pPr>
        <w:pStyle w:val="7"/>
        <w:spacing w:line="360" w:lineRule="auto"/>
        <w:ind w:firstLine="480" w:firstLineChars="200"/>
        <w:rPr>
          <w:rFonts w:hint="eastAsia"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（2）1、500kV：最终出线10回。本期出线2回接入500kV通宝变，中老滇西南配套工程从版纳变接入1回。备用出线7回，备用出线方向分别为南方向2回、通宝方向1回、西方向2回、抽水蓄能1回、版纳方向1回。</w:t>
      </w:r>
    </w:p>
    <w:p>
      <w:pPr>
        <w:pStyle w:val="7"/>
        <w:spacing w:line="360" w:lineRule="auto"/>
        <w:ind w:firstLine="480" w:firstLineChars="200"/>
        <w:rPr>
          <w:rFonts w:hint="eastAsia"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（3）220kV：220kV 侧远期出线 16 回，本期出线 6 回，其中 4 回线路接入，2 回为电气间隔。已确定的4回出线分别至老白寨光伏1回、“Π”接墨江变~戈兰滩水电站线路2回、坝伞村光伏电站1回。电气间隔2回出线至220kV勐烈变电站。</w:t>
      </w:r>
    </w:p>
    <w:p>
      <w:pPr>
        <w:pStyle w:val="7"/>
        <w:spacing w:line="360" w:lineRule="auto"/>
        <w:ind w:firstLine="480" w:firstLineChars="200"/>
        <w:rPr>
          <w:rFonts w:hint="eastAsia"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（4）低压无功：本期 2 台主变低压侧各装设 2 组 60Mvar低压电容器和 1 组 60MVar 低压电抗器、各预留 1 组 60MVar低压电抗器和 1 组 60MVar STATCOM；2 台备用主变低压侧各预留 3 组 60MVar 低压电容器和 2 组 60MVar 低压电抗器。</w:t>
      </w:r>
    </w:p>
    <w:p>
      <w:pPr>
        <w:pStyle w:val="7"/>
        <w:spacing w:line="360" w:lineRule="auto"/>
        <w:ind w:firstLine="480" w:firstLineChars="200"/>
        <w:rPr>
          <w:rFonts w:hint="eastAsia"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5）线路高抗：本期500kV江城~通宝Ⅰ回江城侧装设1×180Mvar线路高抗，500kV江城~通宝Ⅱ回通宝侧装设1×180Mvar线路高抗。远期备用西方向2回、南方向其中1回、通宝第3回江城侧预留线路高抗位置，备用至版纳变1回利用版纳变线路高抗位置，备用至抽水蓄能、南方向另1回江城侧不预留线路高抗位置。</w:t>
      </w:r>
    </w:p>
    <w:p>
      <w:pPr>
        <w:pStyle w:val="7"/>
        <w:spacing w:line="360" w:lineRule="auto"/>
        <w:ind w:firstLine="482" w:firstLineChars="200"/>
        <w:rPr>
          <w:rFonts w:hint="eastAsia"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2.500千伏通宝变电站间隔扩建工程</w:t>
      </w:r>
    </w:p>
    <w:p>
      <w:pPr>
        <w:pStyle w:val="7"/>
        <w:spacing w:line="360" w:lineRule="auto"/>
        <w:ind w:firstLine="480" w:firstLineChars="200"/>
        <w:rPr>
          <w:rFonts w:hint="eastAsia"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扩建至通宝变500kV出线间隔2个。500kV 电气设备额定电流按5000A、额定短路开断电流水平按63kA选择。</w:t>
      </w:r>
    </w:p>
    <w:p>
      <w:pPr>
        <w:pStyle w:val="7"/>
        <w:numPr>
          <w:ilvl w:val="0"/>
          <w:numId w:val="1"/>
        </w:numPr>
        <w:adjustRightInd w:val="0"/>
        <w:snapToGrid w:val="0"/>
        <w:spacing w:line="360" w:lineRule="auto"/>
        <w:ind w:firstLine="0"/>
        <w:outlineLvl w:val="0"/>
        <w:rPr>
          <w:rFonts w:hint="eastAsia" w:ascii="宋体" w:hAnsi="宋体" w:eastAsia="宋体" w:cs="宋体"/>
          <w:b/>
          <w:sz w:val="24"/>
          <w:shd w:val="clear" w:color="auto" w:fill="FFFFFF"/>
        </w:rPr>
      </w:pPr>
      <w:r>
        <w:rPr>
          <w:rFonts w:hint="eastAsia" w:ascii="宋体" w:hAnsi="宋体" w:eastAsia="宋体" w:cs="宋体"/>
          <w:b/>
          <w:sz w:val="24"/>
          <w:shd w:val="clear" w:color="auto" w:fill="FFFFFF"/>
        </w:rPr>
        <w:t>采购范围</w:t>
      </w:r>
      <w:bookmarkStart w:id="1" w:name="施工招标范围综合"/>
      <w:r>
        <w:rPr>
          <w:rFonts w:hint="eastAsia" w:hAnsi="宋体" w:eastAsia="宋体" w:cs="宋体"/>
          <w:b/>
          <w:sz w:val="24"/>
          <w:shd w:val="clear" w:color="auto" w:fill="FFFFFF"/>
        </w:rPr>
        <w:t xml:space="preserve"> </w:t>
      </w:r>
    </w:p>
    <w:bookmarkEnd w:id="1"/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（一）施工图纸范围内的场平、土建、变电建筑、安装、通信（包括配套光设备工程安装及调试）及调试工程：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1、调试工程不含计量用互感器的误差试验、电能表校验。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2、不含桩基检测、安健环设施标准化费用、视觉识别系统、电力设施保护区标牌设置。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3、新建变电站或扩建变电站需征地的，征地范围内的原附着物的赔偿（包括土地、房屋、青苗、林木、迁坟、其他构建筑物的赔偿）由招标人负责，征地范围内的原附着物的拆除清理（包括房屋、青苗林木、其他构建筑物的拆除清理等）以及临时占地恢复（临时设施拆除后进行土地整治、植被恢复工作直至验收合格）由投标人负责。征地范围外的原附着物的赔偿（若涉及土地、房屋、青苗、林木、迁坟、其他构建筑物的赔偿）由招标人负责，征地范围外的原附着物的拆除清理（若涉及房屋、青苗林木、其他构建筑物的拆除清理等）以及临时占地恢复（临时设施拆除后进行土地整治、植被恢复工作直至验收合格）由投标人负责。</w:t>
      </w:r>
    </w:p>
    <w:p>
      <w:pPr>
        <w:spacing w:line="400" w:lineRule="exact"/>
        <w:ind w:firstLine="420" w:firstLineChars="200"/>
        <w:rPr>
          <w:rFonts w:hint="eastAsia" w:ascii="宋体" w:hAnsi="宋体" w:cs="宋体"/>
          <w:b/>
          <w:bCs/>
          <w:snapToGrid w:val="0"/>
          <w:kern w:val="0"/>
          <w:szCs w:val="21"/>
          <w:highlight w:val="yellow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4、变电站二期扩建工程及扩建间隔工程不征地，但需要拆除部分基础或设备的，其拆除及运输（废旧物资运输至建设单位指定地点）工作由投标人负责。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hint="eastAsia" w:ascii="宋体" w:hAnsi="宋体" w:cs="宋体"/>
          <w:b/>
          <w:bCs/>
          <w:snapToGrid w:val="0"/>
          <w:color w:val="FF0000"/>
          <w:kern w:val="0"/>
          <w:szCs w:val="21"/>
        </w:rPr>
      </w:pPr>
      <w:r>
        <w:rPr>
          <w:rFonts w:hint="eastAsia" w:ascii="宋体" w:hAnsi="宋体" w:cs="宋体"/>
          <w:b/>
          <w:bCs/>
          <w:snapToGrid w:val="0"/>
          <w:kern w:val="0"/>
          <w:szCs w:val="21"/>
        </w:rPr>
        <w:t>特殊调试清单：见附件。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（二）建筑工程、安装工程部分具体要求如下：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1、建筑工程：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（1）建筑工程设备除空调、通风机、消防器材由投标人自行采购外，其余如消防设备、管道、阀门、消火栓及供水设备等均由招标人供应。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2）对采用钢管构支架的，避雷针、站内出线铁塔、爬梯、节点等钢结构均由招标人供应，其余材料均由投标人自行采购；对采用混凝土环形管构支架，避雷针、站内出线铁塔、爬梯、节点等材料均由投标人自行采购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3）变电站标准件（户外检修电源箱、户外动力箱、户外端子箱）由招标人采购，变电站照明配电箱、户内动力配电箱、户内检修电源箱、电缆支架、电缆桥架、门类、窗类、混凝土盖板、复合盖板由投标人供应。</w:t>
      </w:r>
    </w:p>
    <w:p>
      <w:pPr>
        <w:pStyle w:val="3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（4）站内打井、施工电源、永久外引电源（永久外引电源除甲供设备及材料外）工作由投标人负责。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2、安装工程：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（1）所有设备（含通信设备）及随设备供货的封闭母线桥均由招标人供应。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2）主要材料中10kV及以上电缆头、金具（含线夹、间隔棒）、绝缘子、管型母线及管母金具、封闭母线桥、10kV绝缘铜管母线、穿墙套管、全站电缆（不含照明电缆、站内通信电缆）由招标人供应。其余材料均由投标人自行采购。</w:t>
      </w:r>
    </w:p>
    <w:p/>
    <w:p>
      <w:pPr>
        <w:pStyle w:val="7"/>
        <w:numPr>
          <w:ilvl w:val="0"/>
          <w:numId w:val="1"/>
        </w:numPr>
        <w:adjustRightInd w:val="0"/>
        <w:snapToGrid w:val="0"/>
        <w:spacing w:line="360" w:lineRule="auto"/>
        <w:ind w:firstLine="0"/>
        <w:outlineLvl w:val="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承包方式</w:t>
      </w:r>
      <w:r>
        <w:rPr>
          <w:rFonts w:hint="eastAsia" w:hAnsi="宋体" w:eastAsia="宋体" w:cs="宋体"/>
          <w:b/>
          <w:sz w:val="24"/>
        </w:rPr>
        <w:t xml:space="preserve"> </w:t>
      </w:r>
    </w:p>
    <w:p>
      <w:pPr>
        <w:pStyle w:val="7"/>
        <w:spacing w:line="360" w:lineRule="auto"/>
        <w:ind w:firstLine="420" w:firstLineChars="200"/>
        <w:rPr>
          <w:rFonts w:hint="eastAsia" w:ascii="宋体" w:hAnsi="宋体" w:eastAsia="宋体" w:cs="宋体"/>
          <w:snapToGrid w:val="0"/>
          <w:szCs w:val="21"/>
        </w:rPr>
      </w:pPr>
      <w:bookmarkStart w:id="2" w:name="XmInfoEntity_SGCBFS_0_1"/>
      <w:r>
        <w:rPr>
          <w:rFonts w:hint="eastAsia" w:ascii="宋体" w:hAnsi="宋体" w:eastAsia="宋体" w:cs="宋体"/>
          <w:snapToGrid w:val="0"/>
          <w:szCs w:val="21"/>
        </w:rPr>
        <w:t>包工、部分包料。</w:t>
      </w:r>
      <w:bookmarkEnd w:id="2"/>
    </w:p>
    <w:p>
      <w:pPr>
        <w:pStyle w:val="7"/>
        <w:spacing w:line="360" w:lineRule="auto"/>
        <w:ind w:firstLine="420" w:firstLineChars="200"/>
        <w:rPr>
          <w:rFonts w:hint="eastAsia" w:ascii="宋体" w:hAnsi="宋体" w:eastAsia="宋体" w:cs="宋体"/>
          <w:snapToGrid w:val="0"/>
          <w:szCs w:val="21"/>
        </w:rPr>
      </w:pPr>
      <w:r>
        <w:rPr>
          <w:rFonts w:hint="eastAsia" w:ascii="宋体" w:hAnsi="宋体" w:eastAsia="宋体" w:cs="宋体"/>
          <w:snapToGrid w:val="0"/>
          <w:szCs w:val="21"/>
        </w:rPr>
        <w:t>甲供物资清单：见附件</w:t>
      </w:r>
    </w:p>
    <w:p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AE7B85"/>
    <w:multiLevelType w:val="multilevel"/>
    <w:tmpl w:val="14AE7B85"/>
    <w:lvl w:ilvl="0" w:tentative="0">
      <w:start w:val="1"/>
      <w:numFmt w:val="chineseCounting"/>
      <w:suff w:val="nothing"/>
      <w:lvlText w:val="%1、"/>
      <w:lvlJc w:val="left"/>
      <w:pPr>
        <w:ind w:left="0" w:hanging="336"/>
      </w:pPr>
      <w:rPr>
        <w:rFonts w:hint="eastAsia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0D71D5"/>
    <w:rsid w:val="0001755F"/>
    <w:rsid w:val="000A693A"/>
    <w:rsid w:val="00101070"/>
    <w:rsid w:val="00131065"/>
    <w:rsid w:val="00165DE3"/>
    <w:rsid w:val="002334D9"/>
    <w:rsid w:val="0033531F"/>
    <w:rsid w:val="00465E9D"/>
    <w:rsid w:val="004E74E7"/>
    <w:rsid w:val="005B43BD"/>
    <w:rsid w:val="006B3878"/>
    <w:rsid w:val="00723EED"/>
    <w:rsid w:val="007C4687"/>
    <w:rsid w:val="00887F9A"/>
    <w:rsid w:val="00916962"/>
    <w:rsid w:val="00936AF1"/>
    <w:rsid w:val="00B52954"/>
    <w:rsid w:val="00C07625"/>
    <w:rsid w:val="00CC0EB8"/>
    <w:rsid w:val="00DF340A"/>
    <w:rsid w:val="00E30DE6"/>
    <w:rsid w:val="00E47AEC"/>
    <w:rsid w:val="00E538E4"/>
    <w:rsid w:val="00FF63AF"/>
    <w:rsid w:val="025D36FE"/>
    <w:rsid w:val="071B3875"/>
    <w:rsid w:val="08544DF7"/>
    <w:rsid w:val="0AB34E04"/>
    <w:rsid w:val="0B756CCA"/>
    <w:rsid w:val="101358D9"/>
    <w:rsid w:val="1096538D"/>
    <w:rsid w:val="1110038B"/>
    <w:rsid w:val="12297CF9"/>
    <w:rsid w:val="124F0287"/>
    <w:rsid w:val="16895607"/>
    <w:rsid w:val="178611B3"/>
    <w:rsid w:val="1BA63B03"/>
    <w:rsid w:val="1C8F30AE"/>
    <w:rsid w:val="212A7BFC"/>
    <w:rsid w:val="214777F1"/>
    <w:rsid w:val="216A4702"/>
    <w:rsid w:val="21DE176F"/>
    <w:rsid w:val="22683671"/>
    <w:rsid w:val="28A1733A"/>
    <w:rsid w:val="2E1A645B"/>
    <w:rsid w:val="2F9059E2"/>
    <w:rsid w:val="32E840EF"/>
    <w:rsid w:val="33157234"/>
    <w:rsid w:val="37AC2A04"/>
    <w:rsid w:val="38EB3928"/>
    <w:rsid w:val="3E642A25"/>
    <w:rsid w:val="40F80970"/>
    <w:rsid w:val="41046039"/>
    <w:rsid w:val="44F901B8"/>
    <w:rsid w:val="45712592"/>
    <w:rsid w:val="46A7570B"/>
    <w:rsid w:val="46B60F87"/>
    <w:rsid w:val="46CA2092"/>
    <w:rsid w:val="480C50DB"/>
    <w:rsid w:val="494A71CD"/>
    <w:rsid w:val="49C37D91"/>
    <w:rsid w:val="4AA54ED9"/>
    <w:rsid w:val="4D1B7EC6"/>
    <w:rsid w:val="4E01792C"/>
    <w:rsid w:val="4E0E17AA"/>
    <w:rsid w:val="55AF7E22"/>
    <w:rsid w:val="58055804"/>
    <w:rsid w:val="588A581C"/>
    <w:rsid w:val="59AE021F"/>
    <w:rsid w:val="59B73677"/>
    <w:rsid w:val="62402261"/>
    <w:rsid w:val="64AC2938"/>
    <w:rsid w:val="65904792"/>
    <w:rsid w:val="663A2F15"/>
    <w:rsid w:val="67246111"/>
    <w:rsid w:val="6AF57C40"/>
    <w:rsid w:val="6C73245F"/>
    <w:rsid w:val="704851B6"/>
    <w:rsid w:val="72C01AD3"/>
    <w:rsid w:val="72F773E8"/>
    <w:rsid w:val="740D71D5"/>
    <w:rsid w:val="74FB420B"/>
    <w:rsid w:val="753B6497"/>
    <w:rsid w:val="76C147B3"/>
    <w:rsid w:val="76D03860"/>
    <w:rsid w:val="7A291E51"/>
    <w:rsid w:val="7B16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unhideWhenUsed/>
    <w:qFormat/>
    <w:uiPriority w:val="99"/>
    <w:pPr>
      <w:autoSpaceDE w:val="0"/>
      <w:autoSpaceDN w:val="0"/>
      <w:adjustRightInd w:val="0"/>
      <w:outlineLvl w:val="1"/>
    </w:pPr>
    <w:rPr>
      <w:rFonts w:ascii="Arial" w:hAnsi="Arial"/>
      <w:b/>
      <w:i/>
      <w:color w:val="000000"/>
      <w:sz w:val="28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200" w:firstLineChars="200"/>
    </w:pPr>
    <w:rPr>
      <w:kern w:val="0"/>
      <w:sz w:val="24"/>
    </w:rPr>
  </w:style>
  <w:style w:type="paragraph" w:styleId="3">
    <w:name w:val="Body Text"/>
    <w:basedOn w:val="1"/>
    <w:next w:val="4"/>
    <w:qFormat/>
    <w:uiPriority w:val="0"/>
    <w:pPr>
      <w:spacing w:after="120" w:line="360" w:lineRule="auto"/>
      <w:ind w:firstLine="598"/>
    </w:p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Plain Text"/>
    <w:basedOn w:val="1"/>
    <w:qFormat/>
    <w:uiPriority w:val="0"/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2"/>
    <w:basedOn w:val="1"/>
    <w:next w:val="1"/>
    <w:qFormat/>
    <w:uiPriority w:val="0"/>
    <w:pPr>
      <w:jc w:val="center"/>
    </w:pPr>
    <w:rPr>
      <w:rFonts w:ascii="仿宋_GB2312" w:hAnsi="宋体" w:eastAsia="仿宋_GB2312"/>
      <w:b/>
      <w:sz w:val="28"/>
      <w:szCs w:val="28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页眉 字符"/>
    <w:basedOn w:val="13"/>
    <w:link w:val="9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3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1909</Words>
  <Characters>2088</Characters>
  <Lines>16</Lines>
  <Paragraphs>4</Paragraphs>
  <TotalTime>2</TotalTime>
  <ScaleCrop>false</ScaleCrop>
  <LinksUpToDate>false</LinksUpToDate>
  <CharactersWithSpaces>2138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2025-06-27T17:20:00Z</dcterms:created>
  <dc:creator>puer</dc:creator>
  <cp:lastModifiedBy>王浩骅</cp:lastModifiedBy>
  <dcterms:modified xsi:type="dcterms:W3CDTF">2026-02-14T02:19:10Z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eyJoZGlkIjoiZTRmYTVkMzM3ZGM4N2YwNGUzMDk2YmQ1NzRhZTQwY2IiLCJ1c2VySWQiOiI0MTU2MjIwMTUifQ==</vt:lpwstr>
  </property>
  <property fmtid="{D5CDD505-2E9C-101B-9397-08002B2CF9AE}" pid="3" name="KSOProductBuildVer">
    <vt:lpwstr>2052-11.8.2.12085</vt:lpwstr>
  </property>
  <property fmtid="{D5CDD505-2E9C-101B-9397-08002B2CF9AE}" pid="4" name="ICV">
    <vt:lpwstr>ADCA41E1600E4C90904836D55CBF5896</vt:lpwstr>
  </property>
</Properties>
</file>