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hAnsi="宋体" w:eastAsia="宋体" w:cs="宋体"/>
          <w:b/>
          <w:bCs/>
          <w:snapToGrid w:val="0"/>
          <w:sz w:val="32"/>
          <w:szCs w:val="32"/>
          <w:lang w:val="en-US" w:eastAsia="zh-CN"/>
        </w:rPr>
      </w:pPr>
      <w:bookmarkStart w:id="3" w:name="_GoBack"/>
      <w:bookmarkEnd w:id="3"/>
      <w:bookmarkStart w:id="0" w:name="_Toc8445"/>
      <w:r>
        <w:rPr>
          <w:rFonts w:hint="eastAsia" w:hAnsi="宋体" w:eastAsia="宋体" w:cs="宋体"/>
          <w:b/>
          <w:bCs/>
          <w:snapToGrid w:val="0"/>
          <w:sz w:val="32"/>
          <w:szCs w:val="32"/>
          <w:lang w:val="en-US" w:eastAsia="zh-CN"/>
        </w:rPr>
        <w:t>标的3</w:t>
      </w:r>
    </w:p>
    <w:p>
      <w:pPr>
        <w:pStyle w:val="6"/>
        <w:spacing w:line="360" w:lineRule="auto"/>
        <w:jc w:val="center"/>
        <w:rPr>
          <w:rFonts w:hAnsi="宋体" w:eastAsia="宋体" w:cs="宋体"/>
          <w:b/>
          <w:bCs/>
          <w:snapToGrid w:val="0"/>
          <w:sz w:val="32"/>
          <w:szCs w:val="32"/>
        </w:rPr>
      </w:pPr>
    </w:p>
    <w:p>
      <w:pPr>
        <w:pStyle w:val="6"/>
        <w:adjustRightInd w:val="0"/>
        <w:snapToGrid w:val="0"/>
        <w:spacing w:line="360" w:lineRule="auto"/>
        <w:ind w:firstLine="562" w:firstLineChars="200"/>
        <w:jc w:val="left"/>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名称：500kV江城输变电工程施工</w:t>
      </w:r>
      <w:r>
        <w:rPr>
          <w:rFonts w:hAnsi="宋体" w:eastAsia="宋体" w:cs="宋体"/>
          <w:b/>
          <w:bCs/>
          <w:snapToGrid w:val="0"/>
          <w:sz w:val="28"/>
          <w:szCs w:val="28"/>
        </w:rPr>
        <w:t>4</w:t>
      </w:r>
      <w:r>
        <w:rPr>
          <w:rFonts w:hint="eastAsia" w:hAnsi="宋体" w:eastAsia="宋体" w:cs="宋体"/>
          <w:b/>
          <w:bCs/>
          <w:snapToGrid w:val="0"/>
          <w:sz w:val="28"/>
          <w:szCs w:val="28"/>
        </w:rPr>
        <w:t>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云南省普洱市、</w:t>
            </w:r>
            <w:r>
              <w:rPr>
                <w:rFonts w:hAnsi="宋体" w:eastAsia="宋体" w:cs="宋体"/>
                <w:sz w:val="21"/>
                <w:szCs w:val="21"/>
              </w:rPr>
              <w:t>红河哈尼族彝族自治州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w:t>
            </w:r>
            <w:r>
              <w:rPr>
                <w:rFonts w:hAnsi="宋体" w:eastAsia="宋体" w:cs="宋体"/>
                <w:sz w:val="21"/>
                <w:szCs w:val="21"/>
              </w:rPr>
              <w:t>4</w:t>
            </w:r>
            <w:r>
              <w:rPr>
                <w:rFonts w:hint="eastAsia" w:hAnsi="宋体" w:eastAsia="宋体" w:cs="宋体"/>
                <w:sz w:val="21"/>
                <w:szCs w:val="21"/>
              </w:rPr>
              <w:t>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hAnsi="宋体" w:eastAsia="宋体" w:cs="宋体"/>
                <w:sz w:val="21"/>
                <w:szCs w:val="21"/>
              </w:rPr>
              <w:t>云发改能源〔2025〕9</w:t>
            </w:r>
            <w:r>
              <w:rPr>
                <w:rFonts w:hAnsi="宋体" w:eastAsia="宋体" w:cs="宋体"/>
                <w:sz w:val="21"/>
                <w:szCs w:val="21"/>
              </w:rPr>
              <w:t>51</w:t>
            </w:r>
            <w:r>
              <w:rPr>
                <w:rFonts w:hint="eastAsia" w:hAnsi="宋体" w:eastAsia="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ascii="宋体" w:hAnsi="宋体" w:eastAsia="宋体" w:cs="宋体"/>
                <w:szCs w:val="21"/>
              </w:rPr>
              <w:t>云电规划〔2025〕881号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南方电网工程〔2026〕5号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中国能源建设集团云南省电力设计院有限公司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pPr>
        <w:pStyle w:val="6"/>
        <w:adjustRightInd w:val="0"/>
        <w:snapToGrid w:val="0"/>
        <w:spacing w:line="360" w:lineRule="auto"/>
        <w:ind w:firstLine="562" w:firstLineChars="200"/>
        <w:jc w:val="center"/>
        <w:outlineLvl w:val="0"/>
        <w:rPr>
          <w:rFonts w:hAnsi="宋体" w:cs="宋体"/>
          <w:b/>
          <w:sz w:val="28"/>
          <w:szCs w:val="28"/>
        </w:rPr>
      </w:pPr>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Ansi="宋体" w:eastAsia="宋体" w:cs="宋体"/>
          <w:color w:val="FF0000"/>
          <w:sz w:val="21"/>
          <w:szCs w:val="21"/>
        </w:rPr>
      </w:pPr>
      <w:r>
        <w:rPr>
          <w:rFonts w:hint="eastAsia" w:asciiTheme="minorEastAsia" w:hAnsiTheme="minorEastAsia" w:cstheme="minorEastAsia"/>
          <w:b/>
          <w:bCs/>
          <w:sz w:val="24"/>
          <w:szCs w:val="24"/>
        </w:rPr>
        <w:t>1.</w:t>
      </w:r>
      <w:r>
        <w:rPr>
          <w:rFonts w:hint="eastAsia"/>
        </w:rPr>
        <w:t xml:space="preserve"> </w:t>
      </w:r>
      <w:r>
        <w:rPr>
          <w:rFonts w:hint="eastAsia" w:asciiTheme="minorEastAsia" w:hAnsiTheme="minorEastAsia" w:cstheme="minorEastAsia"/>
          <w:b/>
          <w:bCs/>
          <w:sz w:val="24"/>
          <w:szCs w:val="24"/>
        </w:rPr>
        <w:t>500kV江城～通宝Ⅰ回（总长度</w:t>
      </w:r>
      <w:r>
        <w:rPr>
          <w:rFonts w:asciiTheme="minorEastAsia" w:hAnsiTheme="minorEastAsia" w:cstheme="minorEastAsia"/>
          <w:b/>
          <w:bCs/>
          <w:sz w:val="24"/>
          <w:szCs w:val="24"/>
        </w:rPr>
        <w:t>181.6</w:t>
      </w:r>
      <w:r>
        <w:rPr>
          <w:rFonts w:hint="eastAsia" w:asciiTheme="minorEastAsia" w:hAnsiTheme="minorEastAsia" w:cstheme="minorEastAsia"/>
          <w:b/>
          <w:bCs/>
          <w:sz w:val="24"/>
          <w:szCs w:val="24"/>
          <w:lang w:val="en-US" w:eastAsia="zh-CN"/>
        </w:rPr>
        <w:t>91</w:t>
      </w:r>
      <w:r>
        <w:rPr>
          <w:rFonts w:hint="eastAsia" w:asciiTheme="minorEastAsia" w:hAnsiTheme="minorEastAsia" w:cstheme="minorEastAsia"/>
          <w:b/>
          <w:bCs/>
          <w:sz w:val="24"/>
          <w:szCs w:val="24"/>
        </w:rPr>
        <w:t>km，其中标段</w:t>
      </w:r>
      <w:r>
        <w:rPr>
          <w:rFonts w:asciiTheme="minorEastAsia" w:hAnsiTheme="minorEastAsia" w:cstheme="minorEastAsia"/>
          <w:b/>
          <w:bCs/>
          <w:sz w:val="24"/>
          <w:szCs w:val="24"/>
        </w:rPr>
        <w:t>4</w:t>
      </w:r>
      <w:r>
        <w:rPr>
          <w:rFonts w:hint="eastAsia" w:asciiTheme="minorEastAsia" w:hAnsiTheme="minorEastAsia" w:cstheme="minorEastAsia"/>
          <w:b/>
          <w:bCs/>
          <w:sz w:val="24"/>
          <w:szCs w:val="24"/>
        </w:rPr>
        <w:t>长度</w:t>
      </w:r>
      <w:r>
        <w:rPr>
          <w:rFonts w:asciiTheme="minorEastAsia" w:hAnsiTheme="minorEastAsia" w:cstheme="minorEastAsia"/>
          <w:b/>
          <w:bCs/>
          <w:sz w:val="24"/>
          <w:szCs w:val="24"/>
        </w:rPr>
        <w:t>70.308</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70.308</w:t>
      </w:r>
      <w:r>
        <w:rPr>
          <w:rFonts w:hint="eastAsia" w:ascii="宋体" w:hAnsi="宋体" w:eastAsia="宋体" w:cs="宋体"/>
          <w:kern w:val="0"/>
          <w:szCs w:val="21"/>
        </w:rPr>
        <w:t>km，单回路架设。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设计基本风速为27m/s（跨江处2</w:t>
      </w:r>
      <w:r>
        <w:rPr>
          <w:rFonts w:ascii="宋体" w:hAnsi="宋体" w:eastAsia="宋体" w:cs="宋体"/>
          <w:kern w:val="0"/>
          <w:szCs w:val="21"/>
        </w:rPr>
        <w:t>9</w:t>
      </w:r>
      <w:r>
        <w:rPr>
          <w:rFonts w:hint="eastAsia" w:ascii="宋体" w:hAnsi="宋体" w:eastAsia="宋体" w:cs="宋体"/>
          <w:kern w:val="0"/>
          <w:szCs w:val="21"/>
        </w:rPr>
        <w:t>m</w:t>
      </w:r>
      <w:r>
        <w:rPr>
          <w:rFonts w:ascii="宋体" w:hAnsi="宋体" w:eastAsia="宋体" w:cs="宋体"/>
          <w:kern w:val="0"/>
          <w:szCs w:val="21"/>
        </w:rPr>
        <w:t>/s</w:t>
      </w:r>
      <w:r>
        <w:rPr>
          <w:rFonts w:hint="eastAsia" w:ascii="宋体" w:hAnsi="宋体" w:eastAsia="宋体" w:cs="宋体"/>
          <w:kern w:val="0"/>
          <w:szCs w:val="21"/>
        </w:rPr>
        <w:t>），设计覆冰为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铝包钢芯铝绞线；新建线路全线架设1根</w:t>
      </w:r>
      <w:r>
        <w:rPr>
          <w:rFonts w:ascii="宋体" w:hAnsi="宋体" w:eastAsia="宋体" w:cs="宋体"/>
          <w:kern w:val="0"/>
          <w:szCs w:val="21"/>
        </w:rPr>
        <w:t>72</w:t>
      </w:r>
      <w:r>
        <w:rPr>
          <w:rFonts w:hint="eastAsia" w:ascii="宋体" w:hAnsi="宋体" w:eastAsia="宋体" w:cs="宋体"/>
          <w:kern w:val="0"/>
          <w:szCs w:val="21"/>
        </w:rPr>
        <w:t>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杆塔基础采用</w:t>
      </w:r>
      <w:r>
        <w:rPr>
          <w:rFonts w:hint="eastAsia"/>
          <w:color w:val="000000" w:themeColor="text1"/>
          <w14:textFill>
            <w14:solidFill>
              <w14:schemeClr w14:val="tx1"/>
            </w14:solidFill>
          </w14:textFill>
        </w:rPr>
        <w:t>挖孔桩基础、掏挖式基础、直柱板式基础、岩石基础</w:t>
      </w:r>
      <w:r>
        <w:rPr>
          <w:rFonts w:hint="eastAsia" w:ascii="宋体" w:hAnsi="宋体" w:eastAsia="宋体" w:cs="宋体"/>
          <w:kern w:val="0"/>
          <w:szCs w:val="21"/>
        </w:rPr>
        <w:t>等型式。</w:t>
      </w:r>
    </w:p>
    <w:p>
      <w:pPr>
        <w:pStyle w:val="6"/>
        <w:spacing w:line="360" w:lineRule="auto"/>
        <w:ind w:firstLine="482" w:firstLineChars="200"/>
        <w:rPr>
          <w:rFonts w:asciiTheme="minorEastAsia" w:hAnsiTheme="minorEastAsia" w:cstheme="minorEastAsia"/>
          <w:b/>
          <w:bCs/>
          <w:sz w:val="24"/>
          <w:szCs w:val="24"/>
        </w:rPr>
      </w:pPr>
      <w:r>
        <w:rPr>
          <w:rFonts w:hint="eastAsia" w:asciiTheme="minorEastAsia" w:hAnsiTheme="minorEastAsia" w:cstheme="minorEastAsia"/>
          <w:b/>
          <w:bCs/>
          <w:sz w:val="24"/>
          <w:szCs w:val="24"/>
        </w:rPr>
        <w:t>2. 500kV江城～通宝Ⅱ回（总长度</w:t>
      </w:r>
      <w:r>
        <w:rPr>
          <w:rFonts w:asciiTheme="minorEastAsia" w:hAnsiTheme="minorEastAsia" w:cstheme="minorEastAsia"/>
          <w:b/>
          <w:bCs/>
          <w:sz w:val="24"/>
          <w:szCs w:val="24"/>
        </w:rPr>
        <w:t>179.6</w:t>
      </w:r>
      <w:r>
        <w:rPr>
          <w:rFonts w:hint="eastAsia" w:asciiTheme="minorEastAsia" w:hAnsiTheme="minorEastAsia" w:cstheme="minorEastAsia"/>
          <w:b/>
          <w:bCs/>
          <w:sz w:val="24"/>
          <w:szCs w:val="24"/>
          <w:lang w:val="en-US" w:eastAsia="zh-CN"/>
        </w:rPr>
        <w:t>58</w:t>
      </w:r>
      <w:r>
        <w:rPr>
          <w:rFonts w:hint="eastAsia" w:asciiTheme="minorEastAsia" w:hAnsiTheme="minorEastAsia" w:cstheme="minorEastAsia"/>
          <w:b/>
          <w:bCs/>
          <w:sz w:val="24"/>
          <w:szCs w:val="24"/>
        </w:rPr>
        <w:t>km，其中标段</w:t>
      </w:r>
      <w:r>
        <w:rPr>
          <w:rFonts w:asciiTheme="minorEastAsia" w:hAnsiTheme="minorEastAsia" w:cstheme="minorEastAsia"/>
          <w:b/>
          <w:bCs/>
          <w:sz w:val="24"/>
          <w:szCs w:val="24"/>
        </w:rPr>
        <w:t>4</w:t>
      </w:r>
      <w:r>
        <w:rPr>
          <w:rFonts w:hint="eastAsia" w:asciiTheme="minorEastAsia" w:hAnsiTheme="minorEastAsia" w:cstheme="minorEastAsia"/>
          <w:b/>
          <w:bCs/>
          <w:sz w:val="24"/>
          <w:szCs w:val="24"/>
        </w:rPr>
        <w:t>长度</w:t>
      </w:r>
      <w:r>
        <w:rPr>
          <w:rFonts w:asciiTheme="minorEastAsia" w:hAnsiTheme="minorEastAsia" w:cstheme="minorEastAsia"/>
          <w:b/>
          <w:bCs/>
          <w:sz w:val="24"/>
          <w:szCs w:val="24"/>
        </w:rPr>
        <w:t>70.261</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70.261</w:t>
      </w:r>
      <w:r>
        <w:rPr>
          <w:rFonts w:hint="eastAsia" w:ascii="宋体" w:hAnsi="宋体" w:eastAsia="宋体" w:cs="宋体"/>
          <w:kern w:val="0"/>
          <w:szCs w:val="21"/>
        </w:rPr>
        <w:t>km，单回路架设。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设计基本风速为27m/s（跨江处2</w:t>
      </w:r>
      <w:r>
        <w:rPr>
          <w:rFonts w:ascii="宋体" w:hAnsi="宋体" w:eastAsia="宋体" w:cs="宋体"/>
          <w:kern w:val="0"/>
          <w:szCs w:val="21"/>
        </w:rPr>
        <w:t>9</w:t>
      </w:r>
      <w:r>
        <w:rPr>
          <w:rFonts w:hint="eastAsia" w:ascii="宋体" w:hAnsi="宋体" w:eastAsia="宋体" w:cs="宋体"/>
          <w:kern w:val="0"/>
          <w:szCs w:val="21"/>
        </w:rPr>
        <w:t>m</w:t>
      </w:r>
      <w:r>
        <w:rPr>
          <w:rFonts w:ascii="宋体" w:hAnsi="宋体" w:eastAsia="宋体" w:cs="宋体"/>
          <w:kern w:val="0"/>
          <w:szCs w:val="21"/>
        </w:rPr>
        <w:t>/s</w:t>
      </w:r>
      <w:r>
        <w:rPr>
          <w:rFonts w:hint="eastAsia" w:ascii="宋体" w:hAnsi="宋体" w:eastAsia="宋体" w:cs="宋体"/>
          <w:kern w:val="0"/>
          <w:szCs w:val="21"/>
        </w:rPr>
        <w:t>），设计覆冰为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铝包钢芯铝绞线；新建线路全线架设1根</w:t>
      </w:r>
      <w:r>
        <w:rPr>
          <w:rFonts w:ascii="宋体" w:hAnsi="宋体" w:eastAsia="宋体" w:cs="宋体"/>
          <w:kern w:val="0"/>
          <w:szCs w:val="21"/>
        </w:rPr>
        <w:t>72</w:t>
      </w:r>
      <w:r>
        <w:rPr>
          <w:rFonts w:hint="eastAsia" w:ascii="宋体" w:hAnsi="宋体" w:eastAsia="宋体" w:cs="宋体"/>
          <w:kern w:val="0"/>
          <w:szCs w:val="21"/>
        </w:rPr>
        <w:t>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杆塔基础采用</w:t>
      </w:r>
      <w:r>
        <w:rPr>
          <w:rFonts w:hint="eastAsia"/>
          <w:color w:val="000000" w:themeColor="text1"/>
          <w14:textFill>
            <w14:solidFill>
              <w14:schemeClr w14:val="tx1"/>
            </w14:solidFill>
          </w14:textFill>
        </w:rPr>
        <w:t>挖孔桩基础、掏挖式基础、直柱板式基础、岩石基础</w:t>
      </w:r>
      <w:r>
        <w:rPr>
          <w:rFonts w:hint="eastAsia" w:ascii="宋体" w:hAnsi="宋体" w:eastAsia="宋体" w:cs="宋体"/>
          <w:kern w:val="0"/>
          <w:szCs w:val="21"/>
        </w:rPr>
        <w:t>等型式。</w:t>
      </w:r>
    </w:p>
    <w:p>
      <w:pPr>
        <w:pStyle w:val="2"/>
      </w:pP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铁塔（含防高空坠落装置）、导线、地线（含OPGW光缆及金具）、绝缘子、线路金具、降阻剂、接地模块、航空警示灯（如有）、石墨接地体（如有）由招标人供应。其余材料均由投标人自行采购。</w:t>
      </w:r>
    </w:p>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Ansi="宋体" w:eastAsia="宋体" w:cs="宋体"/>
          <w:snapToGrid w:val="0"/>
          <w:sz w:val="21"/>
          <w:szCs w:val="21"/>
        </w:rPr>
      </w:pPr>
      <w:r>
        <w:rPr>
          <w:rFonts w:hint="eastAsia" w:hAnsi="宋体" w:eastAsia="宋体" w:cs="宋体"/>
          <w:snapToGrid w:val="0"/>
          <w:sz w:val="21"/>
          <w:szCs w:val="21"/>
        </w:rPr>
        <w:t>甲供物资清单：见附件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A1EB5"/>
    <w:rsid w:val="000A4457"/>
    <w:rsid w:val="000E27DB"/>
    <w:rsid w:val="00142DDC"/>
    <w:rsid w:val="00143E49"/>
    <w:rsid w:val="00193119"/>
    <w:rsid w:val="0021100A"/>
    <w:rsid w:val="002F2D65"/>
    <w:rsid w:val="00331A8A"/>
    <w:rsid w:val="003B28C3"/>
    <w:rsid w:val="003E6908"/>
    <w:rsid w:val="004366B3"/>
    <w:rsid w:val="00440115"/>
    <w:rsid w:val="0046080E"/>
    <w:rsid w:val="004B4774"/>
    <w:rsid w:val="004B5973"/>
    <w:rsid w:val="004D0EC8"/>
    <w:rsid w:val="004D1B37"/>
    <w:rsid w:val="00581255"/>
    <w:rsid w:val="005820A2"/>
    <w:rsid w:val="005B170A"/>
    <w:rsid w:val="005C4928"/>
    <w:rsid w:val="005F10B0"/>
    <w:rsid w:val="005F5B1F"/>
    <w:rsid w:val="00611B1D"/>
    <w:rsid w:val="00673EB2"/>
    <w:rsid w:val="006763AD"/>
    <w:rsid w:val="00681DD2"/>
    <w:rsid w:val="00696080"/>
    <w:rsid w:val="006B1AD8"/>
    <w:rsid w:val="00705DFB"/>
    <w:rsid w:val="0071236B"/>
    <w:rsid w:val="00741515"/>
    <w:rsid w:val="007B13C2"/>
    <w:rsid w:val="007C4298"/>
    <w:rsid w:val="007C6A79"/>
    <w:rsid w:val="007D797C"/>
    <w:rsid w:val="007F35D2"/>
    <w:rsid w:val="0096213B"/>
    <w:rsid w:val="009B51A3"/>
    <w:rsid w:val="009E5BBE"/>
    <w:rsid w:val="00A64FC6"/>
    <w:rsid w:val="00A75411"/>
    <w:rsid w:val="00AC1A12"/>
    <w:rsid w:val="00C13DDC"/>
    <w:rsid w:val="00C51B64"/>
    <w:rsid w:val="00C52751"/>
    <w:rsid w:val="00C54698"/>
    <w:rsid w:val="00CA2DAA"/>
    <w:rsid w:val="00CC0EB8"/>
    <w:rsid w:val="00CC7855"/>
    <w:rsid w:val="00D87D67"/>
    <w:rsid w:val="00DD26E4"/>
    <w:rsid w:val="00E3541D"/>
    <w:rsid w:val="00E44943"/>
    <w:rsid w:val="00E53392"/>
    <w:rsid w:val="00F56FC4"/>
    <w:rsid w:val="00F82E46"/>
    <w:rsid w:val="00FC00B0"/>
    <w:rsid w:val="00FF12D2"/>
    <w:rsid w:val="00FF55CE"/>
    <w:rsid w:val="02C1531D"/>
    <w:rsid w:val="071B3875"/>
    <w:rsid w:val="0AB34E04"/>
    <w:rsid w:val="0DC6401A"/>
    <w:rsid w:val="0DF30D4B"/>
    <w:rsid w:val="1096538D"/>
    <w:rsid w:val="1110038B"/>
    <w:rsid w:val="12297CF9"/>
    <w:rsid w:val="128819B3"/>
    <w:rsid w:val="137E24BA"/>
    <w:rsid w:val="19E22CC7"/>
    <w:rsid w:val="1BA63B03"/>
    <w:rsid w:val="1C8F30AE"/>
    <w:rsid w:val="214777F1"/>
    <w:rsid w:val="21DE176F"/>
    <w:rsid w:val="22683671"/>
    <w:rsid w:val="24673F50"/>
    <w:rsid w:val="254D147E"/>
    <w:rsid w:val="2A99495F"/>
    <w:rsid w:val="2E8B0915"/>
    <w:rsid w:val="3288573D"/>
    <w:rsid w:val="33DA2155"/>
    <w:rsid w:val="344250FD"/>
    <w:rsid w:val="37AC2A04"/>
    <w:rsid w:val="3CBE0D9F"/>
    <w:rsid w:val="3F43088C"/>
    <w:rsid w:val="41046039"/>
    <w:rsid w:val="44F7298C"/>
    <w:rsid w:val="44F901B8"/>
    <w:rsid w:val="46A7570B"/>
    <w:rsid w:val="46B60F87"/>
    <w:rsid w:val="46CA2092"/>
    <w:rsid w:val="480C50DB"/>
    <w:rsid w:val="494A71CD"/>
    <w:rsid w:val="49C37D91"/>
    <w:rsid w:val="4AA54ED9"/>
    <w:rsid w:val="4B9D3DB6"/>
    <w:rsid w:val="4BCD7C02"/>
    <w:rsid w:val="4D1B7EC6"/>
    <w:rsid w:val="55AF7E22"/>
    <w:rsid w:val="55E04659"/>
    <w:rsid w:val="590429E2"/>
    <w:rsid w:val="59B73677"/>
    <w:rsid w:val="5BBB1A7E"/>
    <w:rsid w:val="5D964E94"/>
    <w:rsid w:val="6189617B"/>
    <w:rsid w:val="65904792"/>
    <w:rsid w:val="65A323A7"/>
    <w:rsid w:val="68B67A0A"/>
    <w:rsid w:val="6AF57C40"/>
    <w:rsid w:val="740D71D5"/>
    <w:rsid w:val="753B6497"/>
    <w:rsid w:val="760D6D27"/>
    <w:rsid w:val="76EC0E90"/>
    <w:rsid w:val="7A384B3C"/>
    <w:rsid w:val="7C9F0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3</Pages>
  <Words>1555</Words>
  <Characters>1750</Characters>
  <Lines>13</Lines>
  <Paragraphs>3</Paragraphs>
  <TotalTime>0</TotalTime>
  <ScaleCrop>false</ScaleCrop>
  <LinksUpToDate>false</LinksUpToDate>
  <CharactersWithSpaces>1761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王浩骅</cp:lastModifiedBy>
  <dcterms:modified xsi:type="dcterms:W3CDTF">2026-02-14T02:34:38Z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2842F2765FD845239E705818AC1F7A80</vt:lpwstr>
  </property>
  <property fmtid="{D5CDD505-2E9C-101B-9397-08002B2CF9AE}" pid="4" name="KSOTemplateDocerSaveRecord">
    <vt:lpwstr>eyJoZGlkIjoiY2MwNzFiODYzNDkxNDY4ZmVlZDU2OGNlMzRhNzEwNWQiLCJ1c2VySWQiOiI4NTc3NDU3MjQifQ==</vt:lpwstr>
  </property>
</Properties>
</file>