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360" w:lineRule="auto"/>
        <w:jc w:val="center"/>
        <w:rPr>
          <w:rFonts w:hint="default" w:hAnsi="宋体" w:eastAsia="宋体" w:cs="宋体"/>
          <w:b/>
          <w:bCs/>
          <w:snapToGrid w:val="0"/>
          <w:sz w:val="32"/>
          <w:szCs w:val="32"/>
          <w:lang w:val="en-US" w:eastAsia="zh-CN"/>
        </w:rPr>
      </w:pPr>
      <w:bookmarkStart w:id="0" w:name="_Toc8445"/>
      <w:r>
        <w:rPr>
          <w:rFonts w:hint="eastAsia" w:hAnsi="宋体" w:eastAsia="宋体" w:cs="宋体"/>
          <w:b/>
          <w:bCs/>
          <w:snapToGrid w:val="0"/>
          <w:sz w:val="32"/>
          <w:szCs w:val="32"/>
          <w:lang w:val="en-US" w:eastAsia="zh-CN"/>
        </w:rPr>
        <w:t>标的3</w:t>
      </w:r>
    </w:p>
    <w:p>
      <w:pPr>
        <w:pStyle w:val="6"/>
        <w:spacing w:line="360" w:lineRule="auto"/>
        <w:jc w:val="center"/>
        <w:rPr>
          <w:rFonts w:hAnsi="宋体" w:eastAsia="宋体" w:cs="宋体"/>
          <w:b/>
          <w:bCs/>
          <w:snapToGrid w:val="0"/>
          <w:sz w:val="32"/>
          <w:szCs w:val="32"/>
        </w:rPr>
      </w:pPr>
    </w:p>
    <w:p>
      <w:pPr>
        <w:pStyle w:val="6"/>
        <w:adjustRightInd w:val="0"/>
        <w:snapToGrid w:val="0"/>
        <w:spacing w:line="360" w:lineRule="auto"/>
        <w:ind w:firstLine="562" w:firstLineChars="200"/>
        <w:jc w:val="left"/>
        <w:outlineLvl w:val="0"/>
        <w:rPr>
          <w:rFonts w:hAnsi="宋体" w:cs="宋体"/>
          <w:b/>
          <w:sz w:val="28"/>
          <w:szCs w:val="28"/>
        </w:rPr>
      </w:pPr>
      <w:r>
        <w:rPr>
          <w:rFonts w:hint="eastAsia" w:hAnsi="宋体" w:cs="宋体"/>
          <w:b/>
          <w:bCs/>
          <w:snapToGrid w:val="0"/>
          <w:sz w:val="28"/>
          <w:szCs w:val="28"/>
        </w:rPr>
        <w:t>项目</w:t>
      </w:r>
      <w:r>
        <w:rPr>
          <w:rFonts w:hint="eastAsia" w:hAnsi="宋体" w:eastAsia="宋体" w:cs="宋体"/>
          <w:b/>
          <w:bCs/>
          <w:snapToGrid w:val="0"/>
          <w:sz w:val="28"/>
          <w:szCs w:val="28"/>
        </w:rPr>
        <w:t>名称：500kV江城输变电工程施工</w:t>
      </w:r>
      <w:r>
        <w:rPr>
          <w:rFonts w:hAnsi="宋体" w:eastAsia="宋体" w:cs="宋体"/>
          <w:b/>
          <w:bCs/>
          <w:snapToGrid w:val="0"/>
          <w:sz w:val="28"/>
          <w:szCs w:val="28"/>
        </w:rPr>
        <w:t>5</w:t>
      </w:r>
      <w:r>
        <w:rPr>
          <w:rFonts w:hint="eastAsia" w:hAnsi="宋体" w:eastAsia="宋体" w:cs="宋体"/>
          <w:b/>
          <w:bCs/>
          <w:snapToGrid w:val="0"/>
          <w:sz w:val="28"/>
          <w:szCs w:val="28"/>
        </w:rPr>
        <w:t>标段</w:t>
      </w:r>
    </w:p>
    <w:tbl>
      <w:tblPr>
        <w:tblStyle w:val="12"/>
        <w:tblW w:w="7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2911"/>
        <w:gridCol w:w="3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序号</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项目</w:t>
            </w:r>
          </w:p>
        </w:tc>
        <w:tc>
          <w:tcPr>
            <w:tcW w:w="3476"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1</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项目建设单位</w:t>
            </w:r>
          </w:p>
        </w:tc>
        <w:tc>
          <w:tcPr>
            <w:tcW w:w="3476" w:type="dxa"/>
            <w:vAlign w:val="center"/>
          </w:tcPr>
          <w:p>
            <w:pPr>
              <w:pStyle w:val="6"/>
              <w:spacing w:line="400" w:lineRule="exact"/>
              <w:jc w:val="center"/>
              <w:rPr>
                <w:rFonts w:hAnsi="宋体" w:eastAsia="宋体" w:cs="宋体"/>
                <w:snapToGrid w:val="0"/>
                <w:sz w:val="21"/>
                <w:szCs w:val="21"/>
              </w:rPr>
            </w:pPr>
            <w:r>
              <w:rPr>
                <w:rFonts w:hint="eastAsia" w:hAnsi="宋体" w:eastAsia="宋体" w:cs="宋体"/>
                <w:sz w:val="21"/>
                <w:szCs w:val="21"/>
              </w:rPr>
              <w:t>云南电网有限责任公司</w:t>
            </w:r>
            <w:r>
              <w:rPr>
                <w:rFonts w:hint="eastAsia" w:hAnsi="宋体" w:cs="宋体"/>
                <w:sz w:val="21"/>
                <w:szCs w:val="21"/>
              </w:rPr>
              <w:t>建设分公司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2</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项目建设地点</w:t>
            </w:r>
          </w:p>
        </w:tc>
        <w:tc>
          <w:tcPr>
            <w:tcW w:w="3476" w:type="dxa"/>
            <w:vAlign w:val="center"/>
          </w:tcPr>
          <w:p>
            <w:pPr>
              <w:pStyle w:val="6"/>
              <w:spacing w:line="400" w:lineRule="exact"/>
              <w:jc w:val="center"/>
              <w:rPr>
                <w:rFonts w:hAnsi="宋体" w:eastAsia="宋体" w:cs="宋体"/>
                <w:snapToGrid w:val="0"/>
                <w:sz w:val="21"/>
                <w:szCs w:val="21"/>
              </w:rPr>
            </w:pPr>
            <w:r>
              <w:rPr>
                <w:rFonts w:hint="eastAsia" w:hAnsi="宋体" w:eastAsia="宋体" w:cs="宋体"/>
                <w:sz w:val="21"/>
                <w:szCs w:val="21"/>
              </w:rPr>
              <w:t>云南省普洱市、</w:t>
            </w:r>
            <w:r>
              <w:rPr>
                <w:rFonts w:hAnsi="宋体" w:eastAsia="宋体" w:cs="宋体"/>
                <w:sz w:val="21"/>
                <w:szCs w:val="21"/>
              </w:rPr>
              <w:t>红河哈尼族彝族自治州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3</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可研批复文号</w:t>
            </w:r>
          </w:p>
        </w:tc>
        <w:tc>
          <w:tcPr>
            <w:tcW w:w="3476" w:type="dxa"/>
            <w:vAlign w:val="center"/>
          </w:tcPr>
          <w:p>
            <w:pPr>
              <w:pStyle w:val="6"/>
              <w:spacing w:line="400" w:lineRule="exact"/>
              <w:jc w:val="center"/>
              <w:rPr>
                <w:rFonts w:hAnsi="宋体" w:eastAsia="宋体" w:cs="宋体"/>
                <w:snapToGrid w:val="0"/>
                <w:sz w:val="21"/>
                <w:szCs w:val="21"/>
              </w:rPr>
            </w:pPr>
            <w:r>
              <w:rPr>
                <w:rFonts w:hint="eastAsia" w:hAnsi="宋体" w:eastAsia="宋体" w:cs="宋体"/>
                <w:sz w:val="21"/>
                <w:szCs w:val="21"/>
              </w:rPr>
              <w:t>南方电网规划〔2025〕</w:t>
            </w:r>
            <w:r>
              <w:rPr>
                <w:rFonts w:hAnsi="宋体" w:eastAsia="宋体" w:cs="宋体"/>
                <w:sz w:val="21"/>
                <w:szCs w:val="21"/>
              </w:rPr>
              <w:t>4</w:t>
            </w:r>
            <w:r>
              <w:rPr>
                <w:rFonts w:hint="eastAsia" w:hAnsi="宋体" w:eastAsia="宋体" w:cs="宋体"/>
                <w:sz w:val="21"/>
                <w:szCs w:val="21"/>
              </w:rPr>
              <w:t>4号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4</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项目核准、备案文号</w:t>
            </w:r>
          </w:p>
        </w:tc>
        <w:tc>
          <w:tcPr>
            <w:tcW w:w="3476" w:type="dxa"/>
            <w:vAlign w:val="center"/>
          </w:tcPr>
          <w:p>
            <w:pPr>
              <w:pStyle w:val="6"/>
              <w:spacing w:line="400" w:lineRule="exact"/>
              <w:jc w:val="center"/>
              <w:rPr>
                <w:rFonts w:hAnsi="宋体" w:eastAsia="宋体" w:cs="宋体"/>
                <w:snapToGrid w:val="0"/>
                <w:sz w:val="21"/>
                <w:szCs w:val="21"/>
                <w:highlight w:val="cyan"/>
              </w:rPr>
            </w:pPr>
            <w:r>
              <w:rPr>
                <w:rFonts w:hint="eastAsia" w:hAnsi="宋体" w:eastAsia="宋体" w:cs="宋体"/>
                <w:sz w:val="21"/>
                <w:szCs w:val="21"/>
              </w:rPr>
              <w:t>云发改能源〔2025〕9</w:t>
            </w:r>
            <w:r>
              <w:rPr>
                <w:rFonts w:hAnsi="宋体" w:eastAsia="宋体" w:cs="宋体"/>
                <w:sz w:val="21"/>
                <w:szCs w:val="21"/>
              </w:rPr>
              <w:t>51</w:t>
            </w:r>
            <w:r>
              <w:rPr>
                <w:rFonts w:hint="eastAsia" w:hAnsi="宋体" w:eastAsia="宋体" w:cs="宋体"/>
                <w:sz w:val="21"/>
                <w:szCs w:val="21"/>
              </w:rPr>
              <w:t xml:space="preserve">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5</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资金落实情况</w:t>
            </w:r>
          </w:p>
        </w:tc>
        <w:tc>
          <w:tcPr>
            <w:tcW w:w="3476" w:type="dxa"/>
            <w:vAlign w:val="center"/>
          </w:tcPr>
          <w:p>
            <w:pPr>
              <w:pStyle w:val="6"/>
              <w:spacing w:line="400" w:lineRule="exact"/>
              <w:jc w:val="center"/>
              <w:rPr>
                <w:rFonts w:hAnsi="宋体" w:eastAsia="宋体" w:cs="宋体"/>
                <w:snapToGrid w:val="0"/>
                <w:sz w:val="21"/>
                <w:szCs w:val="21"/>
                <w:highlight w:val="cyan"/>
              </w:rPr>
            </w:pPr>
            <w:r>
              <w:rPr>
                <w:rFonts w:hint="eastAsia" w:ascii="宋体" w:hAnsi="宋体" w:eastAsia="宋体" w:cs="宋体"/>
                <w:szCs w:val="21"/>
              </w:rPr>
              <w:t>云电规划〔2025〕881号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6</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初设批复文号</w:t>
            </w:r>
          </w:p>
        </w:tc>
        <w:tc>
          <w:tcPr>
            <w:tcW w:w="3476" w:type="dxa"/>
            <w:vAlign w:val="center"/>
          </w:tcPr>
          <w:p>
            <w:pPr>
              <w:pStyle w:val="6"/>
              <w:spacing w:line="400" w:lineRule="exact"/>
              <w:jc w:val="center"/>
              <w:rPr>
                <w:rFonts w:hAnsi="宋体" w:eastAsia="宋体" w:cs="宋体"/>
                <w:snapToGrid w:val="0"/>
                <w:sz w:val="21"/>
                <w:szCs w:val="21"/>
              </w:rPr>
            </w:pPr>
            <w:r>
              <w:rPr>
                <w:rFonts w:hint="eastAsia" w:hAnsi="宋体" w:eastAsia="宋体" w:cs="宋体"/>
                <w:snapToGrid w:val="0"/>
                <w:sz w:val="21"/>
                <w:szCs w:val="21"/>
              </w:rPr>
              <w:t>南方电网工程〔2026〕5号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7</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施工图预算批复文号</w:t>
            </w:r>
          </w:p>
        </w:tc>
        <w:tc>
          <w:tcPr>
            <w:tcW w:w="3476" w:type="dxa"/>
            <w:vAlign w:val="center"/>
          </w:tcPr>
          <w:p>
            <w:pPr>
              <w:spacing w:line="400" w:lineRule="exact"/>
              <w:jc w:val="center"/>
              <w:rPr>
                <w:rFonts w:ascii="宋体" w:hAnsi="宋体" w:eastAsia="宋体" w:cs="宋体"/>
                <w:snapToGrid w:val="0"/>
                <w:kern w:val="0"/>
                <w:szCs w:val="21"/>
              </w:rPr>
            </w:pPr>
            <w:r>
              <w:rPr>
                <w:rFonts w:hint="eastAsia" w:ascii="宋体" w:hAnsi="宋体" w:eastAsia="宋体" w:cs="宋体"/>
                <w:snapToGrid w:val="0"/>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8</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前期的设计或咨询服务单位名称</w:t>
            </w:r>
          </w:p>
        </w:tc>
        <w:tc>
          <w:tcPr>
            <w:tcW w:w="3476" w:type="dxa"/>
            <w:vAlign w:val="center"/>
          </w:tcPr>
          <w:p>
            <w:pPr>
              <w:snapToGrid w:val="0"/>
              <w:spacing w:line="400" w:lineRule="exact"/>
              <w:jc w:val="center"/>
              <w:rPr>
                <w:rFonts w:ascii="宋体" w:hAnsi="宋体" w:eastAsia="宋体" w:cs="宋体"/>
                <w:snapToGrid w:val="0"/>
                <w:kern w:val="0"/>
                <w:szCs w:val="21"/>
              </w:rPr>
            </w:pPr>
            <w:r>
              <w:rPr>
                <w:rFonts w:hint="eastAsia" w:ascii="宋体" w:hAnsi="宋体" w:eastAsia="宋体" w:cs="宋体"/>
                <w:kern w:val="0"/>
                <w:szCs w:val="21"/>
              </w:rPr>
              <w:t>中国能源建设集团云南省电力设计院有限公司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9</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项目监理单位</w:t>
            </w:r>
          </w:p>
        </w:tc>
        <w:tc>
          <w:tcPr>
            <w:tcW w:w="3476" w:type="dxa"/>
            <w:vAlign w:val="center"/>
          </w:tcPr>
          <w:p>
            <w:pPr>
              <w:snapToGrid w:val="0"/>
              <w:spacing w:line="400" w:lineRule="exact"/>
              <w:jc w:val="center"/>
              <w:rPr>
                <w:rFonts w:ascii="宋体" w:hAnsi="宋体" w:eastAsia="宋体" w:cs="宋体"/>
                <w:snapToGrid w:val="0"/>
                <w:kern w:val="0"/>
                <w:szCs w:val="21"/>
              </w:rPr>
            </w:pPr>
            <w:r>
              <w:rPr>
                <w:rFonts w:hint="eastAsia" w:ascii="宋体" w:hAnsi="宋体" w:eastAsia="宋体" w:cs="宋体"/>
                <w:snapToGrid w:val="0"/>
                <w:kern w:val="0"/>
                <w:szCs w:val="21"/>
              </w:rPr>
              <w:t>/</w:t>
            </w:r>
          </w:p>
        </w:tc>
      </w:tr>
    </w:tbl>
    <w:p>
      <w:pPr>
        <w:pStyle w:val="6"/>
        <w:adjustRightInd w:val="0"/>
        <w:snapToGrid w:val="0"/>
        <w:spacing w:line="360" w:lineRule="auto"/>
        <w:ind w:firstLine="562" w:firstLineChars="200"/>
        <w:jc w:val="center"/>
        <w:outlineLvl w:val="0"/>
        <w:rPr>
          <w:rFonts w:hAnsi="宋体" w:cs="宋体"/>
          <w:b/>
          <w:sz w:val="28"/>
          <w:szCs w:val="28"/>
        </w:rPr>
      </w:pPr>
    </w:p>
    <w:bookmarkEnd w:id="0"/>
    <w:p>
      <w:pPr>
        <w:pStyle w:val="6"/>
        <w:numPr>
          <w:ilvl w:val="0"/>
          <w:numId w:val="1"/>
        </w:numPr>
        <w:adjustRightInd w:val="0"/>
        <w:snapToGrid w:val="0"/>
        <w:spacing w:line="360" w:lineRule="auto"/>
        <w:ind w:firstLine="0"/>
        <w:outlineLvl w:val="0"/>
        <w:rPr>
          <w:rFonts w:hAnsi="宋体" w:eastAsia="宋体" w:cs="宋体"/>
          <w:b/>
          <w:sz w:val="24"/>
          <w:szCs w:val="24"/>
        </w:rPr>
      </w:pPr>
      <w:r>
        <w:rPr>
          <w:rFonts w:hint="eastAsia" w:hAnsi="宋体" w:eastAsia="宋体" w:cs="宋体"/>
          <w:b/>
          <w:sz w:val="24"/>
          <w:szCs w:val="24"/>
        </w:rPr>
        <w:t>建设规模</w:t>
      </w:r>
    </w:p>
    <w:p>
      <w:pPr>
        <w:pStyle w:val="6"/>
        <w:spacing w:line="360" w:lineRule="auto"/>
        <w:ind w:firstLine="482" w:firstLineChars="200"/>
        <w:rPr>
          <w:rFonts w:hAnsi="宋体" w:eastAsia="宋体" w:cs="宋体"/>
          <w:color w:val="FF0000"/>
          <w:sz w:val="21"/>
          <w:szCs w:val="21"/>
        </w:rPr>
      </w:pPr>
      <w:r>
        <w:rPr>
          <w:rFonts w:hint="eastAsia" w:asciiTheme="minorEastAsia" w:hAnsiTheme="minorEastAsia" w:cstheme="minorEastAsia"/>
          <w:b/>
          <w:bCs/>
          <w:sz w:val="24"/>
          <w:szCs w:val="24"/>
        </w:rPr>
        <w:t>1.</w:t>
      </w:r>
      <w:r>
        <w:rPr>
          <w:rFonts w:hint="eastAsia"/>
        </w:rPr>
        <w:t xml:space="preserve"> </w:t>
      </w:r>
      <w:r>
        <w:rPr>
          <w:rFonts w:hint="eastAsia" w:asciiTheme="minorEastAsia" w:hAnsiTheme="minorEastAsia" w:cstheme="minorEastAsia"/>
          <w:b/>
          <w:bCs/>
          <w:sz w:val="24"/>
          <w:szCs w:val="24"/>
        </w:rPr>
        <w:t>500kV江城～通宝Ⅰ回（总长度</w:t>
      </w:r>
      <w:r>
        <w:rPr>
          <w:rFonts w:asciiTheme="minorEastAsia" w:hAnsiTheme="minorEastAsia" w:cstheme="minorEastAsia"/>
          <w:b/>
          <w:bCs/>
          <w:sz w:val="24"/>
          <w:szCs w:val="24"/>
        </w:rPr>
        <w:t>181.6</w:t>
      </w:r>
      <w:r>
        <w:rPr>
          <w:rFonts w:hint="eastAsia" w:asciiTheme="minorEastAsia" w:hAnsiTheme="minorEastAsia" w:cstheme="minorEastAsia"/>
          <w:b/>
          <w:bCs/>
          <w:sz w:val="24"/>
          <w:szCs w:val="24"/>
          <w:lang w:val="en-US" w:eastAsia="zh-CN"/>
        </w:rPr>
        <w:t>91</w:t>
      </w:r>
      <w:r>
        <w:rPr>
          <w:rFonts w:hint="eastAsia" w:asciiTheme="minorEastAsia" w:hAnsiTheme="minorEastAsia" w:cstheme="minorEastAsia"/>
          <w:b/>
          <w:bCs/>
          <w:sz w:val="24"/>
          <w:szCs w:val="24"/>
        </w:rPr>
        <w:t>km，其中标段</w:t>
      </w:r>
      <w:r>
        <w:rPr>
          <w:rFonts w:asciiTheme="minorEastAsia" w:hAnsiTheme="minorEastAsia" w:cstheme="minorEastAsia"/>
          <w:b/>
          <w:bCs/>
          <w:sz w:val="24"/>
          <w:szCs w:val="24"/>
        </w:rPr>
        <w:t>5</w:t>
      </w:r>
      <w:r>
        <w:rPr>
          <w:rFonts w:hint="eastAsia" w:asciiTheme="minorEastAsia" w:hAnsiTheme="minorEastAsia" w:cstheme="minorEastAsia"/>
          <w:b/>
          <w:bCs/>
          <w:sz w:val="24"/>
          <w:szCs w:val="24"/>
        </w:rPr>
        <w:t>长度</w:t>
      </w:r>
      <w:r>
        <w:rPr>
          <w:rFonts w:asciiTheme="minorEastAsia" w:hAnsiTheme="minorEastAsia" w:cstheme="minorEastAsia"/>
          <w:b/>
          <w:bCs/>
          <w:sz w:val="24"/>
          <w:szCs w:val="24"/>
        </w:rPr>
        <w:t>26.676</w:t>
      </w:r>
      <w:r>
        <w:rPr>
          <w:rFonts w:hint="eastAsia" w:asciiTheme="minorEastAsia" w:hAnsiTheme="minorEastAsia" w:cstheme="minorEastAsia"/>
          <w:b/>
          <w:bCs/>
          <w:sz w:val="24"/>
          <w:szCs w:val="24"/>
        </w:rPr>
        <w:t>km）</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新建线路长度约</w:t>
      </w:r>
      <w:r>
        <w:rPr>
          <w:rFonts w:ascii="宋体" w:hAnsi="宋体" w:eastAsia="宋体" w:cs="宋体"/>
          <w:kern w:val="0"/>
          <w:szCs w:val="21"/>
        </w:rPr>
        <w:t>26.676</w:t>
      </w:r>
      <w:r>
        <w:rPr>
          <w:rFonts w:hint="eastAsia" w:ascii="宋体" w:hAnsi="宋体" w:eastAsia="宋体" w:cs="宋体"/>
          <w:kern w:val="0"/>
          <w:szCs w:val="21"/>
        </w:rPr>
        <w:t>km，单回路架设。</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设计基本风速为27m/s（跨江处2</w:t>
      </w:r>
      <w:r>
        <w:rPr>
          <w:rFonts w:ascii="宋体" w:hAnsi="宋体" w:eastAsia="宋体" w:cs="宋体"/>
          <w:kern w:val="0"/>
          <w:szCs w:val="21"/>
        </w:rPr>
        <w:t>9</w:t>
      </w:r>
      <w:r>
        <w:rPr>
          <w:rFonts w:hint="eastAsia" w:ascii="宋体" w:hAnsi="宋体" w:eastAsia="宋体" w:cs="宋体"/>
          <w:kern w:val="0"/>
          <w:szCs w:val="21"/>
        </w:rPr>
        <w:t>m</w:t>
      </w:r>
      <w:r>
        <w:rPr>
          <w:rFonts w:ascii="宋体" w:hAnsi="宋体" w:eastAsia="宋体" w:cs="宋体"/>
          <w:kern w:val="0"/>
          <w:szCs w:val="21"/>
        </w:rPr>
        <w:t>/s</w:t>
      </w:r>
      <w:r>
        <w:rPr>
          <w:rFonts w:hint="eastAsia" w:ascii="宋体" w:hAnsi="宋体" w:eastAsia="宋体" w:cs="宋体"/>
          <w:kern w:val="0"/>
          <w:szCs w:val="21"/>
        </w:rPr>
        <w:t>），设计覆冰为</w:t>
      </w:r>
      <w:r>
        <w:rPr>
          <w:rFonts w:ascii="宋体" w:hAnsi="宋体" w:eastAsia="宋体" w:cs="宋体"/>
          <w:kern w:val="0"/>
          <w:szCs w:val="21"/>
        </w:rPr>
        <w:t>5</w:t>
      </w:r>
      <w:r>
        <w:rPr>
          <w:rFonts w:hint="eastAsia" w:ascii="宋体" w:hAnsi="宋体" w:eastAsia="宋体" w:cs="宋体"/>
          <w:kern w:val="0"/>
          <w:szCs w:val="21"/>
        </w:rPr>
        <w:t>mm、1</w:t>
      </w:r>
      <w:r>
        <w:rPr>
          <w:rFonts w:ascii="宋体" w:hAnsi="宋体" w:eastAsia="宋体" w:cs="宋体"/>
          <w:kern w:val="0"/>
          <w:szCs w:val="21"/>
        </w:rPr>
        <w:t>0</w:t>
      </w:r>
      <w:r>
        <w:rPr>
          <w:rFonts w:hint="eastAsia" w:ascii="宋体" w:hAnsi="宋体" w:eastAsia="宋体" w:cs="宋体"/>
          <w:kern w:val="0"/>
          <w:szCs w:val="21"/>
        </w:rPr>
        <w:t>mm。</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导线采用4分裂JL/LB20A-</w:t>
      </w:r>
      <w:r>
        <w:rPr>
          <w:rFonts w:ascii="宋体" w:hAnsi="宋体" w:eastAsia="宋体" w:cs="宋体"/>
          <w:kern w:val="0"/>
          <w:szCs w:val="21"/>
        </w:rPr>
        <w:t>5</w:t>
      </w:r>
      <w:r>
        <w:rPr>
          <w:rFonts w:hint="eastAsia" w:ascii="宋体" w:hAnsi="宋体" w:eastAsia="宋体" w:cs="宋体"/>
          <w:kern w:val="0"/>
          <w:szCs w:val="21"/>
        </w:rPr>
        <w:t>00/</w:t>
      </w:r>
      <w:r>
        <w:rPr>
          <w:rFonts w:ascii="宋体" w:hAnsi="宋体" w:eastAsia="宋体" w:cs="宋体"/>
          <w:kern w:val="0"/>
          <w:szCs w:val="21"/>
        </w:rPr>
        <w:t>45</w:t>
      </w:r>
      <w:r>
        <w:rPr>
          <w:rFonts w:hint="eastAsia" w:ascii="宋体" w:hAnsi="宋体" w:eastAsia="宋体" w:cs="宋体"/>
          <w:kern w:val="0"/>
          <w:szCs w:val="21"/>
        </w:rPr>
        <w:t>铝包钢芯铝绞线；新建线路全线架设1根</w:t>
      </w:r>
      <w:r>
        <w:rPr>
          <w:rFonts w:ascii="宋体" w:hAnsi="宋体" w:eastAsia="宋体" w:cs="宋体"/>
          <w:kern w:val="0"/>
          <w:szCs w:val="21"/>
        </w:rPr>
        <w:t>72</w:t>
      </w:r>
      <w:r>
        <w:rPr>
          <w:rFonts w:hint="eastAsia" w:ascii="宋体" w:hAnsi="宋体" w:eastAsia="宋体" w:cs="宋体"/>
          <w:kern w:val="0"/>
          <w:szCs w:val="21"/>
        </w:rPr>
        <w:t>芯OPGW-150光缆和1根JLB27-150普通地线。</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全线采用自立式角钢塔。单回路直线塔采用导线水平排列的酒杯型塔，单回路耐张塔采用导线三角排列的干字型塔。</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杆塔基础采用</w:t>
      </w:r>
      <w:r>
        <w:rPr>
          <w:rFonts w:hint="eastAsia"/>
          <w:color w:val="000000" w:themeColor="text1"/>
          <w14:textFill>
            <w14:solidFill>
              <w14:schemeClr w14:val="tx1"/>
            </w14:solidFill>
          </w14:textFill>
        </w:rPr>
        <w:t>挖孔桩基础、掏挖式基础、直柱板式基础、岩石基础</w:t>
      </w:r>
      <w:r>
        <w:rPr>
          <w:rFonts w:hint="eastAsia" w:ascii="宋体" w:hAnsi="宋体" w:eastAsia="宋体" w:cs="宋体"/>
          <w:kern w:val="0"/>
          <w:szCs w:val="21"/>
        </w:rPr>
        <w:t>等型式。</w:t>
      </w:r>
    </w:p>
    <w:p>
      <w:pPr>
        <w:pStyle w:val="6"/>
        <w:spacing w:line="360" w:lineRule="auto"/>
        <w:ind w:firstLine="482" w:firstLineChars="200"/>
        <w:rPr>
          <w:rFonts w:asciiTheme="minorEastAsia" w:hAnsiTheme="minorEastAsia" w:cstheme="minorEastAsia"/>
          <w:b/>
          <w:bCs/>
          <w:sz w:val="24"/>
          <w:szCs w:val="24"/>
        </w:rPr>
      </w:pPr>
      <w:r>
        <w:rPr>
          <w:rFonts w:hint="eastAsia" w:asciiTheme="minorEastAsia" w:hAnsiTheme="minorEastAsia" w:cstheme="minorEastAsia"/>
          <w:b/>
          <w:bCs/>
          <w:sz w:val="24"/>
          <w:szCs w:val="24"/>
        </w:rPr>
        <w:t>2. 500kV江城～通宝Ⅱ回（总长度</w:t>
      </w:r>
      <w:r>
        <w:rPr>
          <w:rFonts w:asciiTheme="minorEastAsia" w:hAnsiTheme="minorEastAsia" w:cstheme="minorEastAsia"/>
          <w:b/>
          <w:bCs/>
          <w:sz w:val="24"/>
          <w:szCs w:val="24"/>
        </w:rPr>
        <w:t>179.6</w:t>
      </w:r>
      <w:r>
        <w:rPr>
          <w:rFonts w:hint="eastAsia" w:asciiTheme="minorEastAsia" w:hAnsiTheme="minorEastAsia" w:cstheme="minorEastAsia"/>
          <w:b/>
          <w:bCs/>
          <w:sz w:val="24"/>
          <w:szCs w:val="24"/>
          <w:lang w:val="en-US" w:eastAsia="zh-CN"/>
        </w:rPr>
        <w:t>58</w:t>
      </w:r>
      <w:r>
        <w:rPr>
          <w:rFonts w:hint="eastAsia" w:asciiTheme="minorEastAsia" w:hAnsiTheme="minorEastAsia" w:cstheme="minorEastAsia"/>
          <w:b/>
          <w:bCs/>
          <w:sz w:val="24"/>
          <w:szCs w:val="24"/>
        </w:rPr>
        <w:t>km，其中标段</w:t>
      </w:r>
      <w:r>
        <w:rPr>
          <w:rFonts w:asciiTheme="minorEastAsia" w:hAnsiTheme="minorEastAsia" w:cstheme="minorEastAsia"/>
          <w:b/>
          <w:bCs/>
          <w:sz w:val="24"/>
          <w:szCs w:val="24"/>
        </w:rPr>
        <w:t>5</w:t>
      </w:r>
      <w:r>
        <w:rPr>
          <w:rFonts w:hint="eastAsia" w:asciiTheme="minorEastAsia" w:hAnsiTheme="minorEastAsia" w:cstheme="minorEastAsia"/>
          <w:b/>
          <w:bCs/>
          <w:sz w:val="24"/>
          <w:szCs w:val="24"/>
        </w:rPr>
        <w:t>长度</w:t>
      </w:r>
      <w:r>
        <w:rPr>
          <w:rFonts w:asciiTheme="minorEastAsia" w:hAnsiTheme="minorEastAsia" w:cstheme="minorEastAsia"/>
          <w:b/>
          <w:bCs/>
          <w:sz w:val="24"/>
          <w:szCs w:val="24"/>
        </w:rPr>
        <w:t>24.988</w:t>
      </w:r>
      <w:r>
        <w:rPr>
          <w:rFonts w:hint="eastAsia" w:asciiTheme="minorEastAsia" w:hAnsiTheme="minorEastAsia" w:cstheme="minorEastAsia"/>
          <w:b/>
          <w:bCs/>
          <w:sz w:val="24"/>
          <w:szCs w:val="24"/>
        </w:rPr>
        <w:t>km）</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新建线路长度约</w:t>
      </w:r>
      <w:r>
        <w:rPr>
          <w:rFonts w:ascii="宋体" w:hAnsi="宋体" w:eastAsia="宋体" w:cs="宋体"/>
          <w:kern w:val="0"/>
          <w:szCs w:val="21"/>
        </w:rPr>
        <w:t>24.988</w:t>
      </w:r>
      <w:r>
        <w:rPr>
          <w:rFonts w:hint="eastAsia" w:ascii="宋体" w:hAnsi="宋体" w:eastAsia="宋体" w:cs="宋体"/>
          <w:kern w:val="0"/>
          <w:szCs w:val="21"/>
        </w:rPr>
        <w:t>km，单回路架设。</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设计基本风速为27m/s（跨江处2</w:t>
      </w:r>
      <w:r>
        <w:rPr>
          <w:rFonts w:ascii="宋体" w:hAnsi="宋体" w:eastAsia="宋体" w:cs="宋体"/>
          <w:kern w:val="0"/>
          <w:szCs w:val="21"/>
        </w:rPr>
        <w:t>9</w:t>
      </w:r>
      <w:r>
        <w:rPr>
          <w:rFonts w:hint="eastAsia" w:ascii="宋体" w:hAnsi="宋体" w:eastAsia="宋体" w:cs="宋体"/>
          <w:kern w:val="0"/>
          <w:szCs w:val="21"/>
        </w:rPr>
        <w:t>m</w:t>
      </w:r>
      <w:r>
        <w:rPr>
          <w:rFonts w:ascii="宋体" w:hAnsi="宋体" w:eastAsia="宋体" w:cs="宋体"/>
          <w:kern w:val="0"/>
          <w:szCs w:val="21"/>
        </w:rPr>
        <w:t>/s</w:t>
      </w:r>
      <w:r>
        <w:rPr>
          <w:rFonts w:hint="eastAsia" w:ascii="宋体" w:hAnsi="宋体" w:eastAsia="宋体" w:cs="宋体"/>
          <w:kern w:val="0"/>
          <w:szCs w:val="21"/>
        </w:rPr>
        <w:t>），设计覆冰为</w:t>
      </w:r>
      <w:r>
        <w:rPr>
          <w:rFonts w:ascii="宋体" w:hAnsi="宋体" w:eastAsia="宋体" w:cs="宋体"/>
          <w:kern w:val="0"/>
          <w:szCs w:val="21"/>
        </w:rPr>
        <w:t>5</w:t>
      </w:r>
      <w:r>
        <w:rPr>
          <w:rFonts w:hint="eastAsia" w:ascii="宋体" w:hAnsi="宋体" w:eastAsia="宋体" w:cs="宋体"/>
          <w:kern w:val="0"/>
          <w:szCs w:val="21"/>
        </w:rPr>
        <w:t>mm、1</w:t>
      </w:r>
      <w:r>
        <w:rPr>
          <w:rFonts w:ascii="宋体" w:hAnsi="宋体" w:eastAsia="宋体" w:cs="宋体"/>
          <w:kern w:val="0"/>
          <w:szCs w:val="21"/>
        </w:rPr>
        <w:t>0</w:t>
      </w:r>
      <w:r>
        <w:rPr>
          <w:rFonts w:hint="eastAsia" w:ascii="宋体" w:hAnsi="宋体" w:eastAsia="宋体" w:cs="宋体"/>
          <w:kern w:val="0"/>
          <w:szCs w:val="21"/>
        </w:rPr>
        <w:t>mm。</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导线采用4分裂JL/LB20A-</w:t>
      </w:r>
      <w:r>
        <w:rPr>
          <w:rFonts w:ascii="宋体" w:hAnsi="宋体" w:eastAsia="宋体" w:cs="宋体"/>
          <w:kern w:val="0"/>
          <w:szCs w:val="21"/>
        </w:rPr>
        <w:t>5</w:t>
      </w:r>
      <w:r>
        <w:rPr>
          <w:rFonts w:hint="eastAsia" w:ascii="宋体" w:hAnsi="宋体" w:eastAsia="宋体" w:cs="宋体"/>
          <w:kern w:val="0"/>
          <w:szCs w:val="21"/>
        </w:rPr>
        <w:t>00/</w:t>
      </w:r>
      <w:r>
        <w:rPr>
          <w:rFonts w:ascii="宋体" w:hAnsi="宋体" w:eastAsia="宋体" w:cs="宋体"/>
          <w:kern w:val="0"/>
          <w:szCs w:val="21"/>
        </w:rPr>
        <w:t>45</w:t>
      </w:r>
      <w:r>
        <w:rPr>
          <w:rFonts w:hint="eastAsia" w:ascii="宋体" w:hAnsi="宋体" w:eastAsia="宋体" w:cs="宋体"/>
          <w:kern w:val="0"/>
          <w:szCs w:val="21"/>
        </w:rPr>
        <w:t>铝包钢芯铝绞线；新建线路全线架设1根</w:t>
      </w:r>
      <w:r>
        <w:rPr>
          <w:rFonts w:ascii="宋体" w:hAnsi="宋体" w:eastAsia="宋体" w:cs="宋体"/>
          <w:kern w:val="0"/>
          <w:szCs w:val="21"/>
        </w:rPr>
        <w:t>72</w:t>
      </w:r>
      <w:r>
        <w:rPr>
          <w:rFonts w:hint="eastAsia" w:ascii="宋体" w:hAnsi="宋体" w:eastAsia="宋体" w:cs="宋体"/>
          <w:kern w:val="0"/>
          <w:szCs w:val="21"/>
        </w:rPr>
        <w:t>芯OPGW-150光缆和1根JLB27-150普通地线。</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全线采用自立式角钢塔。单回路直线塔采用导线水平排列的酒杯型塔，单回路耐张塔采用导线三角排列的干字型塔。</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杆塔基础采用</w:t>
      </w:r>
      <w:r>
        <w:rPr>
          <w:rFonts w:hint="eastAsia"/>
          <w:color w:val="000000" w:themeColor="text1"/>
          <w14:textFill>
            <w14:solidFill>
              <w14:schemeClr w14:val="tx1"/>
            </w14:solidFill>
          </w14:textFill>
        </w:rPr>
        <w:t>挖孔桩基础、掏挖式基础、直柱板式基础、岩石基础</w:t>
      </w:r>
      <w:r>
        <w:rPr>
          <w:rFonts w:hint="eastAsia" w:ascii="宋体" w:hAnsi="宋体" w:eastAsia="宋体" w:cs="宋体"/>
          <w:kern w:val="0"/>
          <w:szCs w:val="21"/>
        </w:rPr>
        <w:t>等型式。</w:t>
      </w:r>
    </w:p>
    <w:p>
      <w:pPr>
        <w:pStyle w:val="2"/>
      </w:pPr>
    </w:p>
    <w:p>
      <w:pPr>
        <w:pStyle w:val="6"/>
        <w:numPr>
          <w:ilvl w:val="0"/>
          <w:numId w:val="1"/>
        </w:numPr>
        <w:adjustRightInd w:val="0"/>
        <w:snapToGrid w:val="0"/>
        <w:spacing w:line="360" w:lineRule="auto"/>
        <w:ind w:firstLine="0"/>
        <w:outlineLvl w:val="0"/>
        <w:rPr>
          <w:rFonts w:hAnsi="宋体" w:eastAsia="宋体" w:cs="宋体"/>
          <w:b/>
          <w:sz w:val="24"/>
          <w:szCs w:val="24"/>
        </w:rPr>
      </w:pPr>
      <w:r>
        <w:rPr>
          <w:rFonts w:hint="eastAsia" w:hAnsi="宋体" w:eastAsia="宋体" w:cs="宋体"/>
          <w:b/>
          <w:sz w:val="24"/>
          <w:szCs w:val="24"/>
        </w:rPr>
        <w:t>采购范围</w:t>
      </w:r>
      <w:bookmarkStart w:id="1" w:name="施工招标范围综合"/>
      <w:r>
        <w:rPr>
          <w:rFonts w:hint="eastAsia" w:hAnsi="宋体" w:eastAsia="宋体" w:cs="宋体"/>
          <w:b/>
          <w:sz w:val="24"/>
          <w:szCs w:val="24"/>
        </w:rPr>
        <w:t xml:space="preserve"> </w:t>
      </w:r>
    </w:p>
    <w:bookmarkEnd w:id="1"/>
    <w:p>
      <w:pPr>
        <w:pStyle w:val="4"/>
        <w:spacing w:line="360" w:lineRule="auto"/>
        <w:ind w:firstLine="422" w:firstLineChars="200"/>
        <w:rPr>
          <w:rFonts w:ascii="宋体" w:hAnsi="宋体" w:cs="宋体"/>
          <w:b w:val="0"/>
          <w:i w:val="0"/>
          <w:color w:val="auto"/>
          <w:kern w:val="0"/>
          <w:sz w:val="21"/>
          <w:szCs w:val="21"/>
        </w:rPr>
      </w:pPr>
      <w:r>
        <w:rPr>
          <w:rFonts w:hint="eastAsia" w:ascii="宋体" w:hAnsi="宋体" w:eastAsia="宋体" w:cs="宋体"/>
          <w:bCs/>
          <w:i w:val="0"/>
          <w:color w:val="auto"/>
          <w:kern w:val="0"/>
          <w:sz w:val="21"/>
          <w:szCs w:val="21"/>
        </w:rPr>
        <w:t>线路部分:</w:t>
      </w:r>
      <w:r>
        <w:rPr>
          <w:rFonts w:hint="eastAsia" w:ascii="宋体" w:hAnsi="宋体" w:cs="宋体"/>
          <w:b w:val="0"/>
          <w:i w:val="0"/>
          <w:color w:val="auto"/>
          <w:kern w:val="0"/>
          <w:sz w:val="21"/>
          <w:szCs w:val="21"/>
        </w:rPr>
        <w:t>完成线路本体工程的施工、调试及整套启动试运，还包括但不限于下述项目：建设场地征用及清理，包括塔基永久性土地征（租）用（不含耕地占用税，但中标单应按相关要求办理线路塔基位土地备案证明）；迁移补偿，包括林木砍伐补偿（不含永久部分植被恢复费、永久部分林业报件费），中标单位应按相关要求办理永久使用林地采伐证、负责办理临时使用林草地批复及林木采伐证，负责临时使用林草地植被恢复并满足当地林草主管部门验收要求；负责青苗、经济作物、城市绿化赔偿；建构筑物补偿；电力线路、通信线路补偿，道路、管道补偿；余物清理，包括建构筑物拆除、电力线、通信线路拆除及运输（废旧物资运输至建设单位指定地点）、道路和管道拆除及运输（废旧物资运输至建单位指定地点）、余土外运；送电线路走廊施工赔偿；材料站租（占）用；放线牵张场场建设；障碍物拆迁等及相关配合；光缆测量、接续；各类达标、检查、验收、质量监督、环保后评估等配合；移交前的本体与走廊看护与维护；修路、桥梁及涵管加固；交叉跨越（含带电跨越）措施；已完工程保护；环境保护；施工降水；二次进场；围堰施工；封航施工；特殊放线措施；高海拔、高温、严寒、沙漠等特殊地区施工措施等以及环保、水土保持措施等的工作协调。相序牌、杆号牌、警示牌、220kV及以上项目直升机巡线牌（含料费和安装费）仅包含本期建设线路所包含的塔基部分，不含线路建设引起其他运行线路相序牌变化和对侧间隔标示更换的费用；不含林业勘测规划(临时性用地除外)、桩基检测、电力设施保护区标牌设置；不含厂、矿、石、砂、砖窑、炸药库等的停、封、迁移补偿等和军事设施补偿、水利设施补偿费等补偿。</w:t>
      </w:r>
    </w:p>
    <w:p>
      <w:pPr>
        <w:pStyle w:val="4"/>
        <w:spacing w:line="360" w:lineRule="auto"/>
        <w:ind w:firstLine="420" w:firstLineChars="200"/>
        <w:rPr>
          <w:rFonts w:ascii="宋体" w:hAnsi="宋体" w:cs="宋体"/>
          <w:b w:val="0"/>
          <w:i w:val="0"/>
          <w:color w:val="auto"/>
          <w:kern w:val="0"/>
          <w:sz w:val="21"/>
          <w:szCs w:val="21"/>
        </w:rPr>
      </w:pPr>
      <w:r>
        <w:rPr>
          <w:rFonts w:hint="eastAsia" w:ascii="宋体" w:hAnsi="宋体" w:cs="宋体"/>
          <w:b w:val="0"/>
          <w:i w:val="0"/>
          <w:color w:val="auto"/>
          <w:kern w:val="0"/>
          <w:sz w:val="21"/>
          <w:szCs w:val="21"/>
        </w:rPr>
        <w:t>铁塔（含防高空坠落装置）、导线、地线（含OPGW光缆及金具）、绝缘子、线路金具、降阻剂、接地模块、航空警示灯（如有）、石墨接地体（如有）由招标人供应。其余材料均由投标人自行采购。</w:t>
      </w:r>
    </w:p>
    <w:p/>
    <w:p/>
    <w:p>
      <w:pPr>
        <w:pStyle w:val="6"/>
        <w:numPr>
          <w:ilvl w:val="0"/>
          <w:numId w:val="1"/>
        </w:numPr>
        <w:adjustRightInd w:val="0"/>
        <w:snapToGrid w:val="0"/>
        <w:spacing w:line="360" w:lineRule="auto"/>
        <w:ind w:firstLine="0"/>
        <w:outlineLvl w:val="0"/>
        <w:rPr>
          <w:rFonts w:hAnsi="宋体" w:eastAsia="宋体" w:cs="宋体"/>
          <w:b/>
          <w:sz w:val="24"/>
          <w:szCs w:val="24"/>
        </w:rPr>
      </w:pPr>
      <w:r>
        <w:rPr>
          <w:rFonts w:hint="eastAsia" w:hAnsi="宋体" w:eastAsia="宋体" w:cs="宋体"/>
          <w:b/>
          <w:sz w:val="24"/>
          <w:szCs w:val="24"/>
        </w:rPr>
        <w:t xml:space="preserve">承包方式 </w:t>
      </w:r>
    </w:p>
    <w:p>
      <w:pPr>
        <w:pStyle w:val="6"/>
        <w:spacing w:line="360" w:lineRule="auto"/>
        <w:ind w:firstLine="420" w:firstLineChars="200"/>
        <w:rPr>
          <w:rFonts w:hAnsi="宋体" w:eastAsia="宋体" w:cs="宋体"/>
          <w:snapToGrid w:val="0"/>
          <w:sz w:val="21"/>
          <w:szCs w:val="21"/>
        </w:rPr>
      </w:pPr>
      <w:bookmarkStart w:id="2" w:name="XmInfoEntity_SGCBFS_0_1"/>
      <w:r>
        <w:rPr>
          <w:rFonts w:hint="eastAsia" w:hAnsi="宋体" w:eastAsia="宋体" w:cs="宋体"/>
          <w:snapToGrid w:val="0"/>
          <w:sz w:val="21"/>
          <w:szCs w:val="21"/>
        </w:rPr>
        <w:t>包工、部分包料。</w:t>
      </w:r>
      <w:bookmarkEnd w:id="2"/>
    </w:p>
    <w:p>
      <w:pPr>
        <w:pStyle w:val="6"/>
        <w:spacing w:line="360" w:lineRule="auto"/>
        <w:ind w:firstLine="420" w:firstLineChars="200"/>
        <w:rPr>
          <w:rFonts w:hAnsi="宋体" w:eastAsia="宋体" w:cs="宋体"/>
          <w:snapToGrid w:val="0"/>
          <w:sz w:val="21"/>
          <w:szCs w:val="21"/>
        </w:rPr>
      </w:pPr>
      <w:r>
        <w:rPr>
          <w:rFonts w:hint="eastAsia" w:hAnsi="宋体" w:eastAsia="宋体" w:cs="宋体"/>
          <w:snapToGrid w:val="0"/>
          <w:sz w:val="21"/>
          <w:szCs w:val="21"/>
        </w:rPr>
        <w:t>甲供物资清单：见附件</w:t>
      </w:r>
    </w:p>
    <w:p>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3F47E8"/>
    <w:multiLevelType w:val="singleLevel"/>
    <w:tmpl w:val="273F47E8"/>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0D71D5"/>
    <w:rsid w:val="000A1EB5"/>
    <w:rsid w:val="000A4457"/>
    <w:rsid w:val="000E27DB"/>
    <w:rsid w:val="00142DDC"/>
    <w:rsid w:val="00143E49"/>
    <w:rsid w:val="00193119"/>
    <w:rsid w:val="0021100A"/>
    <w:rsid w:val="002F2D65"/>
    <w:rsid w:val="00331A8A"/>
    <w:rsid w:val="003B28C3"/>
    <w:rsid w:val="003E6908"/>
    <w:rsid w:val="004366B3"/>
    <w:rsid w:val="00440115"/>
    <w:rsid w:val="0046080E"/>
    <w:rsid w:val="004B4774"/>
    <w:rsid w:val="004D0EC8"/>
    <w:rsid w:val="004D1B37"/>
    <w:rsid w:val="00581255"/>
    <w:rsid w:val="005820A2"/>
    <w:rsid w:val="005B170A"/>
    <w:rsid w:val="005C4928"/>
    <w:rsid w:val="005F10B0"/>
    <w:rsid w:val="005F5B1F"/>
    <w:rsid w:val="00611B1D"/>
    <w:rsid w:val="00673EB2"/>
    <w:rsid w:val="006763AD"/>
    <w:rsid w:val="00681DD2"/>
    <w:rsid w:val="00696080"/>
    <w:rsid w:val="006B1AD8"/>
    <w:rsid w:val="006E3961"/>
    <w:rsid w:val="00705DFB"/>
    <w:rsid w:val="0071236B"/>
    <w:rsid w:val="00741515"/>
    <w:rsid w:val="007B13C2"/>
    <w:rsid w:val="007C4298"/>
    <w:rsid w:val="007C6A79"/>
    <w:rsid w:val="007D797C"/>
    <w:rsid w:val="007F35D2"/>
    <w:rsid w:val="00904798"/>
    <w:rsid w:val="0096213B"/>
    <w:rsid w:val="009B51A3"/>
    <w:rsid w:val="009E5BBE"/>
    <w:rsid w:val="00A64FC6"/>
    <w:rsid w:val="00AC1A12"/>
    <w:rsid w:val="00C13DDC"/>
    <w:rsid w:val="00C51B64"/>
    <w:rsid w:val="00C52751"/>
    <w:rsid w:val="00C54698"/>
    <w:rsid w:val="00CA2DAA"/>
    <w:rsid w:val="00CC0EB8"/>
    <w:rsid w:val="00CC7855"/>
    <w:rsid w:val="00D87D67"/>
    <w:rsid w:val="00E44943"/>
    <w:rsid w:val="00E53392"/>
    <w:rsid w:val="00F56FC4"/>
    <w:rsid w:val="00F82E46"/>
    <w:rsid w:val="00FC00B0"/>
    <w:rsid w:val="00FF12D2"/>
    <w:rsid w:val="00FF55CE"/>
    <w:rsid w:val="01471771"/>
    <w:rsid w:val="02C1531D"/>
    <w:rsid w:val="071B3875"/>
    <w:rsid w:val="0AB34E04"/>
    <w:rsid w:val="0DC6401A"/>
    <w:rsid w:val="0DF30D4B"/>
    <w:rsid w:val="1096538D"/>
    <w:rsid w:val="1110038B"/>
    <w:rsid w:val="12297CF9"/>
    <w:rsid w:val="128819B3"/>
    <w:rsid w:val="137E24BA"/>
    <w:rsid w:val="19E22CC7"/>
    <w:rsid w:val="1BA63B03"/>
    <w:rsid w:val="1C8F30AE"/>
    <w:rsid w:val="214777F1"/>
    <w:rsid w:val="21B828D4"/>
    <w:rsid w:val="21DE176F"/>
    <w:rsid w:val="22683671"/>
    <w:rsid w:val="24673F50"/>
    <w:rsid w:val="254D147E"/>
    <w:rsid w:val="2A99495F"/>
    <w:rsid w:val="2E8B0915"/>
    <w:rsid w:val="3288573D"/>
    <w:rsid w:val="344250FD"/>
    <w:rsid w:val="37AC2A04"/>
    <w:rsid w:val="3CBE0D9F"/>
    <w:rsid w:val="3F43088C"/>
    <w:rsid w:val="41046039"/>
    <w:rsid w:val="44F901B8"/>
    <w:rsid w:val="46A7570B"/>
    <w:rsid w:val="46B60F87"/>
    <w:rsid w:val="46CA2092"/>
    <w:rsid w:val="480C50DB"/>
    <w:rsid w:val="494A71CD"/>
    <w:rsid w:val="49C37D91"/>
    <w:rsid w:val="4AA54ED9"/>
    <w:rsid w:val="4BCD7C02"/>
    <w:rsid w:val="4D1B7EC6"/>
    <w:rsid w:val="55AF7E22"/>
    <w:rsid w:val="590429E2"/>
    <w:rsid w:val="59B73677"/>
    <w:rsid w:val="5BBB1A7E"/>
    <w:rsid w:val="5C972F0A"/>
    <w:rsid w:val="5D964E94"/>
    <w:rsid w:val="6189617B"/>
    <w:rsid w:val="6487402D"/>
    <w:rsid w:val="65904792"/>
    <w:rsid w:val="65A323A7"/>
    <w:rsid w:val="6AF57C40"/>
    <w:rsid w:val="740D71D5"/>
    <w:rsid w:val="753B6497"/>
    <w:rsid w:val="760D6D27"/>
    <w:rsid w:val="76EC0E90"/>
    <w:rsid w:val="7A384B3C"/>
    <w:rsid w:val="7AF21A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1"/>
    <w:unhideWhenUsed/>
    <w:qFormat/>
    <w:uiPriority w:val="99"/>
    <w:pPr>
      <w:autoSpaceDE w:val="0"/>
      <w:autoSpaceDN w:val="0"/>
      <w:adjustRightInd w:val="0"/>
      <w:outlineLvl w:val="1"/>
    </w:pPr>
    <w:rPr>
      <w:rFonts w:ascii="Arial" w:hAnsi="Arial"/>
      <w:b/>
      <w:i/>
      <w:color w:val="000000"/>
      <w:sz w:val="28"/>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w:basedOn w:val="3"/>
    <w:next w:val="3"/>
    <w:qFormat/>
    <w:uiPriority w:val="0"/>
    <w:pPr>
      <w:spacing w:after="120" w:line="360" w:lineRule="auto"/>
      <w:ind w:firstLine="598"/>
    </w:pPr>
  </w:style>
  <w:style w:type="paragraph" w:styleId="3">
    <w:name w:val="Title"/>
    <w:basedOn w:val="1"/>
    <w:next w:val="1"/>
    <w:qFormat/>
    <w:uiPriority w:val="0"/>
    <w:pPr>
      <w:spacing w:before="240" w:after="60"/>
      <w:jc w:val="center"/>
      <w:outlineLvl w:val="0"/>
    </w:pPr>
    <w:rPr>
      <w:rFonts w:ascii="Arial" w:hAnsi="Arial"/>
      <w:b/>
      <w:sz w:val="32"/>
    </w:rPr>
  </w:style>
  <w:style w:type="paragraph" w:styleId="5">
    <w:name w:val="annotation text"/>
    <w:basedOn w:val="1"/>
    <w:qFormat/>
    <w:uiPriority w:val="0"/>
    <w:pPr>
      <w:jc w:val="left"/>
    </w:pPr>
  </w:style>
  <w:style w:type="paragraph" w:styleId="6">
    <w:name w:val="Plain Text"/>
    <w:basedOn w:val="1"/>
    <w:qFormat/>
    <w:uiPriority w:val="0"/>
    <w:rPr>
      <w:rFonts w:ascii="宋体" w:hAnsi="Courier New"/>
      <w:kern w:val="0"/>
      <w:sz w:val="20"/>
      <w:szCs w:val="20"/>
    </w:rPr>
  </w:style>
  <w:style w:type="paragraph" w:styleId="7">
    <w:name w:val="footer"/>
    <w:basedOn w:val="1"/>
    <w:link w:val="16"/>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9">
    <w:name w:val="toc 2"/>
    <w:basedOn w:val="1"/>
    <w:next w:val="1"/>
    <w:qFormat/>
    <w:uiPriority w:val="0"/>
    <w:pPr>
      <w:jc w:val="center"/>
    </w:pPr>
    <w:rPr>
      <w:rFonts w:ascii="仿宋_GB2312" w:hAnsi="宋体" w:eastAsia="仿宋_GB2312"/>
      <w:b/>
      <w:sz w:val="28"/>
      <w:szCs w:val="28"/>
    </w:rPr>
  </w:style>
  <w:style w:type="paragraph" w:styleId="10">
    <w:name w:val="Body Text First Indent"/>
    <w:basedOn w:val="2"/>
    <w:unhideWhenUsed/>
    <w:qFormat/>
    <w:uiPriority w:val="99"/>
    <w:pPr>
      <w:ind w:firstLine="200" w:firstLineChars="200"/>
      <w:jc w:val="both"/>
    </w:pPr>
    <w:rPr>
      <w:kern w:val="0"/>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Emphasis"/>
    <w:basedOn w:val="13"/>
    <w:qFormat/>
    <w:uiPriority w:val="20"/>
    <w:rPr>
      <w:i/>
      <w:iCs/>
    </w:rPr>
  </w:style>
  <w:style w:type="character" w:customStyle="1" w:styleId="15">
    <w:name w:val="页眉 字符"/>
    <w:basedOn w:val="13"/>
    <w:link w:val="8"/>
    <w:qFormat/>
    <w:uiPriority w:val="0"/>
    <w:rPr>
      <w:rFonts w:asciiTheme="minorHAnsi" w:hAnsiTheme="minorHAnsi" w:eastAsiaTheme="minorEastAsia" w:cstheme="minorBidi"/>
      <w:kern w:val="2"/>
      <w:sz w:val="18"/>
      <w:szCs w:val="18"/>
    </w:rPr>
  </w:style>
  <w:style w:type="character" w:customStyle="1" w:styleId="16">
    <w:name w:val="页脚 字符"/>
    <w:basedOn w:val="13"/>
    <w:link w:val="7"/>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User</Company>
  <Pages>3</Pages>
  <Words>1563</Words>
  <Characters>1758</Characters>
  <Lines>13</Lines>
  <Paragraphs>3</Paragraphs>
  <TotalTime>7</TotalTime>
  <ScaleCrop>false</ScaleCrop>
  <LinksUpToDate>false</LinksUpToDate>
  <CharactersWithSpaces>1768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2024-07-24T02:44:00Z</dcterms:created>
  <dc:creator>彭钟华</dc:creator>
  <cp:lastModifiedBy>王浩骅</cp:lastModifiedBy>
  <dcterms:modified xsi:type="dcterms:W3CDTF">2026-02-14T02:34:13Z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065384C4A884401EA16D407FD65A5A8C</vt:lpwstr>
  </property>
  <property fmtid="{D5CDD505-2E9C-101B-9397-08002B2CF9AE}" pid="4" name="KSOTemplateDocerSaveRecord">
    <vt:lpwstr>eyJoZGlkIjoiY2MwNzFiODYzNDkxNDY4ZmVlZDU2OGNlMzRhNzEwNWQiLCJ1c2VySWQiOiI4NTc3NDU3MjQifQ==</vt:lpwstr>
  </property>
</Properties>
</file>