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bCs/>
          <w:snapToGrid w:val="0"/>
          <w:color w:val="auto"/>
          <w:kern w:val="0"/>
          <w:sz w:val="32"/>
          <w:szCs w:val="32"/>
          <w:highlight w:val="none"/>
          <w:u w:val="singl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标的4</w:t>
      </w:r>
    </w:p>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500kV和平变扩建主变工程施工 </w:t>
      </w:r>
    </w:p>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2"/>
        <w:tblW w:w="7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2583"/>
        <w:gridCol w:w="4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37"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序号</w:t>
            </w:r>
          </w:p>
        </w:tc>
        <w:tc>
          <w:tcPr>
            <w:tcW w:w="2583"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文件名称</w:t>
            </w:r>
          </w:p>
        </w:tc>
        <w:tc>
          <w:tcPr>
            <w:tcW w:w="4080"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37"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1</w:t>
            </w:r>
          </w:p>
        </w:tc>
        <w:tc>
          <w:tcPr>
            <w:tcW w:w="2583"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可研批复文号</w:t>
            </w:r>
          </w:p>
        </w:tc>
        <w:tc>
          <w:tcPr>
            <w:tcW w:w="4080" w:type="dxa"/>
            <w:vAlign w:val="center"/>
          </w:tcPr>
          <w:p>
            <w:pPr>
              <w:keepNext w:val="0"/>
              <w:keepLines w:val="0"/>
              <w:widowControl/>
              <w:suppressLineNumbers w:val="0"/>
              <w:jc w:val="center"/>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rPr>
              <w:t>南方电网规划〔2024〕146号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37"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2</w:t>
            </w:r>
          </w:p>
        </w:tc>
        <w:tc>
          <w:tcPr>
            <w:tcW w:w="2583"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项目备案文号</w:t>
            </w:r>
          </w:p>
        </w:tc>
        <w:tc>
          <w:tcPr>
            <w:tcW w:w="4080" w:type="dxa"/>
            <w:vAlign w:val="center"/>
          </w:tcPr>
          <w:p>
            <w:pPr>
              <w:keepNext w:val="0"/>
              <w:keepLines w:val="0"/>
              <w:widowControl/>
              <w:suppressLineNumbers w:val="0"/>
              <w:shd w:val="clear" w:color="auto" w:fill="auto"/>
              <w:ind w:firstLine="420" w:firstLineChars="200"/>
              <w:jc w:val="both"/>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rPr>
              <w:t>云发改能源〔2025〕1050号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37"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3</w:t>
            </w:r>
          </w:p>
        </w:tc>
        <w:tc>
          <w:tcPr>
            <w:tcW w:w="2583"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napToGrid w:val="0"/>
                <w:color w:val="auto"/>
                <w:kern w:val="0"/>
                <w:sz w:val="24"/>
                <w:szCs w:val="24"/>
                <w:highlight w:val="none"/>
                <w:u w:val="singl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初设批复文号</w:t>
            </w:r>
          </w:p>
        </w:tc>
        <w:tc>
          <w:tcPr>
            <w:tcW w:w="4080" w:type="dxa"/>
            <w:vAlign w:val="center"/>
          </w:tcPr>
          <w:p>
            <w:pPr>
              <w:keepNext w:val="0"/>
              <w:keepLines w:val="0"/>
              <w:widowControl/>
              <w:suppressLineNumbers w:val="0"/>
              <w:shd w:val="clear" w:color="auto" w:fill="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南方电网工程〔2026〕8号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37"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4</w:t>
            </w:r>
          </w:p>
        </w:tc>
        <w:tc>
          <w:tcPr>
            <w:tcW w:w="2583"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资金落实情况</w:t>
            </w:r>
          </w:p>
        </w:tc>
        <w:tc>
          <w:tcPr>
            <w:tcW w:w="4080" w:type="dxa"/>
            <w:vAlign w:val="center"/>
          </w:tcPr>
          <w:p>
            <w:pPr>
              <w:keepNext w:val="0"/>
              <w:keepLines w:val="0"/>
              <w:widowControl/>
              <w:suppressLineNumbers w:val="0"/>
              <w:shd w:val="clear" w:color="auto" w:fill="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云电规划〔2025〕881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37"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5</w:t>
            </w:r>
          </w:p>
        </w:tc>
        <w:tc>
          <w:tcPr>
            <w:tcW w:w="2583"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施工图预算批复文号</w:t>
            </w:r>
          </w:p>
        </w:tc>
        <w:tc>
          <w:tcPr>
            <w:tcW w:w="408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auto"/>
                <w:sz w:val="21"/>
                <w:szCs w:val="21"/>
                <w:highlight w:val="none"/>
                <w:u w:val="none"/>
                <w:vertAlign w:val="baseline"/>
                <w:lang w:val="en-US" w:eastAsia="zh-CN"/>
              </w:rPr>
            </w:pPr>
            <w:r>
              <w:rPr>
                <w:rFonts w:hint="eastAsia" w:hAnsi="宋体" w:cs="宋体"/>
                <w:color w:val="auto"/>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37"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6</w:t>
            </w:r>
          </w:p>
        </w:tc>
        <w:tc>
          <w:tcPr>
            <w:tcW w:w="2583"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hAnsi="宋体" w:cs="宋体"/>
                <w:b/>
                <w:bCs/>
                <w:color w:val="auto"/>
                <w:sz w:val="21"/>
                <w:szCs w:val="21"/>
                <w:highlight w:val="none"/>
                <w:u w:val="none"/>
                <w:vertAlign w:val="baseline"/>
                <w:lang w:val="en-US" w:eastAsia="zh-CN"/>
              </w:rPr>
              <w:t>项目建设单位</w:t>
            </w:r>
          </w:p>
        </w:tc>
        <w:tc>
          <w:tcPr>
            <w:tcW w:w="408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hAnsi="宋体" w:eastAsia="宋体" w:cs="宋体"/>
                <w:color w:val="auto"/>
                <w:sz w:val="21"/>
                <w:szCs w:val="21"/>
                <w:highlight w:val="none"/>
                <w:u w:val="none"/>
                <w:vertAlign w:val="baseline"/>
                <w:lang w:val="en-US" w:eastAsia="zh-CN"/>
              </w:rPr>
            </w:pPr>
            <w:r>
              <w:rPr>
                <w:rFonts w:hint="eastAsia" w:hAnsi="宋体" w:eastAsia="宋体" w:cs="宋体"/>
                <w:sz w:val="21"/>
                <w:szCs w:val="21"/>
              </w:rPr>
              <w:t>云南电网有限责任公司</w:t>
            </w:r>
            <w:r>
              <w:rPr>
                <w:rFonts w:hint="eastAsia" w:hAnsi="宋体" w:cs="宋体"/>
                <w:sz w:val="21"/>
                <w:szCs w:val="21"/>
                <w:lang w:val="en-US" w:eastAsia="zh-CN"/>
              </w:rPr>
              <w:t>楚雄供电局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37"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7</w:t>
            </w:r>
          </w:p>
        </w:tc>
        <w:tc>
          <w:tcPr>
            <w:tcW w:w="2583" w:type="dxa"/>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hAnsi="宋体" w:cs="宋体"/>
                <w:b/>
                <w:bCs/>
                <w:color w:val="auto"/>
                <w:sz w:val="21"/>
                <w:szCs w:val="21"/>
                <w:highlight w:val="none"/>
                <w:u w:val="none"/>
                <w:vertAlign w:val="baseline"/>
                <w:lang w:val="en-US" w:eastAsia="zh-CN"/>
              </w:rPr>
              <w:t>项目建设地点</w:t>
            </w:r>
          </w:p>
        </w:tc>
        <w:tc>
          <w:tcPr>
            <w:tcW w:w="408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default" w:hAnsi="宋体" w:eastAsia="宋体" w:cs="宋体"/>
                <w:color w:val="auto"/>
                <w:sz w:val="21"/>
                <w:szCs w:val="21"/>
                <w:highlight w:val="none"/>
                <w:u w:val="none"/>
                <w:vertAlign w:val="baseline"/>
                <w:lang w:val="en-US" w:eastAsia="zh-CN"/>
              </w:rPr>
            </w:pPr>
            <w:r>
              <w:rPr>
                <w:rFonts w:hint="eastAsia" w:ascii="宋体" w:hAnsi="宋体" w:eastAsia="宋体" w:cs="宋体"/>
                <w:kern w:val="0"/>
                <w:sz w:val="21"/>
                <w:szCs w:val="21"/>
                <w:lang w:val="en-US" w:eastAsia="zh-CN" w:bidi="ar-SA"/>
              </w:rPr>
              <w:t>云南省</w:t>
            </w:r>
            <w:r>
              <w:rPr>
                <w:rFonts w:hint="eastAsia" w:hAnsi="宋体" w:cs="宋体"/>
                <w:kern w:val="0"/>
                <w:sz w:val="21"/>
                <w:szCs w:val="21"/>
                <w:lang w:val="en-US" w:eastAsia="zh-CN" w:bidi="ar-SA"/>
              </w:rPr>
              <w:t>楚雄州禄丰市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37"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8</w:t>
            </w:r>
          </w:p>
        </w:tc>
        <w:tc>
          <w:tcPr>
            <w:tcW w:w="2583"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hAnsi="宋体" w:cs="宋体"/>
                <w:b/>
                <w:bCs/>
                <w:color w:val="auto"/>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408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0"/>
                <w:sz w:val="21"/>
                <w:szCs w:val="21"/>
                <w:highlight w:val="none"/>
                <w:lang w:val="en-US" w:eastAsia="zh-CN" w:bidi="ar-SA"/>
              </w:rPr>
            </w:pPr>
            <w:r>
              <w:rPr>
                <w:rFonts w:hint="eastAsia" w:ascii="宋体" w:hAnsi="宋体" w:eastAsia="宋体" w:cs="宋体"/>
                <w:sz w:val="21"/>
                <w:szCs w:val="21"/>
                <w:highlight w:val="none"/>
                <w:u w:val="none"/>
              </w:rPr>
              <w:t>中国能源建设集团广东省电力设计研究院有限公司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37"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hAnsi="宋体" w:cs="宋体"/>
                <w:b/>
                <w:bCs/>
                <w:snapToGrid w:val="0"/>
                <w:color w:val="auto"/>
                <w:kern w:val="0"/>
                <w:sz w:val="24"/>
                <w:szCs w:val="24"/>
                <w:highlight w:val="none"/>
                <w:u w:val="single"/>
                <w:vertAlign w:val="baseline"/>
                <w:lang w:val="en-US" w:eastAsia="zh-CN"/>
              </w:rPr>
            </w:pPr>
            <w:r>
              <w:rPr>
                <w:rFonts w:hint="eastAsia" w:hAnsi="宋体" w:cs="宋体"/>
                <w:b/>
                <w:bCs/>
                <w:snapToGrid w:val="0"/>
                <w:color w:val="auto"/>
                <w:kern w:val="0"/>
                <w:sz w:val="24"/>
                <w:szCs w:val="24"/>
                <w:highlight w:val="none"/>
                <w:u w:val="single"/>
                <w:vertAlign w:val="baseline"/>
                <w:lang w:val="en-US" w:eastAsia="zh-CN"/>
              </w:rPr>
              <w:t>9</w:t>
            </w:r>
          </w:p>
        </w:tc>
        <w:tc>
          <w:tcPr>
            <w:tcW w:w="2583"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eastAsia" w:hAnsi="宋体" w:cs="宋体"/>
                <w:b/>
                <w:bCs/>
                <w:color w:val="auto"/>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408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0"/>
                <w:sz w:val="21"/>
                <w:szCs w:val="21"/>
                <w:highlight w:val="none"/>
                <w:lang w:val="en-US" w:eastAsia="zh-CN" w:bidi="ar-SA"/>
              </w:rPr>
            </w:pPr>
            <w:r>
              <w:rPr>
                <w:rFonts w:hint="eastAsia" w:hAnsi="宋体" w:cs="宋体"/>
                <w:kern w:val="0"/>
                <w:sz w:val="21"/>
                <w:szCs w:val="21"/>
                <w:highlight w:val="none"/>
                <w:lang w:val="en-US" w:eastAsia="zh-CN" w:bidi="ar-SA"/>
              </w:rPr>
              <w:t>暂无</w:t>
            </w:r>
          </w:p>
        </w:tc>
      </w:tr>
    </w:tbl>
    <w:p>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4"/>
          <w:szCs w:val="24"/>
          <w:highlight w:val="none"/>
          <w:lang w:val="en-US" w:eastAsia="zh-CN"/>
        </w:rPr>
      </w:pPr>
    </w:p>
    <w:p>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（一）项目概况</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4755"/>
      <w:bookmarkStart w:id="2" w:name="_Toc28718"/>
      <w:bookmarkStart w:id="3" w:name="_Toc13498"/>
    </w:p>
    <w:bookmarkEnd w:id="1"/>
    <w:bookmarkEnd w:id="2"/>
    <w:bookmarkEnd w:id="3"/>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textAlignment w:val="auto"/>
        <w:outlineLvl w:val="9"/>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 xml:space="preserve">1.500kV和平变扩建主变工程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cstheme="minorEastAsia"/>
          <w:b w:val="0"/>
          <w:bCs w:val="0"/>
          <w:sz w:val="24"/>
          <w:szCs w:val="24"/>
        </w:rPr>
      </w:pPr>
      <w:r>
        <w:rPr>
          <w:rFonts w:hint="eastAsia" w:asciiTheme="minorEastAsia" w:hAnsiTheme="minorEastAsia" w:cstheme="minorEastAsia"/>
          <w:b w:val="0"/>
          <w:bCs w:val="0"/>
          <w:sz w:val="24"/>
          <w:szCs w:val="24"/>
        </w:rPr>
        <w:t>本期扩建750兆伏安主变压器1组；500千伏扩建1个主变进线间隔；220千伏超规模扩建1个主变进线间隔和4个出线间隔（无出线）；本期新建3号主变低压侧配置3组60兆乏低压并联电容器、2组60兆乏低压并联电抗器；在前期1号、2号主变低压侧各增设1组60兆乏低压并联电容器。本期超规模扩建3号主变及其相应的进出线间隔，需外扩围墙并新征用地，新征用地面积1.8597公顷，其中围墙内用地面积0.9638公顷。新征用地不涉及基本农田及生态红线。随和平变扩建间隔调整220千伏和腰I、II回线路1根24芯光缆，与原架空光缆接续。</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textAlignment w:val="auto"/>
        <w:outlineLvl w:val="9"/>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2.500kV草和乙线线路工程</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cstheme="minorEastAsia"/>
          <w:b w:val="0"/>
          <w:bCs w:val="0"/>
          <w:sz w:val="24"/>
          <w:szCs w:val="24"/>
        </w:rPr>
      </w:pPr>
      <w:r>
        <w:rPr>
          <w:rFonts w:hint="eastAsia" w:asciiTheme="minorEastAsia" w:hAnsiTheme="minorEastAsia" w:cstheme="minorEastAsia"/>
          <w:b w:val="0"/>
          <w:bCs w:val="0"/>
          <w:sz w:val="24"/>
          <w:szCs w:val="24"/>
        </w:rPr>
        <w:t>根据系统规划及现有扩建场地条件，需将已建的500千伏草和乙线以及220千伏和腰Ⅰ、Ⅱ回线进行局部迁改。在500千伏草和乙线N64-N65档中新建1基铁塔，使500千伏草和乙线对220千伏配电场地东南侧扩建场地的安全距离满足规程规范要求。本工程迁改方案新建500千伏线路长度约1.1km，按单回路架设，新建线路位于云南省楚雄州禄丰市金山镇，地形为一般山地和丘陵，海拔高度分布在1680m-1830m之间。</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cstheme="minorEastAsia"/>
          <w:b w:val="0"/>
          <w:bCs w:val="0"/>
          <w:sz w:val="24"/>
          <w:szCs w:val="24"/>
        </w:rPr>
      </w:pPr>
      <w:r>
        <w:rPr>
          <w:rFonts w:hint="eastAsia" w:asciiTheme="minorEastAsia" w:hAnsiTheme="minorEastAsia" w:cstheme="minorEastAsia"/>
          <w:b w:val="0"/>
          <w:bCs w:val="0"/>
          <w:sz w:val="24"/>
          <w:szCs w:val="24"/>
        </w:rPr>
        <w:t>本工程需拆除原500千伏草和乙线导、地线路径长度约1.1km，不拆铁塔。</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textAlignment w:val="auto"/>
        <w:outlineLvl w:val="9"/>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3.220kV和腰Ⅰ、Ⅱ回线线路工程</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cstheme="minorEastAsia"/>
          <w:b w:val="0"/>
          <w:bCs w:val="0"/>
          <w:sz w:val="24"/>
          <w:szCs w:val="24"/>
        </w:rPr>
      </w:pPr>
      <w:r>
        <w:rPr>
          <w:rFonts w:hint="eastAsia" w:asciiTheme="minorEastAsia" w:hAnsiTheme="minorEastAsia" w:cstheme="minorEastAsia"/>
          <w:b w:val="0"/>
          <w:bCs w:val="0"/>
          <w:sz w:val="24"/>
          <w:szCs w:val="24"/>
        </w:rPr>
        <w:t>根据系统规划，将220千伏和腰Ⅰ、Ⅱ回线由原和平变西南侧220千伏出线从由东南往西北数第二、一两个出线间隔，调整至本期扩建的220千伏配电场从东南往西北数第四、三两个出线间隔。本工程推荐迁改方案新建220千伏线路长度约0.45km双回路+0.8km单回路，新建线路位于云南省楚雄州禄丰市金山镇，地形为一般山地和丘陵，海拔高度分布在1700m-1850m之间。本工程需拆除原220千伏和腰Ⅰ线长约0.734km、拆除原220千伏和腰Ⅱ线长约0.723km，拆除220千伏双回铁塔2基。</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（二）采购范围：</w:t>
      </w:r>
    </w:p>
    <w:p>
      <w:pPr>
        <w:pStyle w:val="6"/>
        <w:spacing w:line="360" w:lineRule="auto"/>
        <w:ind w:firstLine="422" w:firstLineChars="200"/>
      </w:pPr>
      <w:r>
        <w:rPr>
          <w:rFonts w:hint="eastAsia" w:ascii="宋体" w:hAnsi="宋体" w:cs="宋体"/>
          <w:bCs/>
          <w:i w:val="0"/>
          <w:color w:val="auto"/>
          <w:kern w:val="0"/>
          <w:sz w:val="21"/>
          <w:szCs w:val="21"/>
        </w:rPr>
        <w:t>变电部分</w:t>
      </w:r>
      <w:r>
        <w:rPr>
          <w:rFonts w:hint="eastAsia" w:ascii="宋体" w:hAnsi="宋体" w:cs="宋体"/>
          <w:b w:val="0"/>
          <w:i w:val="0"/>
          <w:color w:val="auto"/>
          <w:kern w:val="0"/>
          <w:sz w:val="21"/>
          <w:szCs w:val="21"/>
        </w:rPr>
        <w:t>:设备除空调、通风机、消防器材由承包人自行采购外，其他均由发包人供应。安装工程材料中10kV及以上电缆头、金具（含线夹、间隔棒）、绝缘子、管型母线及管母金具、封闭母线桥、10kV绝缘铜管母线、穿墙套管、全站电缆（不含消防电缆、照明电缆、站内通信电缆）、户外检修电源箱、户外动力箱、户外端子箱由发包人供应，其余材料由施工单位提供。建筑工程材料:对采用钢管构支架的，避雷针、站内出线铁塔、爬梯、节点等钢结构均由发包人供应，其余材料均由承包人供应；对采用混凝土杆构支架的，避雷针、站内出线铁塔、爬梯、节点等材料均由承包人供应。变电站照明配电箱、户内动力配电箱、户内检修电源箱、电缆支架、电缆桥架、门类、窗类、混凝土盖板、复合盖板由承包人供应。</w:t>
      </w:r>
    </w:p>
    <w:p>
      <w:pPr>
        <w:pStyle w:val="6"/>
        <w:spacing w:line="360" w:lineRule="auto"/>
        <w:ind w:firstLine="420" w:firstLineChars="200"/>
        <w:rPr>
          <w:rFonts w:hint="eastAsia" w:ascii="宋体" w:hAnsi="宋体" w:cs="宋体"/>
          <w:b w:val="0"/>
          <w:i w:val="0"/>
          <w:color w:val="auto"/>
          <w:kern w:val="0"/>
          <w:sz w:val="21"/>
          <w:szCs w:val="21"/>
        </w:rPr>
      </w:pPr>
      <w:r>
        <w:rPr>
          <w:rFonts w:hint="eastAsia" w:ascii="宋体" w:hAnsi="宋体" w:cs="宋体"/>
          <w:b w:val="0"/>
          <w:i w:val="0"/>
          <w:color w:val="auto"/>
          <w:kern w:val="0"/>
          <w:sz w:val="21"/>
          <w:szCs w:val="21"/>
        </w:rPr>
        <w:t>施工图纸范围内的场平、土建、变电建筑、安装、通信（包括配套光设备工程安装及调试）及调试工程（其中特殊调试以合同附件十一特殊调试项目为准），调试工程不含计量用互感器的误差试验、电能表校验。包括变电站所需的永临结合的施工电源、水源、公网通信。新建变电站或扩建变电站需征地的，征地范围内的原附着物的赔偿（包括土地、房屋、青苗、林木、迁坟、其他构建筑物的赔偿）由发包人负责；征地范围内的原附着物的拆除清理（包括房屋、青苗林木、其他构建筑物的拆除清理等），临时用地、林业手续办理及相关费用由承包人负责；变电站二期扩建工程及扩建间隔工程不征地，但需要拆除部分基础或设备的，其拆除及运输（废旧物资运输至建设单位指定地点）工作由承包人负责。不含桩基检测、安健环设施标准化费用、视觉识别系统、电力设施保护区标牌设置。</w:t>
      </w:r>
    </w:p>
    <w:p>
      <w:pPr>
        <w:spacing w:line="360" w:lineRule="auto"/>
        <w:ind w:firstLine="422" w:firstLineChars="200"/>
        <w:rPr>
          <w:rFonts w:ascii="宋体" w:hAnsi="宋体" w:cs="宋体"/>
          <w:kern w:val="0"/>
          <w:szCs w:val="21"/>
        </w:rPr>
      </w:pPr>
      <w:r>
        <w:rPr>
          <w:rFonts w:hint="eastAsia" w:ascii="宋体" w:hAnsi="宋体" w:cs="宋体"/>
          <w:b/>
          <w:bCs w:val="0"/>
          <w:kern w:val="0"/>
          <w:szCs w:val="21"/>
        </w:rPr>
        <w:t>线路部分:</w:t>
      </w:r>
      <w:r>
        <w:rPr>
          <w:rFonts w:hint="eastAsia" w:ascii="宋体" w:hAnsi="宋体" w:cs="宋体"/>
          <w:kern w:val="0"/>
          <w:szCs w:val="21"/>
        </w:rPr>
        <w:t>铁塔（含防高空坠落装置及其钢绞线）、钢管塔、混凝土杆（如有）、导线、地线（含OPGW光缆及金具）、绝缘子、线路金具、降阻剂、接地模块、航空警示灯均由发包人供应。（若存在因本工程线路引起的其他线路（各电压等级）改线或新建，招标阶段有具体施工图纸，其所需材料均由发包人供应，无施工图纸及具体方案的，相关材料由承包人供应。）其余材料（含插入式角钢）均由承包人供应。电缆线路部分:电气设备、监测设备、防盗设备、接地模块、电缆、电缆头、光缆及光缆附件、接地箱、接地回流线由发包人供应。其余材料均由承包人。通信工程:所有设备、光缆及光缆金具由甲方供应。</w:t>
      </w:r>
    </w:p>
    <w:p>
      <w:pPr>
        <w:pStyle w:val="6"/>
        <w:spacing w:line="360" w:lineRule="auto"/>
        <w:ind w:firstLine="420" w:firstLineChars="200"/>
        <w:rPr>
          <w:rFonts w:hint="eastAsia" w:ascii="宋体" w:hAnsi="宋体" w:cs="宋体"/>
          <w:b w:val="0"/>
          <w:i w:val="0"/>
          <w:color w:val="auto"/>
          <w:kern w:val="0"/>
          <w:sz w:val="21"/>
          <w:szCs w:val="21"/>
        </w:rPr>
      </w:pPr>
      <w:r>
        <w:rPr>
          <w:rFonts w:hint="eastAsia" w:ascii="宋体" w:hAnsi="宋体" w:cs="宋体"/>
          <w:b w:val="0"/>
          <w:i w:val="0"/>
          <w:color w:val="auto"/>
          <w:kern w:val="0"/>
          <w:sz w:val="21"/>
          <w:szCs w:val="21"/>
        </w:rPr>
        <w:t>采用施工单位赔偿模式，其承包范围为完成线路本体工程的施工、调试及整套启动试运（当同一条线路分为几个标段时，线路工程的整套启动试运工作由建设单位按照施工图预算费用为限另行委托其中一家中标单位来完成，不含在本次承包范围），还包括但不限于下述项目：（1）建设场地征用及清理，包括塔基永久性土地征（租）用（不含耕地占用税）；（2）迁移补偿，包括林木砍伐补偿（不含永久性林地植被恢复费、林业报件费，但中标单应按相关要求配合建设单位进行缴纳及报建）、（3）临时征（占）用地、林地（含输电线路通道）的手续办理及林业报件费、耕占税等恢复林业生产条件所发生相关费用；（4）青苗、经济作物、城市绿化赔偿；（5）建构筑物补偿，电力线路、通信线路补偿，道路、管道补偿；（6）余物清理，包括建构筑物拆除、电力线、通信线路拆除及运输（废旧物资运输至建设单位指定地点），道路、管道拆除及运输（废旧物资运输至建设单位指定地点）、余土外运、送电线路走廊施工赔偿；（7）材料站租（占）用；（8）放线牵张场场地建设；（9）障碍物拆迁等及相关配合；（10）光缆测量、接续；（11）协助相关单位开展整套启动试验（当同一条线路分为几个标段时，线路工程的整套启动试运工作由建设单位按照施工图预算费用为限另行委托其中一家中标单位来完成，其他中标单位配合）、各类达标、检查、验收、质量监督、环保后评估等配合；（12）移交前的本体与走廊看护与维护；（13）修路、桥梁及涵管加固；（14）交叉跨越措施；（15）已完工程保护；（16）环境保护；（17）施工降水；（18）二次进场；（19）围堰施工；（20）封航施工；（21）特殊放线措施；（22）高海拔、高温、严寒、沙漠等特殊地区施工措施等以及环保、水土保持措施等的工作协调；（23）相序牌、杆号牌、警示牌、220kV及以上项目直升机巡线牌（含材料费和安装费）仅包含本期建设线路所包含的塔基部分，不含线路建设引起其他运行线路相序牌变化和对侧间隔标示更换的费用；（24）不含桩基检测，厂、矿、石、砂、砖窑、炸药库等的停、封、迁移补偿等和军事设施补偿、水利设施补偿费等补偿。</w:t>
      </w:r>
    </w:p>
    <w:p>
      <w:pPr>
        <w:pStyle w:val="6"/>
        <w:spacing w:line="360" w:lineRule="auto"/>
        <w:ind w:firstLine="420" w:firstLineChars="200"/>
        <w:rPr>
          <w:rFonts w:hint="eastAsia" w:ascii="宋体" w:hAnsi="宋体" w:cs="宋体"/>
          <w:b w:val="0"/>
          <w:i w:val="0"/>
          <w:color w:val="auto"/>
          <w:kern w:val="0"/>
          <w:sz w:val="21"/>
          <w:szCs w:val="21"/>
        </w:rPr>
      </w:pPr>
      <w:r>
        <w:rPr>
          <w:rFonts w:hint="eastAsia" w:ascii="宋体" w:hAnsi="宋体" w:cs="宋体"/>
          <w:b w:val="0"/>
          <w:i w:val="0"/>
          <w:color w:val="auto"/>
          <w:kern w:val="0"/>
          <w:sz w:val="21"/>
          <w:szCs w:val="21"/>
        </w:rPr>
        <w:t>投标人须按要求开展电子化移交工作。工作内容包含直至竣工投产和保修期间可能发生的有关费用，包括但不限于人工、材料、机械、设备、施工管理、利润、税金。</w:t>
      </w:r>
    </w:p>
    <w:p>
      <w:pPr>
        <w:pStyle w:val="6"/>
        <w:spacing w:line="360" w:lineRule="auto"/>
        <w:ind w:firstLine="420" w:firstLineChars="200"/>
        <w:rPr>
          <w:rFonts w:hint="eastAsia" w:ascii="宋体" w:hAnsi="宋体" w:cs="宋体"/>
          <w:b w:val="0"/>
          <w:i w:val="0"/>
          <w:color w:val="auto"/>
          <w:kern w:val="0"/>
          <w:sz w:val="21"/>
          <w:szCs w:val="21"/>
          <w:highlight w:val="none"/>
          <w:lang w:eastAsia="zh-CN"/>
        </w:rPr>
      </w:pPr>
      <w:r>
        <w:rPr>
          <w:rFonts w:hint="eastAsia" w:ascii="宋体" w:hAnsi="宋体" w:cs="宋体"/>
          <w:b w:val="0"/>
          <w:i w:val="0"/>
          <w:color w:val="auto"/>
          <w:kern w:val="0"/>
          <w:sz w:val="21"/>
          <w:szCs w:val="21"/>
        </w:rPr>
        <w:t>在工程实施过程中，为不影响正常施工，且保证工程配套功能的实现，建设单位可委托中标人开展属于本工程但不在投标报价范围内的建设内容，该部分委托属于可调整费用，委托应明确委托内容及结算方式等内容。</w:t>
      </w:r>
    </w:p>
    <w:p>
      <w:pPr>
        <w:pStyle w:val="6"/>
        <w:keepNext w:val="0"/>
        <w:keepLines w:val="0"/>
        <w:pageBreakBefore w:val="0"/>
        <w:numPr>
          <w:ilvl w:val="0"/>
          <w:numId w:val="1"/>
        </w:numPr>
        <w:kinsoku/>
        <w:wordWrap/>
        <w:overflowPunct/>
        <w:topLinePunct w:val="0"/>
        <w:bidi w:val="0"/>
        <w:spacing w:line="360" w:lineRule="auto"/>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承包方式：</w:t>
      </w:r>
    </w:p>
    <w:p>
      <w:pPr>
        <w:pStyle w:val="9"/>
        <w:keepNext w:val="0"/>
        <w:keepLines w:val="0"/>
        <w:pageBreakBefore w:val="0"/>
        <w:widowControl w:val="0"/>
        <w:numPr>
          <w:ilvl w:val="0"/>
          <w:numId w:val="0"/>
        </w:numPr>
        <w:kinsoku/>
        <w:wordWrap/>
        <w:overflowPunct/>
        <w:topLinePunct w:val="0"/>
        <w:autoSpaceDE/>
        <w:autoSpaceDN/>
        <w:bidi w:val="0"/>
        <w:spacing w:line="360" w:lineRule="auto"/>
        <w:ind w:leftChars="0" w:firstLine="420" w:firstLineChars="200"/>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bookmarkStart w:id="4" w:name="XmInfoEntity_SGCBFS_0_1"/>
      <w:r>
        <w:rPr>
          <w:rFonts w:hint="eastAsia" w:ascii="宋体" w:hAnsi="宋体" w:eastAsia="宋体" w:cs="宋体"/>
          <w:b w:val="0"/>
          <w:bCs w:val="0"/>
          <w:snapToGrid w:val="0"/>
          <w:color w:val="auto"/>
          <w:kern w:val="0"/>
          <w:sz w:val="21"/>
          <w:szCs w:val="21"/>
          <w:highlight w:val="none"/>
          <w:u w:val="none"/>
          <w:lang w:val="en-US" w:eastAsia="zh-CN"/>
        </w:rPr>
        <w:t>包工、部分包料。</w:t>
      </w:r>
    </w:p>
    <w:p>
      <w:pPr>
        <w:pStyle w:val="9"/>
        <w:spacing w:line="360" w:lineRule="auto"/>
        <w:ind w:firstLine="420" w:firstLineChars="200"/>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snapToGrid w:val="0"/>
          <w:sz w:val="21"/>
          <w:szCs w:val="21"/>
        </w:rPr>
        <w:t>甲供物资清单：见附件</w:t>
      </w:r>
    </w:p>
    <w:bookmarkEnd w:id="4"/>
    <w:p>
      <w:pPr>
        <w:pStyle w:val="9"/>
        <w:keepNext w:val="0"/>
        <w:keepLines w:val="0"/>
        <w:pageBreakBefore w:val="0"/>
        <w:widowControl w:val="0"/>
        <w:kinsoku/>
        <w:wordWrap/>
        <w:overflowPunct/>
        <w:topLinePunct w:val="0"/>
        <w:autoSpaceDE/>
        <w:autoSpaceDN/>
        <w:bidi w:val="0"/>
        <w:adjustRightInd/>
        <w:snapToGrid/>
        <w:spacing w:line="480" w:lineRule="atLeast"/>
        <w:ind w:firstLine="400" w:firstLineChars="200"/>
        <w:textAlignment w:val="auto"/>
        <w:rPr>
          <w:rFonts w:hint="eastAsia" w:asciiTheme="minorEastAsia" w:hAnsiTheme="minorEastAsia" w:eastAsiaTheme="minorEastAsia" w:cstheme="minorEastAsia"/>
          <w:color w:val="auto"/>
          <w:highlight w:val="none"/>
          <w:lang w:val="en-US" w:eastAsia="zh-CN"/>
        </w:rPr>
      </w:pPr>
      <w:bookmarkStart w:id="5" w:name="_GoBack"/>
      <w:bookmarkEnd w:id="5"/>
    </w:p>
    <w:sectPr>
      <w:pgSz w:w="11906" w:h="16838"/>
      <w:pgMar w:top="85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AF13F2"/>
    <w:multiLevelType w:val="singleLevel"/>
    <w:tmpl w:val="E5AF13F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OGZlZWQyMzhmNmU0ZTUwMTYxZTQ5OTE1ODQ5ZWMifQ=="/>
  </w:docVars>
  <w:rsids>
    <w:rsidRoot w:val="24F737D8"/>
    <w:rsid w:val="018A0E13"/>
    <w:rsid w:val="04A24F71"/>
    <w:rsid w:val="04BB4C76"/>
    <w:rsid w:val="04FC1FF5"/>
    <w:rsid w:val="0BC07002"/>
    <w:rsid w:val="100E52E5"/>
    <w:rsid w:val="116419AD"/>
    <w:rsid w:val="11DF6CFE"/>
    <w:rsid w:val="11F058E2"/>
    <w:rsid w:val="12461122"/>
    <w:rsid w:val="14440D4B"/>
    <w:rsid w:val="15056A61"/>
    <w:rsid w:val="18E57496"/>
    <w:rsid w:val="1B663F82"/>
    <w:rsid w:val="1D8846C3"/>
    <w:rsid w:val="1EC20B7F"/>
    <w:rsid w:val="1ECC2895"/>
    <w:rsid w:val="216F4D5B"/>
    <w:rsid w:val="217820E0"/>
    <w:rsid w:val="22595C8D"/>
    <w:rsid w:val="24F737D8"/>
    <w:rsid w:val="279971A4"/>
    <w:rsid w:val="2FF65FF8"/>
    <w:rsid w:val="300D195C"/>
    <w:rsid w:val="3075080D"/>
    <w:rsid w:val="30BF37B5"/>
    <w:rsid w:val="32C25B7F"/>
    <w:rsid w:val="354E2678"/>
    <w:rsid w:val="361736AD"/>
    <w:rsid w:val="36D200CF"/>
    <w:rsid w:val="38327B47"/>
    <w:rsid w:val="38382DC3"/>
    <w:rsid w:val="38DE045C"/>
    <w:rsid w:val="3B8F38D4"/>
    <w:rsid w:val="3C4A35F1"/>
    <w:rsid w:val="41ED183A"/>
    <w:rsid w:val="41EF2B72"/>
    <w:rsid w:val="425460B9"/>
    <w:rsid w:val="44D414C9"/>
    <w:rsid w:val="46472D5E"/>
    <w:rsid w:val="47056A49"/>
    <w:rsid w:val="4B3A1BDA"/>
    <w:rsid w:val="4B416DAA"/>
    <w:rsid w:val="4B771955"/>
    <w:rsid w:val="4C621D2C"/>
    <w:rsid w:val="4FDA0C90"/>
    <w:rsid w:val="4FDA0D5F"/>
    <w:rsid w:val="507B3005"/>
    <w:rsid w:val="519D354C"/>
    <w:rsid w:val="52E734B9"/>
    <w:rsid w:val="543D59C1"/>
    <w:rsid w:val="55C3156A"/>
    <w:rsid w:val="573700B3"/>
    <w:rsid w:val="59D514CE"/>
    <w:rsid w:val="5DA8331C"/>
    <w:rsid w:val="608606DE"/>
    <w:rsid w:val="618A339C"/>
    <w:rsid w:val="62D607B4"/>
    <w:rsid w:val="63654BA0"/>
    <w:rsid w:val="64E177A7"/>
    <w:rsid w:val="66C35559"/>
    <w:rsid w:val="67026690"/>
    <w:rsid w:val="67C16419"/>
    <w:rsid w:val="6A287B5E"/>
    <w:rsid w:val="6AB40C78"/>
    <w:rsid w:val="6B303A1A"/>
    <w:rsid w:val="6DAA2FDF"/>
    <w:rsid w:val="6E121228"/>
    <w:rsid w:val="6E8813BA"/>
    <w:rsid w:val="70D1495F"/>
    <w:rsid w:val="71C51A18"/>
    <w:rsid w:val="72972ADD"/>
    <w:rsid w:val="72F46AE1"/>
    <w:rsid w:val="74103AB8"/>
    <w:rsid w:val="75E342AE"/>
    <w:rsid w:val="7772314E"/>
    <w:rsid w:val="7927768D"/>
    <w:rsid w:val="79C14150"/>
    <w:rsid w:val="7E34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5">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6">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paragraph" w:styleId="3">
    <w:name w:val="Body Text"/>
    <w:basedOn w:val="1"/>
    <w:next w:val="4"/>
    <w:qFormat/>
    <w:uiPriority w:val="0"/>
    <w:pPr>
      <w:spacing w:after="120" w:afterLines="0"/>
    </w:pPr>
  </w:style>
  <w:style w:type="paragraph" w:styleId="4">
    <w:name w:val="Title"/>
    <w:basedOn w:val="1"/>
    <w:next w:val="1"/>
    <w:qFormat/>
    <w:uiPriority w:val="10"/>
    <w:pPr>
      <w:spacing w:before="240" w:after="60"/>
      <w:jc w:val="center"/>
      <w:outlineLvl w:val="0"/>
    </w:pPr>
    <w:rPr>
      <w:rFonts w:ascii="Cambria" w:hAnsi="Cambria"/>
      <w:b/>
      <w:bCs/>
      <w:sz w:val="32"/>
      <w:szCs w:val="32"/>
    </w:rPr>
  </w:style>
  <w:style w:type="paragraph" w:styleId="7">
    <w:name w:val="Normal Indent"/>
    <w:basedOn w:val="1"/>
    <w:qFormat/>
    <w:uiPriority w:val="0"/>
    <w:pPr>
      <w:ind w:firstLine="420"/>
    </w:pPr>
    <w:rPr>
      <w:rFonts w:ascii="Times New Roman" w:hAnsi="Times New Roman" w:cs="Times New Roman"/>
      <w:kern w:val="0"/>
      <w:sz w:val="20"/>
      <w:szCs w:val="20"/>
    </w:r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toc 2"/>
    <w:basedOn w:val="1"/>
    <w:next w:val="1"/>
    <w:qFormat/>
    <w:uiPriority w:val="0"/>
    <w:pPr>
      <w:jc w:val="center"/>
    </w:pPr>
    <w:rPr>
      <w:rFonts w:ascii="仿宋_GB2312" w:hAnsi="宋体" w:eastAsia="仿宋_GB2312"/>
      <w:b/>
      <w:sz w:val="28"/>
      <w:szCs w:val="2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实施方案正文"/>
    <w:basedOn w:val="1"/>
    <w:qFormat/>
    <w:uiPriority w:val="99"/>
    <w:pPr>
      <w:ind w:firstLine="566" w:firstLineChars="202"/>
    </w:pPr>
    <w:rPr>
      <w:szCs w:val="28"/>
    </w:rPr>
  </w:style>
  <w:style w:type="paragraph" w:customStyle="1" w:styleId="15">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7</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王浩骅</cp:lastModifiedBy>
  <dcterms:modified xsi:type="dcterms:W3CDTF">2026-02-14T02:42:35Z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230E10E93A27478EB74A245A4B04DF1A</vt:lpwstr>
  </property>
  <property fmtid="{D5CDD505-2E9C-101B-9397-08002B2CF9AE}" pid="4" name="WondersoftTag">
    <vt:lpwstr>19BA6004-3619-4FCC-9555-1C137AB6E973#2#24B89371-AE4E48D3-9A4AB5F8-C3A44861##0</vt:lpwstr>
  </property>
</Properties>
</file>