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single"/>
          <w:lang w:val="en-US" w:eastAsia="zh-CN"/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single"/>
          <w:lang w:val="en-US" w:eastAsia="zh-CN"/>
        </w:rPr>
        <w:t>标的6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500kV德宏变扩建工程施工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>招标前期资料</w:t>
      </w:r>
    </w:p>
    <w:tbl>
      <w:tblPr>
        <w:tblStyle w:val="11"/>
        <w:tblW w:w="8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3529"/>
        <w:gridCol w:w="4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063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序号</w:t>
            </w:r>
          </w:p>
        </w:tc>
        <w:tc>
          <w:tcPr>
            <w:tcW w:w="352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4028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063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1</w:t>
            </w:r>
          </w:p>
        </w:tc>
        <w:tc>
          <w:tcPr>
            <w:tcW w:w="352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南方电网规划〔2025〕72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063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2</w:t>
            </w:r>
          </w:p>
        </w:tc>
        <w:tc>
          <w:tcPr>
            <w:tcW w:w="352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项目备案文号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云发改能源〔2025〕950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063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3</w:t>
            </w:r>
          </w:p>
        </w:tc>
        <w:tc>
          <w:tcPr>
            <w:tcW w:w="352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南方电网工程〔2025〕17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063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4</w:t>
            </w:r>
          </w:p>
        </w:tc>
        <w:tc>
          <w:tcPr>
            <w:tcW w:w="352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40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云电规划〔2025〕881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063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5</w:t>
            </w:r>
          </w:p>
        </w:tc>
        <w:tc>
          <w:tcPr>
            <w:tcW w:w="352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402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063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6</w:t>
            </w:r>
          </w:p>
        </w:tc>
        <w:tc>
          <w:tcPr>
            <w:tcW w:w="352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402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eastAsia="宋体" w:cs="宋体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sz w:val="21"/>
                <w:szCs w:val="21"/>
              </w:rPr>
              <w:t>云南电网有限责任公司</w:t>
            </w: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德宏供电局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063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7</w:t>
            </w:r>
          </w:p>
        </w:tc>
        <w:tc>
          <w:tcPr>
            <w:tcW w:w="3529" w:type="dxa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402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hAnsi="宋体" w:eastAsia="宋体" w:cs="宋体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lang w:val="en-US" w:eastAsia="zh-CN"/>
              </w:rPr>
              <w:t>德宏傣族景颇族自治州盈江县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63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3529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402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highlight w:val="none"/>
              </w:rPr>
              <w:t>云南恒安电力工程有限公司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63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3529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402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</w:tbl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（一）项目概况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：</w:t>
      </w:r>
      <w:bookmarkEnd w:id="0"/>
      <w:bookmarkStart w:id="1" w:name="_Toc28718"/>
      <w:bookmarkStart w:id="2" w:name="_Toc4755"/>
      <w:bookmarkStart w:id="3" w:name="_Toc13498"/>
    </w:p>
    <w:bookmarkEnd w:id="1"/>
    <w:bookmarkEnd w:id="2"/>
    <w:bookmarkEnd w:id="3"/>
    <w:p>
      <w:pPr>
        <w:pStyle w:val="9"/>
        <w:spacing w:line="360" w:lineRule="auto"/>
        <w:ind w:firstLine="482" w:firstLineChars="200"/>
        <w:rPr>
          <w:rFonts w:hint="eastAsia" w:asciiTheme="minorEastAsia" w:hAnsi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>500kV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德宏变扩建工程</w:t>
      </w:r>
      <w:r>
        <w:rPr>
          <w:rFonts w:hint="eastAsia" w:asciiTheme="minorEastAsia" w:hAnsiTheme="minorEastAsia" w:cstheme="minorEastAsia"/>
          <w:b/>
          <w:bCs/>
          <w:sz w:val="24"/>
          <w:szCs w:val="24"/>
        </w:rPr>
        <w:t xml:space="preserve"> 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eastAsia="宋体" w:asciiTheme="minorEastAsia" w:hAnsiTheme="minorEastAsia" w:cstheme="minorEastAsia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eastAsia="宋体" w:asciiTheme="minorEastAsia" w:hAnsiTheme="minorEastAsia" w:cstheme="minorEastAsia"/>
          <w:bCs/>
          <w:kern w:val="0"/>
          <w:sz w:val="24"/>
          <w:szCs w:val="24"/>
          <w:lang w:val="en-US" w:eastAsia="zh-CN" w:bidi="ar-SA"/>
        </w:rPr>
        <w:t>（1）主变压器：本期扩建1×750MVA。</w:t>
      </w:r>
    </w:p>
    <w:p>
      <w:pPr>
        <w:keepNext w:val="0"/>
        <w:keepLines w:val="0"/>
        <w:widowControl/>
        <w:suppressLineNumbers w:val="0"/>
        <w:shd w:val="clear" w:color="auto" w:fill="auto"/>
        <w:ind w:firstLine="480" w:firstLineChars="200"/>
        <w:jc w:val="left"/>
        <w:rPr>
          <w:rFonts w:hint="eastAsia" w:eastAsia="宋体" w:asciiTheme="minorEastAsia" w:hAnsiTheme="minorEastAsia" w:cstheme="minorEastAsia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eastAsia="宋体" w:asciiTheme="minorEastAsia" w:hAnsiTheme="minorEastAsia" w:cstheme="minorEastAsia"/>
          <w:bCs/>
          <w:kern w:val="0"/>
          <w:sz w:val="24"/>
          <w:szCs w:val="24"/>
          <w:lang w:val="en-US" w:eastAsia="zh-CN" w:bidi="ar-SA"/>
        </w:rPr>
        <w:t>（2）出线规模：本期500kV、220kV均不新增出线。</w:t>
      </w:r>
    </w:p>
    <w:p>
      <w:pPr>
        <w:keepNext w:val="0"/>
        <w:keepLines w:val="0"/>
        <w:widowControl/>
        <w:suppressLineNumbers w:val="0"/>
        <w:shd w:val="clear" w:color="auto" w:fill="auto"/>
        <w:ind w:firstLine="480" w:firstLineChars="200"/>
        <w:jc w:val="left"/>
        <w:rPr>
          <w:rFonts w:hint="eastAsia" w:eastAsia="宋体" w:asciiTheme="minorEastAsia" w:hAnsiTheme="minorEastAsia" w:cstheme="minorEastAsia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eastAsia="宋体" w:asciiTheme="minorEastAsia" w:hAnsiTheme="minorEastAsia" w:cstheme="minorEastAsia"/>
          <w:bCs/>
          <w:kern w:val="0"/>
          <w:sz w:val="24"/>
          <w:szCs w:val="24"/>
          <w:lang w:val="en-US" w:eastAsia="zh-CN" w:bidi="ar-SA"/>
        </w:rPr>
        <w:t>（3）无功补偿装置：本期新增主变装设2组60MVar电抗器。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（二）采购范围：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（一）施工图纸范围内的场平、土建、变电建筑、安装、通信（包括配套光设备工程安装及调试）及调试工程：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1、调试工程不含计量用互感器的误差试验、电能表校验。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2、不含桩基检测、安健环设施标准化费用、视觉识别系统、电力设施保护区标牌设置。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3、新建变电站或扩建变电站需征地的，征地范围内的原附着物的赔偿（包括土地、房屋、青苗、林木、迁坟、其他构建筑物的赔偿）由招标人负责，征地范围内的原附着物的拆除清理（包括房屋、青苗林木、其他构建筑物的拆除清理等）以及临时占地恢复（临时设施拆除后进行土地整治、植被恢复工作直至验收合格）由投标人负责。征地范围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外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的原附着物的赔偿（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若涉及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土地、房屋、青苗、林木、迁坟、其他构建筑物的赔偿）由招标人负责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征地范围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外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的原附着物的拆除清理（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val="en-US" w:eastAsia="zh-CN"/>
        </w:rPr>
        <w:t>若涉及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房屋、青苗林木、其他构建筑物的拆除清理等）以及临时占地恢复（临时设施拆除后进行土地整治、植被恢复工作直至验收合格）由投标人负责</w:t>
      </w:r>
      <w:r>
        <w:rPr>
          <w:rFonts w:hint="eastAsia" w:ascii="宋体" w:hAnsi="宋体" w:eastAsia="宋体" w:cs="宋体"/>
          <w:kern w:val="0"/>
          <w:szCs w:val="21"/>
          <w:shd w:val="clear" w:color="auto" w:fill="FFFFFF"/>
          <w:lang w:eastAsia="zh-CN"/>
        </w:rPr>
        <w:t>。</w:t>
      </w:r>
    </w:p>
    <w:p>
      <w:pPr>
        <w:spacing w:line="400" w:lineRule="exact"/>
        <w:ind w:firstLine="420" w:firstLineChars="200"/>
        <w:rPr>
          <w:rFonts w:hint="eastAsia" w:ascii="宋体" w:hAnsi="宋体" w:cs="宋体"/>
          <w:b/>
          <w:bCs/>
          <w:snapToGrid w:val="0"/>
          <w:kern w:val="0"/>
          <w:szCs w:val="21"/>
          <w:highlight w:val="yellow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4、变电站二期扩建工程及扩建间隔工程不征地，但需要拆除部分基础或设备的，其拆除及运输（废旧物资运输至建设单位指定地点）工作由投标人负责。</w:t>
      </w:r>
    </w:p>
    <w:p>
      <w:pPr>
        <w:autoSpaceDE w:val="0"/>
        <w:autoSpaceDN w:val="0"/>
        <w:adjustRightInd w:val="0"/>
        <w:spacing w:line="360" w:lineRule="auto"/>
        <w:ind w:firstLine="422" w:firstLineChars="200"/>
        <w:jc w:val="left"/>
        <w:rPr>
          <w:rFonts w:hint="eastAsia" w:ascii="宋体" w:hAnsi="宋体" w:cs="宋体"/>
          <w:b/>
          <w:bCs/>
          <w:snapToGrid w:val="0"/>
          <w:color w:val="FF0000"/>
          <w:kern w:val="0"/>
          <w:szCs w:val="21"/>
        </w:rPr>
      </w:pPr>
      <w:r>
        <w:rPr>
          <w:rFonts w:hint="eastAsia" w:ascii="宋体" w:hAnsi="宋体" w:cs="宋体"/>
          <w:b/>
          <w:bCs/>
          <w:snapToGrid w:val="0"/>
          <w:kern w:val="0"/>
          <w:szCs w:val="21"/>
        </w:rPr>
        <w:t>特殊调试清单：见附件。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（二）建筑工程、安装工程部分具体要求如下：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1、建筑工程：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（1）建筑工程设备除空调、通风机、消防器材由投标人自行采购外，其余如消防设备、管道、阀门、消火栓及供水设备等均由招标人供应。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2）对采用钢管构支架的，避雷针、站内出线铁塔、爬梯、节点等钢结构均由招标人供应，其余材料均由投标人自行采购；对采用混凝土环形管构支架，避雷针、站内出线铁塔、爬梯、节点等材料均由投标人自行采购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3）变电站标准件（户外检修电源箱、户外动力箱、户外端子箱）由招标人采购，变电站照明配电箱、户内动力配电箱、户内检修电源箱、电缆支架、电缆桥架、门类、窗类、混凝土盖板、复合盖板由投标人供应。</w:t>
      </w:r>
    </w:p>
    <w:p>
      <w:pPr>
        <w:pStyle w:val="3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（4）站内打井、施工电源、永久外引电源（永久外引电源除甲供设备及材料外）工作由投标人负责。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2、安装工程：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（1）所有设备（含通信设备）及随设备供货的封闭母线桥均由招标人供应。</w:t>
      </w:r>
    </w:p>
    <w:p>
      <w:pPr>
        <w:spacing w:line="400" w:lineRule="exact"/>
        <w:ind w:firstLine="420" w:firstLineChars="200"/>
        <w:rPr>
          <w:rFonts w:hint="eastAsia" w:ascii="宋体" w:hAnsi="宋体" w:eastAsia="宋体" w:cs="宋体"/>
          <w:kern w:val="0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（2）主要材料中10kV及以上电缆头、金具（含线夹、间隔棒）、绝缘子、管型母线及管母金具、封闭母线桥、10kV绝缘铜管母线、穿墙套管、全站电缆（不含照明电缆、站内通信电缆）由招标人供应。其余材料均由投标人自行采购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cs="宋体"/>
          <w:b w:val="0"/>
          <w:i w:val="0"/>
          <w:color w:val="auto"/>
          <w:kern w:val="0"/>
          <w:sz w:val="21"/>
          <w:szCs w:val="21"/>
          <w:highlight w:val="none"/>
          <w:lang w:eastAsia="zh-CN"/>
        </w:rPr>
      </w:pPr>
    </w:p>
    <w:p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承包方式：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bookmarkStart w:id="4" w:name="XmInfoEntity_SGCBFS_0_1"/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包工、部分包料。</w:t>
      </w:r>
    </w:p>
    <w:bookmarkEnd w:id="4"/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textAlignment w:val="auto"/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</w:pPr>
      <w:bookmarkStart w:id="5" w:name="_GoBack"/>
      <w:bookmarkEnd w:id="5"/>
    </w:p>
    <w:sectPr>
      <w:pgSz w:w="11906" w:h="16838"/>
      <w:pgMar w:top="85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AF13F2"/>
    <w:multiLevelType w:val="singleLevel"/>
    <w:tmpl w:val="E5AF13F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OGZlZWQyMzhmNmU0ZTUwMTYxZTQ5OTE1ODQ5ZWMifQ=="/>
  </w:docVars>
  <w:rsids>
    <w:rsidRoot w:val="24F737D8"/>
    <w:rsid w:val="018A0E13"/>
    <w:rsid w:val="04A24F71"/>
    <w:rsid w:val="04BB4C76"/>
    <w:rsid w:val="0BC07002"/>
    <w:rsid w:val="100E52E5"/>
    <w:rsid w:val="116419AD"/>
    <w:rsid w:val="11DF6CFE"/>
    <w:rsid w:val="11F058E2"/>
    <w:rsid w:val="12461122"/>
    <w:rsid w:val="14440D4B"/>
    <w:rsid w:val="15056A61"/>
    <w:rsid w:val="18E57496"/>
    <w:rsid w:val="1B663F82"/>
    <w:rsid w:val="1EC20B7F"/>
    <w:rsid w:val="1ECC2895"/>
    <w:rsid w:val="1F017E1A"/>
    <w:rsid w:val="216F4D5B"/>
    <w:rsid w:val="217820E0"/>
    <w:rsid w:val="22595C8D"/>
    <w:rsid w:val="24F737D8"/>
    <w:rsid w:val="279971A4"/>
    <w:rsid w:val="2FF65FF8"/>
    <w:rsid w:val="300D195C"/>
    <w:rsid w:val="3075080D"/>
    <w:rsid w:val="30BF37B5"/>
    <w:rsid w:val="32C25B7F"/>
    <w:rsid w:val="34C60169"/>
    <w:rsid w:val="361736AD"/>
    <w:rsid w:val="36D200CF"/>
    <w:rsid w:val="38382DC3"/>
    <w:rsid w:val="38DE045C"/>
    <w:rsid w:val="3C4A35F1"/>
    <w:rsid w:val="41ED183A"/>
    <w:rsid w:val="425460B9"/>
    <w:rsid w:val="44D414C9"/>
    <w:rsid w:val="46472D5E"/>
    <w:rsid w:val="47056A49"/>
    <w:rsid w:val="4740402F"/>
    <w:rsid w:val="4B3A1BDA"/>
    <w:rsid w:val="4B416DAA"/>
    <w:rsid w:val="4B771955"/>
    <w:rsid w:val="4C621D2C"/>
    <w:rsid w:val="4FDA0C90"/>
    <w:rsid w:val="507B3005"/>
    <w:rsid w:val="519D354C"/>
    <w:rsid w:val="52D91105"/>
    <w:rsid w:val="52E734B9"/>
    <w:rsid w:val="535A0043"/>
    <w:rsid w:val="543D59C1"/>
    <w:rsid w:val="55C3156A"/>
    <w:rsid w:val="573700B3"/>
    <w:rsid w:val="59D514CE"/>
    <w:rsid w:val="5DA8331C"/>
    <w:rsid w:val="608606DE"/>
    <w:rsid w:val="618A339C"/>
    <w:rsid w:val="62D607B4"/>
    <w:rsid w:val="63654BA0"/>
    <w:rsid w:val="64E177A7"/>
    <w:rsid w:val="66C35559"/>
    <w:rsid w:val="67026690"/>
    <w:rsid w:val="6A287B5E"/>
    <w:rsid w:val="6AB40C78"/>
    <w:rsid w:val="6B303A1A"/>
    <w:rsid w:val="6DAA2FDF"/>
    <w:rsid w:val="6E121228"/>
    <w:rsid w:val="6E8813BA"/>
    <w:rsid w:val="702245DA"/>
    <w:rsid w:val="70D1495F"/>
    <w:rsid w:val="71C51A18"/>
    <w:rsid w:val="72972ADD"/>
    <w:rsid w:val="72F46AE1"/>
    <w:rsid w:val="74103AB8"/>
    <w:rsid w:val="75E342AE"/>
    <w:rsid w:val="7772314E"/>
    <w:rsid w:val="79C14150"/>
    <w:rsid w:val="7E34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6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7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实施方案正文"/>
    <w:basedOn w:val="1"/>
    <w:qFormat/>
    <w:uiPriority w:val="99"/>
    <w:pPr>
      <w:ind w:firstLine="566" w:firstLineChars="202"/>
    </w:pPr>
    <w:rPr>
      <w:szCs w:val="28"/>
    </w:r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character" w:customStyle="1" w:styleId="15">
    <w:name w:val="font3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王浩骅</cp:lastModifiedBy>
  <dcterms:modified xsi:type="dcterms:W3CDTF">2026-02-14T02:50:17Z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83BDB31CDFC54275AAF15EA7DEEC83FE</vt:lpwstr>
  </property>
</Properties>
</file>