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标的7</w:t>
      </w:r>
    </w:p>
    <w:p>
      <w:pPr>
        <w:pStyle w:val="6"/>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auto"/>
          <w:sz w:val="28"/>
          <w:szCs w:val="28"/>
          <w:highlight w:val="none"/>
          <w:u w:val="singl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color w:val="auto"/>
          <w:sz w:val="28"/>
          <w:szCs w:val="28"/>
          <w:highlight w:val="none"/>
          <w:u w:val="single"/>
          <w:lang w:val="en-US" w:eastAsia="zh-CN"/>
        </w:rPr>
        <w:t>220kV益湖（西河）输变电工程施工</w:t>
      </w:r>
    </w:p>
    <w:tbl>
      <w:tblPr>
        <w:tblStyle w:val="10"/>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序号</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文件名称</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1</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可研批复文号</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云电规划〔2025〕166号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2</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项目备案文号</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曲发改基础[2025]40号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3</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初设批复文号</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云电基建〔2025〕206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4</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资金落实情况</w:t>
            </w:r>
          </w:p>
        </w:tc>
        <w:tc>
          <w:tcPr>
            <w:tcW w:w="3574"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云电规划〔2025〕793号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5</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施工图预算批复文号</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21"/>
                <w:szCs w:val="21"/>
                <w:highlight w:val="none"/>
                <w:u w:val="none"/>
                <w:vertAlign w:val="baseline"/>
                <w:lang w:val="en-US" w:eastAsia="zh-CN"/>
              </w:rPr>
            </w:pPr>
            <w:r>
              <w:rPr>
                <w:rFonts w:hint="eastAsia" w:hAnsi="宋体" w:cs="宋体"/>
                <w:color w:val="auto"/>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6</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hAnsi="宋体" w:cs="宋体"/>
                <w:b/>
                <w:bCs/>
                <w:color w:val="auto"/>
                <w:sz w:val="21"/>
                <w:szCs w:val="21"/>
                <w:highlight w:val="none"/>
                <w:u w:val="none"/>
                <w:vertAlign w:val="baseline"/>
                <w:lang w:val="en-US" w:eastAsia="zh-CN"/>
              </w:rPr>
              <w:t>项目建设单位</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hAnsi="宋体" w:eastAsia="宋体" w:cs="宋体"/>
                <w:color w:val="auto"/>
                <w:sz w:val="21"/>
                <w:szCs w:val="21"/>
                <w:highlight w:val="none"/>
                <w:u w:val="none"/>
                <w:vertAlign w:val="baseline"/>
                <w:lang w:val="en-US" w:eastAsia="zh-CN"/>
              </w:rPr>
            </w:pPr>
            <w:r>
              <w:rPr>
                <w:rFonts w:hint="eastAsia" w:hAnsi="宋体" w:eastAsia="宋体" w:cs="宋体"/>
                <w:sz w:val="21"/>
                <w:szCs w:val="21"/>
              </w:rPr>
              <w:t>云南电网有限责任公司</w:t>
            </w:r>
            <w:r>
              <w:rPr>
                <w:rFonts w:hint="eastAsia" w:hAnsi="宋体" w:eastAsia="宋体" w:cs="宋体"/>
                <w:sz w:val="21"/>
                <w:szCs w:val="21"/>
                <w:lang w:val="en-US" w:eastAsia="zh-CN"/>
              </w:rPr>
              <w:t>曲靖供电局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7</w:t>
            </w:r>
          </w:p>
        </w:tc>
        <w:tc>
          <w:tcPr>
            <w:tcW w:w="2263"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hAnsi="宋体" w:cs="宋体"/>
                <w:b/>
                <w:bCs/>
                <w:color w:val="auto"/>
                <w:sz w:val="21"/>
                <w:szCs w:val="21"/>
                <w:highlight w:val="none"/>
                <w:u w:val="none"/>
                <w:vertAlign w:val="baseline"/>
                <w:lang w:val="en-US" w:eastAsia="zh-CN"/>
              </w:rPr>
              <w:t>项目建设地点</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hAnsi="宋体" w:cs="宋体" w:eastAsiaTheme="minorEastAsia"/>
                <w:color w:val="auto"/>
                <w:sz w:val="21"/>
                <w:szCs w:val="21"/>
                <w:highlight w:val="none"/>
                <w:u w:val="none"/>
                <w:vertAlign w:val="baseline"/>
                <w:lang w:val="en-US" w:eastAsia="zh-CN"/>
              </w:rPr>
            </w:pPr>
            <w:r>
              <w:rPr>
                <w:rFonts w:hint="eastAsia" w:hAnsi="宋体" w:eastAsia="宋体" w:cs="宋体"/>
                <w:sz w:val="21"/>
                <w:szCs w:val="21"/>
                <w:lang w:val="en-US" w:eastAsia="zh-CN"/>
              </w:rPr>
              <w:t>曲靖市沾益区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8</w:t>
            </w:r>
          </w:p>
        </w:tc>
        <w:tc>
          <w:tcPr>
            <w:tcW w:w="2263" w:type="dxa"/>
            <w:vAlign w:val="center"/>
          </w:tcPr>
          <w:p>
            <w:pPr>
              <w:pStyle w:val="6"/>
              <w:spacing w:line="400" w:lineRule="exact"/>
              <w:jc w:val="center"/>
              <w:rPr>
                <w:rFonts w:hint="eastAsia" w:hAnsi="宋体" w:cs="宋体"/>
                <w:b/>
                <w:bCs/>
                <w:color w:val="auto"/>
                <w:sz w:val="21"/>
                <w:szCs w:val="21"/>
                <w:highlight w:val="none"/>
                <w:u w:val="none"/>
                <w:vertAlign w:val="baseline"/>
                <w:lang w:val="en-US" w:eastAsia="zh-CN"/>
              </w:rPr>
            </w:pPr>
            <w:r>
              <w:rPr>
                <w:rFonts w:hint="eastAsia" w:hAnsi="宋体" w:eastAsia="宋体" w:cs="宋体"/>
                <w:b/>
                <w:bCs/>
                <w:snapToGrid w:val="0"/>
                <w:color w:val="auto"/>
                <w:sz w:val="21"/>
                <w:szCs w:val="21"/>
                <w:highlight w:val="none"/>
              </w:rPr>
              <w:t>前期的设计或咨询服务单位名称</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hAnsi="宋体" w:eastAsia="宋体" w:cs="宋体"/>
                <w:sz w:val="21"/>
                <w:szCs w:val="21"/>
                <w:highlight w:val="none"/>
                <w:lang w:val="en-US" w:eastAsia="zh-CN"/>
              </w:rPr>
            </w:pPr>
            <w:r>
              <w:rPr>
                <w:rFonts w:hint="eastAsia" w:hAnsi="宋体" w:eastAsia="宋体" w:cs="宋体"/>
                <w:sz w:val="21"/>
                <w:szCs w:val="21"/>
                <w:highlight w:val="none"/>
                <w:lang w:val="en-US" w:eastAsia="zh-CN"/>
              </w:rPr>
              <w:t>中国电建集团贵州电力设计研究院有限公司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9</w:t>
            </w:r>
          </w:p>
        </w:tc>
        <w:tc>
          <w:tcPr>
            <w:tcW w:w="2263" w:type="dxa"/>
            <w:vAlign w:val="center"/>
          </w:tcPr>
          <w:p>
            <w:pPr>
              <w:pStyle w:val="6"/>
              <w:spacing w:line="400" w:lineRule="exact"/>
              <w:jc w:val="center"/>
              <w:rPr>
                <w:rFonts w:hint="eastAsia" w:hAnsi="宋体" w:cs="宋体"/>
                <w:b/>
                <w:bCs/>
                <w:color w:val="auto"/>
                <w:sz w:val="21"/>
                <w:szCs w:val="21"/>
                <w:highlight w:val="none"/>
                <w:u w:val="none"/>
                <w:vertAlign w:val="baseline"/>
                <w:lang w:val="en-US" w:eastAsia="zh-CN"/>
              </w:rPr>
            </w:pPr>
            <w:r>
              <w:rPr>
                <w:rFonts w:hint="eastAsia" w:hAnsi="宋体" w:eastAsia="宋体" w:cs="宋体"/>
                <w:b/>
                <w:bCs/>
                <w:snapToGrid w:val="0"/>
                <w:color w:val="auto"/>
                <w:sz w:val="21"/>
                <w:szCs w:val="21"/>
                <w:highlight w:val="none"/>
              </w:rPr>
              <w:t>项目监理单位</w:t>
            </w:r>
          </w:p>
        </w:tc>
        <w:tc>
          <w:tcPr>
            <w:tcW w:w="3574" w:type="dxa"/>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hAnsi="宋体" w:eastAsia="宋体" w:cs="宋体"/>
                <w:sz w:val="21"/>
                <w:szCs w:val="21"/>
                <w:highlight w:val="none"/>
                <w:lang w:val="en-US" w:eastAsia="zh-CN"/>
              </w:rPr>
            </w:pPr>
            <w:r>
              <w:rPr>
                <w:rFonts w:hint="eastAsia" w:hAnsi="宋体" w:eastAsia="宋体" w:cs="宋体"/>
                <w:sz w:val="21"/>
                <w:szCs w:val="21"/>
                <w:highlight w:val="none"/>
                <w:lang w:val="en-US" w:eastAsia="zh-CN"/>
              </w:rPr>
              <w:t>/</w:t>
            </w:r>
          </w:p>
        </w:tc>
      </w:tr>
    </w:tbl>
    <w:p>
      <w:pPr>
        <w:pStyle w:val="6"/>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220kV</w:t>
      </w:r>
      <w:r>
        <w:rPr>
          <w:rFonts w:hint="eastAsia" w:hAnsi="宋体" w:eastAsia="宋体" w:cs="宋体"/>
          <w:b w:val="0"/>
          <w:bCs/>
          <w:color w:val="auto"/>
          <w:sz w:val="21"/>
          <w:szCs w:val="21"/>
          <w:highlight w:val="none"/>
          <w:lang w:val="en-US" w:eastAsia="zh-CN"/>
        </w:rPr>
        <w:t>益湖（西河）</w:t>
      </w:r>
      <w:r>
        <w:rPr>
          <w:rFonts w:hint="eastAsia" w:ascii="宋体" w:hAnsi="宋体" w:eastAsia="宋体" w:cs="宋体"/>
          <w:b w:val="0"/>
          <w:bCs/>
          <w:color w:val="auto"/>
          <w:sz w:val="21"/>
          <w:szCs w:val="21"/>
          <w:highlight w:val="none"/>
          <w:lang w:val="en-US" w:eastAsia="zh-CN"/>
        </w:rPr>
        <w:t>输变电工程包括：220kV益湖变电站工程、对侧500kV喜平变220kV间隔扩建工程、喜平变～益湖变Ⅰ、Ⅱ回220kV线路工程、220kV昔花线开断接入益湖变220kV线路工程、110kV尖维白线开断接入益湖变110kV线路工程、110kV花松线开断接入益湖变110kV线路工程、110kV花胜松四线（220kV胜境变、110kV四方变侧）改接入益湖变110kV线路工程、10kV线路部分及相关光纤通信工程。具体如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 xml:space="preserve">1.220kV </w:t>
      </w:r>
      <w:r>
        <w:rPr>
          <w:rFonts w:hint="eastAsia" w:hAnsi="宋体" w:eastAsia="宋体" w:cs="宋体"/>
          <w:b w:val="0"/>
          <w:bCs/>
          <w:color w:val="auto"/>
          <w:sz w:val="21"/>
          <w:szCs w:val="21"/>
          <w:highlight w:val="none"/>
          <w:lang w:val="en-US" w:eastAsia="zh-CN"/>
        </w:rPr>
        <w:t>益湖（西河）</w:t>
      </w:r>
      <w:r>
        <w:rPr>
          <w:rFonts w:hint="eastAsia" w:ascii="宋体" w:hAnsi="宋体" w:eastAsia="宋体" w:cs="宋体"/>
          <w:b w:val="0"/>
          <w:bCs/>
          <w:color w:val="auto"/>
          <w:sz w:val="21"/>
          <w:szCs w:val="21"/>
          <w:highlight w:val="none"/>
          <w:lang w:val="en-US" w:eastAsia="zh-CN"/>
        </w:rPr>
        <w:t xml:space="preserve">变电站工程 </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本期建设180MVA主变压器2台，最终4×180MVA；220kV出线本期建成4回，终期出线8回；110kV出线本期建成5回，终期出线16回；10kV本期出线8回，电气备用8回，终期出线36回；本期和终期每台主变10kV侧配置4×8 Mvar并联电容器组。</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220kV终期采用双母线双分段接线，本期建成双母线接线，安装7台断路器；110kV终期采用双母线双分段接线，本期建成双母线接线，安装8台断路器；10kV终期Ⅰ、Ⅱ、Ⅲ段母线采用单母线分段接线，Ⅳ段母线采用单母线单元接线，本期建成Ⅰ、Ⅱ段母线，安装31台断路器。</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主变压器采用整体式三相三绕组有载调压自然油循环风冷变压器。220kV采用户内GIS设备，110kV 采用户外常规设备，10kV采用户内金属铠装移开式开关柜。</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2．500kV喜平变220kV间隔扩建工程</w:t>
      </w:r>
      <w:r>
        <w:rPr>
          <w:rFonts w:hint="eastAsia" w:ascii="宋体" w:hAnsi="宋体" w:eastAsia="宋体" w:cs="宋体"/>
          <w:b w:val="0"/>
          <w:bCs/>
          <w:color w:val="auto"/>
          <w:sz w:val="21"/>
          <w:szCs w:val="21"/>
          <w:highlight w:val="none"/>
          <w:lang w:val="en-US" w:eastAsia="zh-CN"/>
        </w:rPr>
        <w:br w:type="textWrapping"/>
      </w:r>
      <w:r>
        <w:rPr>
          <w:rFonts w:hint="eastAsia" w:ascii="宋体" w:hAnsi="宋体" w:eastAsia="宋体" w:cs="宋体"/>
          <w:b w:val="0"/>
          <w:bCs/>
          <w:color w:val="auto"/>
          <w:sz w:val="21"/>
          <w:szCs w:val="21"/>
          <w:highlight w:val="none"/>
          <w:lang w:val="en-US" w:eastAsia="zh-CN"/>
        </w:rPr>
        <w:t xml:space="preserve">    500kV喜平变：现状220kV采用双母线双分段接线，户外悬吊式管型母线分相中型罐式断路器双列布置，本期维持。本工程利用220kV配电装置北向出线场地由西向东第二个和第五个预留出线间隔新建2回220kV出线间隔，接至220kV益湖变。</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（二）线路工程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线路工程按10、20mm覆冰，25m/s基本风速设计。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其中喜平变～益湖变Ⅰ、Ⅱ回220kV线路20mm冰区长约8.45+8.13km，220kV昔花线开断接入益湖变220kV线路20mm冰区长约5.76（220kV花山变侧）+5.6（昔腊嘟风电场侧）km；110kV尖维白线开断接入益湖变110kV线路20mm冰区长约4.775（220kV尖山变侧、尼维纶侧）+4.91（白水牵引变侧）km，110kV花胜松四线（220kV胜境变、110kV四方变侧）改接入益湖变110kV线路20mm冰区长约1.56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val="en-US" w:eastAsia="zh-CN"/>
        </w:rPr>
        <w:t>喜平变～益湖变Ⅰ、Ⅱ回220kV线路</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新建线路长约10.38+10.364km，单回路架设（除两端电站出线采用双回路架设单侧挂线预留远期通道外）。导线采用2×JL/LB20A-500/45铝包钢芯铝绞线。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220kV昔花线开断接入益湖变220kV线路</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新建线路长约2×2.847+6.371（220kV花山变侧）+6.585（昔腊嘟风电场侧）km，单、双回路混合架设。导线采用2×JL/LB20A-300/40铝包钢芯铝绞线（10mm冰区）和2×JL/LB20A-300/50铝包钢芯铝绞线（20mm冰区）。</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lang w:val="en-US" w:eastAsia="zh-CN"/>
        </w:rPr>
        <w:t>110kV尖维白线开断接入益湖变110kV线路</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约2×0.386（220kV尖山变侧、维尼纶侧，与110kV花松线开断接入益湖变110kV线路220kV花山变侧同塔架设）+7.562（220kV尖山变侧、维尼纶变侧）+2×0.94（白水牵引变侧，与110kV花胜松四线（220kV胜境变、110kV四方变侧）改接入益湖变110kV线路同塔架设）+5.71（白水牵引变侧）km，单、双回路混合架设。导线采用JL/LB20A-240/30铝包钢芯铝绞线（10mm冰区）和JL/LB20A-240/40铝包钢芯铝绞线（20mm冰区）。</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lang w:val="en-US" w:eastAsia="zh-CN"/>
        </w:rPr>
        <w:t>110kV花松线开断接入益湖变110kV线路</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约2×0.386（220kV花山变侧，与110kV尖维白线开断接入益湖变110kV线路220kV尖山变侧、维尼纶侧同塔架设）+0.717（220kV花山变侧）+2.585（松韶关牵引变侧，除出线采用双回路终端塔预留远期通道外，其余单回路架设）km，单、双回路混合架设。导线采用JL/LB20A-240/30铝包钢芯铝绞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val="en-US" w:eastAsia="zh-CN"/>
        </w:rPr>
        <w:t>110kV花胜松四线（220kV胜境变、110kV四方变侧）改接入益湖变110kV线路</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新建线路长约2×0.94（与110kV尖维白线开断接入益湖变110kV线路白水牵引变侧同塔架设）+1.875km，单、双回路混合架设。导线采用JL/LB20A-240/30铝包钢芯铝绞线（10mm冰区）和JL/LB20A-240/40铝包钢芯铝绞线（20mm冰区）。</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lang w:val="en-US" w:eastAsia="zh-CN"/>
        </w:rPr>
        <w:t>10kV线路部分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①220kV益湖变新建Ⅰ回10kV线路联络10kV黑山线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度约0.205（电缆）+2.6（架空线）km，电缆、架空线混合架设，架空线采用单回路架设。导线采用JKLGYJ-10-1×240/30钢芯铝绞线芯交联聚乙烯绝缘架空电缆，电缆采用FYZA-YJY22-8.7/15kV-3×300铜芯交联聚乙烯绝缘电力电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②220kV益湖变新建Ⅱ回10kV线路联络10kV水田沙高线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度约0.215（电缆）+5.2（架空线）km，电缆、架空线混合架设，架空线采用单回路架设。导线采用JKLGYJ-10-1×240/30钢芯铝绞线芯交联聚乙烯绝缘架空电缆，电缆采用FYZA-YJY22-8.7/15kV-3×300铜芯交联聚乙烯绝缘电力电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③220kV益湖变新建Ⅲ回10kV线路联络10kV三道坎线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度约0.215（电缆）+2.31（架空线）km，电缆、架空线混合架设，架空线采用单回路架设。导线采用JKLGYJ-10-1×240/30钢芯铝绞线芯交联聚乙烯绝缘架空电缆，电缆采用FYZA-YJY22-8.7/15kV-3×300铜芯交联聚乙烯绝缘电力电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④220kV益湖变新建Ⅳ回10kV线改接10kV三道坎线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度约0.218（电缆）+0.33（架空线）km，电缆、架空线混合架设，架空线采用单回路架设。导线采用JKLGYJ-10-1×240/30钢芯铝绞线芯交联聚乙烯绝缘架空电缆，电缆采用FYZA-YJY22-8.7/15kV-3×300铜芯交联聚乙烯绝缘电力电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⑤220kV益湖变新建Ⅴ、Ⅵ回10kV线路联络10kV园区指挥部延伸线</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度约2×0.213（电缆）+2×1.3（架空线）km，电缆、架空线混合架设，架空线采用双回路架设。导线采用JKLGYJ-10-1×240/30钢芯铝绞线芯交联聚乙烯绝缘架空电缆，电缆采用FYZA-YJY22-8.7/15kV-3×300铜芯交联聚乙烯绝缘电力电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⑥220kV益湖变新建Ⅶ、Ⅷ回10kV线路联络10kV花山集镇Ⅰ、Ⅱ回线路末端</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新建线路长度约2×0.253（电缆）+2×3.9（架空线）km，电缆、架空线混合架设，架空线采用双回路架设。导线采用JKLGYJ-10-1×240/30钢芯铝绞线芯交联聚乙烯绝缘架空电缆，电缆采用FYZA-YJY22-8.7/15kV-3×300铜芯交联聚乙烯绝缘电力电缆。</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lang w:val="en-US" w:eastAsia="zh-CN"/>
        </w:rPr>
        <w:t>光纤通信工程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随新建喜平变～益湖变Ⅰ、Ⅱ回220kV线路各架设一根48芯OPGW光缆，光缆路径长约10.38+10.364km，形成500kV喜平变至220kV益湖变两回48芯光纤通道。</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随新建220kV昔花线开断接入益湖变220kV线路每回线路架设一根48芯OPGW光缆，在“π”接点与原线路一根48芯OPGW光缆熔接，光缆路径长约2×2.847+6.371（220kV花山变侧）+6.585（昔腊嘟风电场侧）km，形成220kV益湖变至220kV花山变、昔腊嘟风电场各一回48芯光纤通道。</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随新建110kV尖维白线开断接入益湖变110kV线路各架设一根24芯OPGW光缆至开断点（预留），光缆路径长约7.948（220kV尖山变侧、维尼纶变侧）+6.65（白水牵引变侧）km。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随新建110kV花松线开断接入益湖变110kV线路各架设一根24芯OPGW光缆至开断点（预留），光缆路径长约1.103（220kV花山变侧）+2.585（松韶关牵引变侧）km。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随新建110kV花胜松四线（220kV胜境变、110kV四方变侧）改接入益湖变110kV线路架设一根24芯OPGW光缆至开断点（预留），光缆路径长约2.815km。</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bCs w:val="0"/>
          <w:i w:val="0"/>
          <w:color w:val="auto"/>
          <w:kern w:val="0"/>
          <w:sz w:val="21"/>
          <w:szCs w:val="21"/>
        </w:rPr>
        <w:t>变电部分:</w:t>
      </w:r>
      <w:r>
        <w:rPr>
          <w:rFonts w:hint="eastAsia" w:ascii="宋体" w:hAnsi="宋体" w:cs="宋体"/>
          <w:b w:val="0"/>
          <w:i w:val="0"/>
          <w:color w:val="auto"/>
          <w:kern w:val="0"/>
          <w:sz w:val="21"/>
          <w:szCs w:val="21"/>
        </w:rPr>
        <w:t>设备除空调、通风机、消防器材由投标人自行采购外，其他均由招标人供应。安装工程材料中10V及以上电缆头、管型母线及管金具、封闭母线桥、全站电缆</w:t>
      </w:r>
      <w:r>
        <w:rPr>
          <w:rFonts w:hint="eastAsia" w:ascii="宋体" w:hAnsi="宋体" w:cs="宋体"/>
          <w:b w:val="0"/>
          <w:i w:val="0"/>
          <w:color w:val="auto"/>
          <w:kern w:val="0"/>
          <w:sz w:val="21"/>
          <w:szCs w:val="21"/>
          <w:lang w:eastAsia="zh-CN"/>
        </w:rPr>
        <w:t>（</w:t>
      </w:r>
      <w:r>
        <w:rPr>
          <w:rFonts w:hint="eastAsia" w:ascii="宋体" w:hAnsi="宋体" w:cs="宋体"/>
          <w:b w:val="0"/>
          <w:i w:val="0"/>
          <w:color w:val="auto"/>
          <w:kern w:val="0"/>
          <w:sz w:val="21"/>
          <w:szCs w:val="21"/>
        </w:rPr>
        <w:t>不含消防电缆、照明电缆、站内通信电缆</w:t>
      </w:r>
      <w:r>
        <w:rPr>
          <w:rFonts w:hint="eastAsia" w:ascii="宋体" w:hAnsi="宋体" w:cs="宋体"/>
          <w:b w:val="0"/>
          <w:i w:val="0"/>
          <w:color w:val="auto"/>
          <w:kern w:val="0"/>
          <w:sz w:val="21"/>
          <w:szCs w:val="21"/>
          <w:lang w:eastAsia="zh-CN"/>
        </w:rPr>
        <w:t>）</w:t>
      </w:r>
      <w:r>
        <w:rPr>
          <w:rFonts w:hint="eastAsia" w:ascii="宋体" w:hAnsi="宋体" w:cs="宋体"/>
          <w:b w:val="0"/>
          <w:i w:val="0"/>
          <w:color w:val="auto"/>
          <w:kern w:val="0"/>
          <w:sz w:val="21"/>
          <w:szCs w:val="21"/>
        </w:rPr>
        <w:t>、户外检修电源箱、户外动力箱户外端子箱由招标人供应，其余材料由施工单位提供。建筑工程材料对采用钢管构支架的，避雷针、站内出线铁塔、爬梯、节点等钢结构均由招标人供应，其余材料均由投标人供应:对采用混凝土杆构支架的避雷针、站内出线铁塔、爬梯、节点等材料均由投标人供应。变电站照明配电箱、户内动力配电箱、户内检修电源箱、电缆支架、电缆桥架、门类、窗类、混凝土盖板、复合盖板由投标人供应。包含站外电源、水源费用。</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施工图纸范围内的场平、土建、变电建筑、安装、通信（包括配套光设备工程安装及调试）及调试工程。调试工程不含计量用互感器的误差试验、电能表校验。新建变电站或扩建变电站需征地的，征地范围内的原附着物的赔偿（包括土地、房屋、青苗、林木、迁坟、其他构建筑物的赔偿）由招标人负责，征地范围内的原附着物的拆除清理（包括房屋、青苗林木、其他构建筑物的拆除清理等）由投标人负责；变电站二期扩建工程及扩建间隔工程不征地，但需要拆除部分基础或设备的，其拆除及运输（废旧物资运输至建设单位指定地点）工作由投标人负责。不含桩基检测、安健环设施标准化费用、视觉识别系统、电力设施保护区标牌设置。</w:t>
      </w:r>
    </w:p>
    <w:p>
      <w:pPr>
        <w:spacing w:line="360" w:lineRule="auto"/>
        <w:ind w:firstLine="420" w:firstLineChars="200"/>
        <w:rPr>
          <w:rFonts w:ascii="宋体" w:hAnsi="宋体" w:cs="宋体"/>
          <w:kern w:val="0"/>
          <w:szCs w:val="21"/>
        </w:rPr>
      </w:pPr>
      <w:r>
        <w:rPr>
          <w:rFonts w:hint="eastAsia" w:ascii="宋体" w:hAnsi="宋体" w:cs="宋体"/>
          <w:bCs/>
          <w:kern w:val="0"/>
          <w:szCs w:val="21"/>
        </w:rPr>
        <w:t>线路部分:</w:t>
      </w:r>
      <w:r>
        <w:rPr>
          <w:rFonts w:hint="eastAsia" w:ascii="宋体" w:hAnsi="宋体" w:cs="宋体"/>
          <w:kern w:val="0"/>
          <w:szCs w:val="21"/>
        </w:rPr>
        <w:t>铁塔（含防高空坠落装置及其钢绞线）、钢管塔、混凝土杆（如有）、导线、地线（含OPGW光缆及金具）、绝缘子、线路金具、降阻剂、接地模块、航空警示灯（如有）、石墨接地体（如有）均由招标人供应。其余材料（含插入式角钢、地脚螺栓）均由投标人自行采购。</w:t>
      </w:r>
    </w:p>
    <w:p>
      <w:pPr>
        <w:pStyle w:val="4"/>
        <w:spacing w:line="360" w:lineRule="auto"/>
        <w:ind w:firstLine="420" w:firstLineChars="200"/>
        <w:rPr>
          <w:rFonts w:hint="default"/>
          <w:lang w:val="en-US"/>
        </w:rPr>
      </w:pP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完成线路本体工程的施工、调试及整套启动试运，还包括但不限于下述项目：建设场地征用及清理，包括塔基永久性土地征（租）用（不含耕地占用税）；迁移补偿，包括林木砍伐补偿（不含</w:t>
      </w:r>
      <w:r>
        <w:rPr>
          <w:rFonts w:hint="eastAsia" w:ascii="宋体" w:hAnsi="宋体" w:cs="宋体"/>
          <w:b w:val="0"/>
          <w:i w:val="0"/>
          <w:color w:val="auto"/>
          <w:kern w:val="0"/>
          <w:sz w:val="21"/>
          <w:szCs w:val="21"/>
          <w:lang w:val="en-US" w:eastAsia="zh-CN"/>
        </w:rPr>
        <w:t>塔基永久占地</w:t>
      </w:r>
      <w:r>
        <w:rPr>
          <w:rFonts w:hint="eastAsia" w:ascii="宋体" w:hAnsi="宋体" w:cs="宋体"/>
          <w:b w:val="0"/>
          <w:i w:val="0"/>
          <w:color w:val="auto"/>
          <w:kern w:val="0"/>
          <w:sz w:val="21"/>
          <w:szCs w:val="21"/>
        </w:rPr>
        <w:t>植被恢复费、林业报件费，但中标单应按相关要求配合建设单位进行缴纳及报建）临时征（占）用林地（含输电线路通道）恢复业生产条件所发生相关费用，青苗、经济作物、城市绿化赔偿；建构筑物补偿；电力线路、通信线路补偿，道路、管道补偿；余物清理，包括建构筑物拆除、电力线、通信线路拆除及运输（废旧物资运输至建设单位指定地点）道路、管道拆除及运输（废旧物资运输至建单位指定地点）、余土外运、送电线路走廊施工赔偿；材料站租（占）用；放线牵张场场建设；障碍物拆迁等及相关配合；光缆测量、接续；各类达标、检查、验收、质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耕地占用税、林业勘测规划、桩基检测、电力设施保护区标牌设置；不含厂、矿、石、砂、砖窑、炸药库等的停、封、迁移补偿等和军事设施补偿、水利设施补偿费等补偿。</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6"/>
        <w:keepNext w:val="0"/>
        <w:keepLines w:val="0"/>
        <w:pageBreakBefore w:val="0"/>
        <w:widowControl w:val="0"/>
        <w:numPr>
          <w:ilvl w:val="0"/>
          <w:numId w:val="0"/>
        </w:numPr>
        <w:kinsoku/>
        <w:wordWrap/>
        <w:overflowPunct/>
        <w:topLinePunct w:val="0"/>
        <w:autoSpaceDE/>
        <w:autoSpaceDN/>
        <w:bidi w:val="0"/>
        <w:spacing w:line="360" w:lineRule="auto"/>
        <w:ind w:leftChars="0" w:firstLine="420" w:firstLineChars="200"/>
        <w:textAlignment w:val="auto"/>
        <w:outlineLvl w:val="9"/>
        <w:rPr>
          <w:rFonts w:hint="default" w:ascii="宋体" w:hAnsi="宋体" w:eastAsia="宋体" w:cs="宋体"/>
          <w:b/>
          <w:color w:val="auto"/>
          <w:sz w:val="24"/>
          <w:szCs w:val="24"/>
          <w:highlight w:val="none"/>
          <w:lang w:val="en-US" w:eastAsia="zh-CN"/>
        </w:rPr>
      </w:pPr>
      <w:bookmarkStart w:id="2"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w:t>
      </w:r>
      <w:bookmarkEnd w:id="2"/>
    </w:p>
    <w:p>
      <w:pPr>
        <w:rPr>
          <w:rFonts w:hint="eastAsia" w:eastAsiaTheme="minorEastAsia"/>
          <w:lang w:val="en-US" w:eastAsia="zh-CN"/>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XBS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CC0EB8"/>
    <w:rsid w:val="01E62BCB"/>
    <w:rsid w:val="06AC0501"/>
    <w:rsid w:val="071B3875"/>
    <w:rsid w:val="07B97C8C"/>
    <w:rsid w:val="090A0927"/>
    <w:rsid w:val="0922698B"/>
    <w:rsid w:val="094A7FE0"/>
    <w:rsid w:val="0AB34E04"/>
    <w:rsid w:val="1096538D"/>
    <w:rsid w:val="1110038B"/>
    <w:rsid w:val="11E0104C"/>
    <w:rsid w:val="12297CF9"/>
    <w:rsid w:val="126A518A"/>
    <w:rsid w:val="189E7B72"/>
    <w:rsid w:val="18D5521D"/>
    <w:rsid w:val="1A487BAE"/>
    <w:rsid w:val="1BA63B03"/>
    <w:rsid w:val="1EE76CC2"/>
    <w:rsid w:val="21644AD8"/>
    <w:rsid w:val="21DE176F"/>
    <w:rsid w:val="22683671"/>
    <w:rsid w:val="241678C4"/>
    <w:rsid w:val="28EE7E34"/>
    <w:rsid w:val="2A257AB9"/>
    <w:rsid w:val="2B0C7825"/>
    <w:rsid w:val="33D4740B"/>
    <w:rsid w:val="362045DC"/>
    <w:rsid w:val="3678644A"/>
    <w:rsid w:val="36867804"/>
    <w:rsid w:val="37197F6F"/>
    <w:rsid w:val="37AC2A04"/>
    <w:rsid w:val="3B784911"/>
    <w:rsid w:val="3EF97D30"/>
    <w:rsid w:val="4076360C"/>
    <w:rsid w:val="41046039"/>
    <w:rsid w:val="413174F6"/>
    <w:rsid w:val="44F901B8"/>
    <w:rsid w:val="46745A31"/>
    <w:rsid w:val="46A7570B"/>
    <w:rsid w:val="46B60F87"/>
    <w:rsid w:val="46CA2092"/>
    <w:rsid w:val="472D19D2"/>
    <w:rsid w:val="47400072"/>
    <w:rsid w:val="480C50DB"/>
    <w:rsid w:val="494A71CD"/>
    <w:rsid w:val="49C37D91"/>
    <w:rsid w:val="4D1B7EC6"/>
    <w:rsid w:val="4DDA6256"/>
    <w:rsid w:val="505B6C4C"/>
    <w:rsid w:val="541B7A0B"/>
    <w:rsid w:val="55AF7E22"/>
    <w:rsid w:val="57322F93"/>
    <w:rsid w:val="59B73677"/>
    <w:rsid w:val="5C7360ED"/>
    <w:rsid w:val="5DE7421F"/>
    <w:rsid w:val="65904792"/>
    <w:rsid w:val="6A9F4A3B"/>
    <w:rsid w:val="6AF57C40"/>
    <w:rsid w:val="6C3D7847"/>
    <w:rsid w:val="6F0C79BF"/>
    <w:rsid w:val="712103B3"/>
    <w:rsid w:val="72397BD2"/>
    <w:rsid w:val="72694E43"/>
    <w:rsid w:val="72C658BA"/>
    <w:rsid w:val="740D71D5"/>
    <w:rsid w:val="7CFE5817"/>
    <w:rsid w:val="7D906307"/>
    <w:rsid w:val="7E0B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toc 2"/>
    <w:basedOn w:val="1"/>
    <w:next w:val="1"/>
    <w:qFormat/>
    <w:uiPriority w:val="0"/>
    <w:pPr>
      <w:jc w:val="center"/>
    </w:pPr>
    <w:rPr>
      <w:rFonts w:ascii="仿宋_GB2312" w:hAnsi="宋体" w:eastAsia="仿宋_GB2312"/>
      <w:b/>
      <w:sz w:val="28"/>
      <w:szCs w:val="28"/>
    </w:rPr>
  </w:style>
  <w:style w:type="paragraph" w:styleId="8">
    <w:name w:val="Body Text First Indent"/>
    <w:basedOn w:val="2"/>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style01"/>
    <w:basedOn w:val="11"/>
    <w:qFormat/>
    <w:uiPriority w:val="0"/>
    <w:rPr>
      <w:rFonts w:ascii="仿宋" w:hAnsi="仿宋" w:eastAsia="仿宋" w:cs="仿宋"/>
      <w:color w:val="000000"/>
      <w:sz w:val="32"/>
      <w:szCs w:val="32"/>
    </w:rPr>
  </w:style>
  <w:style w:type="character" w:customStyle="1" w:styleId="13">
    <w:name w:val="fontstyle21"/>
    <w:basedOn w:val="11"/>
    <w:qFormat/>
    <w:uiPriority w:val="0"/>
    <w:rPr>
      <w:rFonts w:ascii="FZXBSJW--GB1-0" w:hAnsi="FZXBSJW--GB1-0" w:eastAsia="FZXBSJW--GB1-0" w:cs="FZXBSJW--GB1-0"/>
      <w:color w:val="FF0000"/>
      <w:sz w:val="72"/>
      <w:szCs w:val="72"/>
    </w:rPr>
  </w:style>
  <w:style w:type="character" w:customStyle="1" w:styleId="14">
    <w:name w:val="fontstyle31"/>
    <w:basedOn w:val="11"/>
    <w:qFormat/>
    <w:uiPriority w:val="0"/>
    <w:rPr>
      <w:rFonts w:ascii="宋体" w:hAnsi="宋体" w:eastAsia="宋体" w:cs="宋体"/>
      <w:color w:val="000000"/>
      <w:sz w:val="28"/>
      <w:szCs w:val="28"/>
    </w:r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4079</Words>
  <Characters>5197</Characters>
  <Lines>0</Lines>
  <Paragraphs>0</Paragraphs>
  <TotalTime>15</TotalTime>
  <ScaleCrop>false</ScaleCrop>
  <LinksUpToDate>false</LinksUpToDate>
  <CharactersWithSpaces>5207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王浩骅</cp:lastModifiedBy>
  <dcterms:modified xsi:type="dcterms:W3CDTF">2026-02-14T02:54:02Z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3EF6CFADA5614B239EDD60EF2BBEFCB4</vt:lpwstr>
  </property>
  <property fmtid="{D5CDD505-2E9C-101B-9397-08002B2CF9AE}" pid="4" name="KSOTemplateDocerSaveRecord">
    <vt:lpwstr>eyJoZGlkIjoiOTMzMDdmMTRlNmMzODIyYTM4NzI2YThjNzI3MDMxNmQiLCJ1c2VySWQiOiIyMzMxMTMyNzQifQ==</vt:lpwstr>
  </property>
</Properties>
</file>