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color w:val="auto"/>
          <w:sz w:val="32"/>
          <w:szCs w:val="32"/>
          <w:highlight w:val="none"/>
          <w:lang w:val="en-US" w:eastAsia="zh-CN"/>
        </w:rPr>
      </w:pPr>
      <w:bookmarkStart w:id="0" w:name="_Toc8445"/>
      <w:r>
        <w:rPr>
          <w:rFonts w:hint="eastAsia" w:hAnsi="宋体" w:eastAsia="宋体" w:cs="宋体"/>
          <w:b/>
          <w:bCs/>
          <w:snapToGrid w:val="0"/>
          <w:color w:val="auto"/>
          <w:sz w:val="32"/>
          <w:szCs w:val="32"/>
          <w:highlight w:val="none"/>
          <w:lang w:val="en-US" w:eastAsia="zh-CN"/>
        </w:rPr>
        <w:t>标的8</w:t>
      </w:r>
    </w:p>
    <w:p>
      <w:pPr>
        <w:pStyle w:val="6"/>
        <w:adjustRightInd w:val="0"/>
        <w:snapToGrid w:val="0"/>
        <w:spacing w:line="360" w:lineRule="auto"/>
        <w:ind w:firstLine="562" w:firstLineChars="200"/>
        <w:jc w:val="center"/>
        <w:outlineLvl w:val="0"/>
        <w:rPr>
          <w:rFonts w:hAnsi="宋体" w:cs="宋体"/>
          <w:b/>
          <w:color w:val="auto"/>
          <w:sz w:val="28"/>
          <w:szCs w:val="28"/>
          <w:highlight w:val="none"/>
        </w:rPr>
      </w:pPr>
      <w:r>
        <w:rPr>
          <w:rFonts w:hint="eastAsia" w:hAnsi="宋体" w:cs="宋体"/>
          <w:b/>
          <w:bCs/>
          <w:snapToGrid w:val="0"/>
          <w:color w:val="auto"/>
          <w:sz w:val="28"/>
          <w:szCs w:val="28"/>
          <w:highlight w:val="none"/>
        </w:rPr>
        <w:t>项目</w:t>
      </w:r>
      <w:r>
        <w:rPr>
          <w:rFonts w:hint="eastAsia" w:hAnsi="宋体" w:eastAsia="宋体" w:cs="宋体"/>
          <w:b/>
          <w:bCs/>
          <w:snapToGrid w:val="0"/>
          <w:color w:val="auto"/>
          <w:sz w:val="28"/>
          <w:szCs w:val="28"/>
          <w:highlight w:val="none"/>
        </w:rPr>
        <w:t>名称：</w:t>
      </w:r>
      <w:r>
        <w:rPr>
          <w:rFonts w:hint="eastAsia" w:hAnsi="宋体" w:cs="宋体"/>
          <w:b/>
          <w:color w:val="auto"/>
          <w:sz w:val="28"/>
          <w:szCs w:val="28"/>
          <w:highlight w:val="none"/>
        </w:rPr>
        <w:t>220kV</w:t>
      </w:r>
      <w:r>
        <w:rPr>
          <w:rFonts w:hint="eastAsia" w:hAnsi="宋体" w:cs="宋体"/>
          <w:b/>
          <w:color w:val="auto"/>
          <w:sz w:val="28"/>
          <w:szCs w:val="28"/>
          <w:highlight w:val="none"/>
          <w:lang w:val="en-US" w:eastAsia="zh-CN"/>
        </w:rPr>
        <w:t>龙泉山</w:t>
      </w:r>
      <w:r>
        <w:rPr>
          <w:rFonts w:hint="eastAsia" w:hAnsi="宋体" w:cs="宋体"/>
          <w:b/>
          <w:color w:val="auto"/>
          <w:sz w:val="28"/>
          <w:szCs w:val="28"/>
          <w:highlight w:val="none"/>
        </w:rPr>
        <w:t>输变电工程施工</w:t>
      </w:r>
    </w:p>
    <w:tbl>
      <w:tblPr>
        <w:tblStyle w:val="10"/>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序号</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项目</w:t>
            </w:r>
          </w:p>
        </w:tc>
        <w:tc>
          <w:tcPr>
            <w:tcW w:w="3476"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1</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项目建设单位</w:t>
            </w:r>
          </w:p>
        </w:tc>
        <w:tc>
          <w:tcPr>
            <w:tcW w:w="3476" w:type="dxa"/>
            <w:vAlign w:val="center"/>
          </w:tcPr>
          <w:p>
            <w:pPr>
              <w:pStyle w:val="6"/>
              <w:spacing w:line="400" w:lineRule="exact"/>
              <w:jc w:val="center"/>
              <w:rPr>
                <w:rFonts w:hAnsi="宋体" w:eastAsia="宋体" w:cs="宋体"/>
                <w:snapToGrid w:val="0"/>
                <w:color w:val="auto"/>
                <w:sz w:val="21"/>
                <w:szCs w:val="21"/>
                <w:highlight w:val="none"/>
              </w:rPr>
            </w:pPr>
            <w:r>
              <w:rPr>
                <w:rFonts w:hint="eastAsia" w:hAnsi="宋体" w:eastAsia="宋体" w:cs="宋体"/>
                <w:snapToGrid w:val="0"/>
                <w:color w:val="auto"/>
                <w:sz w:val="21"/>
                <w:szCs w:val="21"/>
                <w:highlight w:val="none"/>
                <w:lang w:val="en-US" w:eastAsia="zh-CN"/>
              </w:rPr>
              <w:t>玉溪</w:t>
            </w:r>
            <w:r>
              <w:rPr>
                <w:rFonts w:hint="eastAsia" w:hAnsi="宋体" w:eastAsia="宋体" w:cs="宋体"/>
                <w:snapToGrid w:val="0"/>
                <w:color w:val="auto"/>
                <w:sz w:val="21"/>
                <w:szCs w:val="21"/>
                <w:highlight w:val="none"/>
              </w:rPr>
              <w:t>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2</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项目建设地点</w:t>
            </w:r>
          </w:p>
        </w:tc>
        <w:tc>
          <w:tcPr>
            <w:tcW w:w="3476" w:type="dxa"/>
            <w:vAlign w:val="center"/>
          </w:tcPr>
          <w:p>
            <w:pPr>
              <w:pStyle w:val="6"/>
              <w:spacing w:line="400" w:lineRule="exact"/>
              <w:jc w:val="center"/>
              <w:rPr>
                <w:rFonts w:hint="default" w:hAnsi="宋体" w:eastAsia="宋体" w:cs="宋体"/>
                <w:snapToGrid w:val="0"/>
                <w:color w:val="auto"/>
                <w:sz w:val="21"/>
                <w:szCs w:val="21"/>
                <w:highlight w:val="none"/>
                <w:lang w:val="en-US"/>
              </w:rPr>
            </w:pPr>
            <w:r>
              <w:rPr>
                <w:rFonts w:hint="eastAsia" w:hAnsi="宋体" w:cs="宋体"/>
                <w:color w:val="auto"/>
                <w:kern w:val="0"/>
                <w:sz w:val="21"/>
                <w:szCs w:val="21"/>
                <w:lang w:val="en-US" w:eastAsia="zh-CN" w:bidi="ar-SA"/>
              </w:rPr>
              <w:t>云南省玉溪市、昆明市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3</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可研批复文号</w:t>
            </w:r>
          </w:p>
        </w:tc>
        <w:tc>
          <w:tcPr>
            <w:tcW w:w="3476" w:type="dxa"/>
            <w:vAlign w:val="center"/>
          </w:tcPr>
          <w:p>
            <w:pPr>
              <w:pStyle w:val="6"/>
              <w:spacing w:line="400" w:lineRule="exact"/>
              <w:jc w:val="center"/>
              <w:rPr>
                <w:rFonts w:hAnsi="宋体" w:eastAsia="宋体" w:cs="宋体"/>
                <w:snapToGrid w:val="0"/>
                <w:color w:val="auto"/>
                <w:sz w:val="21"/>
                <w:szCs w:val="21"/>
                <w:highlight w:val="none"/>
              </w:rPr>
            </w:pPr>
            <w:r>
              <w:rPr>
                <w:rFonts w:hint="eastAsia" w:hAnsi="宋体" w:eastAsia="宋体" w:cs="宋体"/>
                <w:snapToGrid w:val="0"/>
                <w:color w:val="auto"/>
                <w:sz w:val="21"/>
                <w:szCs w:val="21"/>
                <w:highlight w:val="none"/>
              </w:rPr>
              <w:t>云电规划〔2025〕380号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4</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项目核准、备案文号</w:t>
            </w:r>
          </w:p>
        </w:tc>
        <w:tc>
          <w:tcPr>
            <w:tcW w:w="3476" w:type="dxa"/>
            <w:vAlign w:val="center"/>
          </w:tcPr>
          <w:p>
            <w:pPr>
              <w:pStyle w:val="6"/>
              <w:spacing w:line="400" w:lineRule="exact"/>
              <w:jc w:val="center"/>
              <w:rPr>
                <w:rFonts w:hint="default" w:hAnsi="宋体" w:eastAsia="宋体" w:cs="宋体"/>
                <w:snapToGrid w:val="0"/>
                <w:color w:val="auto"/>
                <w:sz w:val="21"/>
                <w:szCs w:val="21"/>
                <w:highlight w:val="none"/>
                <w:lang w:val="en-US" w:eastAsia="zh-CN"/>
              </w:rPr>
            </w:pPr>
            <w:r>
              <w:rPr>
                <w:rFonts w:hint="default" w:hAnsi="宋体" w:eastAsia="宋体" w:cs="宋体"/>
                <w:snapToGrid w:val="0"/>
                <w:color w:val="auto"/>
                <w:sz w:val="21"/>
                <w:szCs w:val="21"/>
                <w:highlight w:val="none"/>
                <w:lang w:val="en-US" w:eastAsia="zh-CN"/>
              </w:rPr>
              <w:t>玉发改能源复〔2025〕58号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5</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资金落实情况</w:t>
            </w:r>
          </w:p>
        </w:tc>
        <w:tc>
          <w:tcPr>
            <w:tcW w:w="3476" w:type="dxa"/>
            <w:vAlign w:val="center"/>
          </w:tcPr>
          <w:p>
            <w:pPr>
              <w:pStyle w:val="6"/>
              <w:spacing w:line="400" w:lineRule="exact"/>
              <w:jc w:val="center"/>
              <w:rPr>
                <w:rFonts w:hAnsi="宋体" w:eastAsia="宋体" w:cs="宋体"/>
                <w:snapToGrid w:val="0"/>
                <w:color w:val="auto"/>
                <w:sz w:val="21"/>
                <w:szCs w:val="21"/>
                <w:highlight w:val="none"/>
              </w:rPr>
            </w:pPr>
            <w:r>
              <w:rPr>
                <w:rFonts w:hint="eastAsia" w:hAnsi="宋体" w:eastAsia="宋体" w:cs="宋体"/>
                <w:snapToGrid w:val="0"/>
                <w:color w:val="auto"/>
                <w:sz w:val="21"/>
                <w:szCs w:val="21"/>
                <w:highlight w:val="none"/>
              </w:rPr>
              <w:t>云电规划〔2025〕</w:t>
            </w:r>
            <w:r>
              <w:rPr>
                <w:rFonts w:hint="eastAsia" w:hAnsi="宋体" w:eastAsia="宋体" w:cs="宋体"/>
                <w:snapToGrid w:val="0"/>
                <w:color w:val="auto"/>
                <w:sz w:val="21"/>
                <w:szCs w:val="21"/>
                <w:highlight w:val="none"/>
                <w:lang w:val="en-US" w:eastAsia="zh-CN"/>
              </w:rPr>
              <w:t>524</w:t>
            </w:r>
            <w:r>
              <w:rPr>
                <w:rFonts w:hint="eastAsia" w:hAnsi="宋体" w:eastAsia="宋体" w:cs="宋体"/>
                <w:snapToGrid w:val="0"/>
                <w:color w:val="auto"/>
                <w:sz w:val="21"/>
                <w:szCs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6</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初设批复文号</w:t>
            </w:r>
          </w:p>
        </w:tc>
        <w:tc>
          <w:tcPr>
            <w:tcW w:w="3476" w:type="dxa"/>
            <w:vAlign w:val="center"/>
          </w:tcPr>
          <w:p>
            <w:pPr>
              <w:pStyle w:val="6"/>
              <w:spacing w:line="400" w:lineRule="exact"/>
              <w:jc w:val="center"/>
              <w:rPr>
                <w:rFonts w:hint="eastAsia" w:hAnsi="宋体" w:eastAsia="宋体" w:cs="宋体"/>
                <w:snapToGrid w:val="0"/>
                <w:color w:val="auto"/>
                <w:sz w:val="21"/>
                <w:szCs w:val="21"/>
                <w:highlight w:val="none"/>
                <w:lang w:val="en-US" w:eastAsia="zh-CN"/>
              </w:rPr>
            </w:pPr>
            <w:r>
              <w:rPr>
                <w:rFonts w:hint="eastAsia" w:hAnsi="宋体" w:eastAsia="宋体" w:cs="宋体"/>
                <w:snapToGrid w:val="0"/>
                <w:color w:val="auto"/>
                <w:sz w:val="21"/>
                <w:szCs w:val="21"/>
                <w:highlight w:val="none"/>
              </w:rPr>
              <w:t>云电</w:t>
            </w:r>
            <w:r>
              <w:rPr>
                <w:rFonts w:hint="eastAsia" w:hAnsi="宋体" w:eastAsia="宋体" w:cs="宋体"/>
                <w:snapToGrid w:val="0"/>
                <w:color w:val="auto"/>
                <w:sz w:val="21"/>
                <w:szCs w:val="21"/>
                <w:highlight w:val="none"/>
                <w:lang w:val="en-US" w:eastAsia="zh-CN"/>
              </w:rPr>
              <w:t>基建</w:t>
            </w:r>
            <w:r>
              <w:rPr>
                <w:rFonts w:hint="eastAsia" w:hAnsi="宋体" w:eastAsia="宋体" w:cs="宋体"/>
                <w:snapToGrid w:val="0"/>
                <w:color w:val="auto"/>
                <w:sz w:val="21"/>
                <w:szCs w:val="21"/>
                <w:highlight w:val="none"/>
              </w:rPr>
              <w:t>〔202</w:t>
            </w:r>
            <w:r>
              <w:rPr>
                <w:rFonts w:hint="eastAsia" w:hAnsi="宋体" w:eastAsia="宋体" w:cs="宋体"/>
                <w:snapToGrid w:val="0"/>
                <w:color w:val="auto"/>
                <w:sz w:val="21"/>
                <w:szCs w:val="21"/>
                <w:highlight w:val="none"/>
                <w:lang w:val="en-US" w:eastAsia="zh-CN"/>
              </w:rPr>
              <w:t>6</w:t>
            </w:r>
            <w:r>
              <w:rPr>
                <w:rFonts w:hint="eastAsia" w:hAnsi="宋体" w:eastAsia="宋体" w:cs="宋体"/>
                <w:snapToGrid w:val="0"/>
                <w:color w:val="auto"/>
                <w:sz w:val="21"/>
                <w:szCs w:val="21"/>
                <w:highlight w:val="none"/>
              </w:rPr>
              <w:t>〕</w:t>
            </w:r>
            <w:r>
              <w:rPr>
                <w:rFonts w:hint="eastAsia" w:hAnsi="宋体" w:eastAsia="宋体" w:cs="宋体"/>
                <w:snapToGrid w:val="0"/>
                <w:color w:val="auto"/>
                <w:sz w:val="21"/>
                <w:szCs w:val="21"/>
                <w:highlight w:val="none"/>
                <w:lang w:val="en-US" w:eastAsia="zh-CN"/>
              </w:rPr>
              <w:t>5</w:t>
            </w:r>
            <w:r>
              <w:rPr>
                <w:rFonts w:hint="eastAsia" w:hAnsi="宋体" w:eastAsia="宋体" w:cs="宋体"/>
                <w:snapToGrid w:val="0"/>
                <w:color w:val="auto"/>
                <w:sz w:val="21"/>
                <w:szCs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7</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施工图预算批复文号</w:t>
            </w:r>
          </w:p>
        </w:tc>
        <w:tc>
          <w:tcPr>
            <w:tcW w:w="3476" w:type="dxa"/>
            <w:vAlign w:val="center"/>
          </w:tcPr>
          <w:p>
            <w:pPr>
              <w:spacing w:line="400" w:lineRule="exact"/>
              <w:jc w:val="center"/>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8</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前期的设计或咨询服务单位名称</w:t>
            </w:r>
          </w:p>
        </w:tc>
        <w:tc>
          <w:tcPr>
            <w:tcW w:w="3476" w:type="dxa"/>
            <w:vAlign w:val="center"/>
          </w:tcPr>
          <w:p>
            <w:pPr>
              <w:snapToGrid w:val="0"/>
              <w:spacing w:line="400" w:lineRule="exact"/>
              <w:jc w:val="center"/>
              <w:rPr>
                <w:rFonts w:hint="default" w:ascii="宋体" w:hAnsi="宋体" w:eastAsia="宋体" w:cs="宋体"/>
                <w:snapToGrid w:val="0"/>
                <w:color w:val="auto"/>
                <w:kern w:val="0"/>
                <w:szCs w:val="21"/>
                <w:highlight w:val="none"/>
                <w:lang w:val="en-US" w:eastAsia="zh-CN"/>
              </w:rPr>
            </w:pPr>
            <w:r>
              <w:rPr>
                <w:rFonts w:hint="eastAsia" w:hAnsi="宋体" w:cs="宋体"/>
                <w:color w:val="auto"/>
                <w:sz w:val="21"/>
                <w:szCs w:val="21"/>
                <w:highlight w:val="none"/>
                <w:lang w:val="en-US" w:eastAsia="zh-CN"/>
              </w:rPr>
              <w:t>云南银塔送变电设计有限公司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9</w:t>
            </w:r>
          </w:p>
        </w:tc>
        <w:tc>
          <w:tcPr>
            <w:tcW w:w="2911" w:type="dxa"/>
            <w:vAlign w:val="center"/>
          </w:tcPr>
          <w:p>
            <w:pPr>
              <w:pStyle w:val="6"/>
              <w:spacing w:line="400" w:lineRule="exact"/>
              <w:jc w:val="center"/>
              <w:rPr>
                <w:rFonts w:hAnsi="宋体" w:eastAsia="宋体" w:cs="宋体"/>
                <w:b/>
                <w:bCs/>
                <w:snapToGrid w:val="0"/>
                <w:color w:val="auto"/>
                <w:sz w:val="21"/>
                <w:szCs w:val="21"/>
                <w:highlight w:val="none"/>
              </w:rPr>
            </w:pPr>
            <w:r>
              <w:rPr>
                <w:rFonts w:hint="eastAsia" w:hAnsi="宋体" w:eastAsia="宋体" w:cs="宋体"/>
                <w:b/>
                <w:bCs/>
                <w:snapToGrid w:val="0"/>
                <w:color w:val="auto"/>
                <w:sz w:val="21"/>
                <w:szCs w:val="21"/>
                <w:highlight w:val="none"/>
              </w:rPr>
              <w:t>项目监理单位</w:t>
            </w:r>
          </w:p>
        </w:tc>
        <w:tc>
          <w:tcPr>
            <w:tcW w:w="3476" w:type="dxa"/>
            <w:vAlign w:val="center"/>
          </w:tcPr>
          <w:p>
            <w:pPr>
              <w:snapToGrid w:val="0"/>
              <w:spacing w:line="400" w:lineRule="exact"/>
              <w:jc w:val="center"/>
              <w:rPr>
                <w:rFonts w:hint="default"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w:t>
            </w:r>
          </w:p>
        </w:tc>
      </w:tr>
    </w:tbl>
    <w:p>
      <w:pPr>
        <w:pStyle w:val="6"/>
        <w:adjustRightInd w:val="0"/>
        <w:snapToGrid w:val="0"/>
        <w:spacing w:line="360" w:lineRule="auto"/>
        <w:ind w:firstLine="562" w:firstLineChars="200"/>
        <w:jc w:val="center"/>
        <w:outlineLvl w:val="0"/>
        <w:rPr>
          <w:rFonts w:hAnsi="宋体" w:cs="宋体"/>
          <w:b/>
          <w:color w:val="auto"/>
          <w:sz w:val="28"/>
          <w:szCs w:val="28"/>
          <w:highlight w:val="none"/>
        </w:rPr>
      </w:pPr>
    </w:p>
    <w:bookmarkEnd w:id="0"/>
    <w:p>
      <w:pPr>
        <w:pStyle w:val="6"/>
        <w:numPr>
          <w:ilvl w:val="0"/>
          <w:numId w:val="1"/>
        </w:numPr>
        <w:adjustRightInd w:val="0"/>
        <w:snapToGrid w:val="0"/>
        <w:spacing w:line="360" w:lineRule="auto"/>
        <w:ind w:firstLine="0"/>
        <w:outlineLvl w:val="0"/>
        <w:rPr>
          <w:rFonts w:hAnsi="宋体" w:eastAsia="宋体" w:cs="宋体"/>
          <w:b/>
          <w:color w:val="auto"/>
          <w:sz w:val="24"/>
          <w:szCs w:val="24"/>
          <w:highlight w:val="none"/>
        </w:rPr>
      </w:pPr>
      <w:r>
        <w:rPr>
          <w:rFonts w:hint="eastAsia" w:hAnsi="宋体" w:eastAsia="宋体" w:cs="宋体"/>
          <w:b/>
          <w:color w:val="auto"/>
          <w:sz w:val="24"/>
          <w:szCs w:val="24"/>
          <w:highlight w:val="none"/>
        </w:rPr>
        <w:t>建设规模</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1.220kV龙泉山变电站工程</w:t>
      </w:r>
    </w:p>
    <w:p>
      <w:pPr>
        <w:spacing w:line="360" w:lineRule="auto"/>
        <w:ind w:firstLine="64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本期建设180MVA主变压器2台，最终4×180MVA；220kV出线本期建成3回，终期出线8回；110kV出线本期建成4回，终期出线14回；10kV本期不出线，终期出线16回；本期和终期每台主变10kV侧配置3×8Mvar并联电容器组。</w:t>
      </w:r>
    </w:p>
    <w:p>
      <w:pPr>
        <w:spacing w:line="360" w:lineRule="auto"/>
        <w:ind w:firstLine="64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220kV终期采用双母线双分段接线，本期建成双母线接线，安装6台断路器；110kV终期采用双母线双分段接线，本期建成双母线接线，安装7台断路器；10kV终期Ⅰ、Ⅱ段母线采用单母线分段接线，Ⅲ、Ⅳ段母线采用独立单母线接线，本期建成Ⅰ、Ⅱ段母线，安装13台断路器。</w:t>
      </w:r>
    </w:p>
    <w:p>
      <w:pPr>
        <w:spacing w:line="360" w:lineRule="auto"/>
        <w:ind w:firstLine="64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主变压器采用组合式三相三绕组有载调压自然油循环自冷变压器。220kV采用户外常规设备，110kV 采用户外常规设备，10kV采用户内金属铠装移开式开关柜。</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2.巡维中心</w:t>
      </w:r>
    </w:p>
    <w:p>
      <w:pPr>
        <w:pStyle w:val="12"/>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新建一栋中型巡维中心，远期管辖范围为11个变电站，常驻人员20人，巡维中心建筑面积1255平米。</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3.500kV庄乔变间隔扩建工程及对侧改造工程</w:t>
      </w:r>
    </w:p>
    <w:p>
      <w:pPr>
        <w:spacing w:line="360" w:lineRule="auto"/>
        <w:ind w:firstLine="64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500kV庄乔变：现状220kV采用双母线双分段接线，户内GIS双列布置，本期维持。本工程利用220kV配电装置西侧出线场地由南向北第一个预留出线间隔新建1回220kV出线间隔，接至220kV龙泉山变。本期新增220kV</w:t>
      </w:r>
      <w:r>
        <w:rPr>
          <w:rFonts w:hint="eastAsia" w:ascii="宋体" w:hAnsi="宋体" w:eastAsia="宋体" w:cs="宋体"/>
          <w:color w:val="auto"/>
          <w:kern w:val="0"/>
          <w:sz w:val="21"/>
          <w:szCs w:val="21"/>
          <w:highlight w:val="none"/>
        </w:rPr>
        <w:t>出线</w:t>
      </w:r>
      <w:r>
        <w:rPr>
          <w:rFonts w:hint="eastAsia" w:ascii="宋体" w:hAnsi="宋体" w:eastAsia="宋体" w:cs="宋体"/>
          <w:color w:val="auto"/>
          <w:sz w:val="21"/>
          <w:szCs w:val="21"/>
          <w:highlight w:val="none"/>
        </w:rPr>
        <w:t>间隔1个和电气备用间隔（仅安装母线侧隔离开关）1个。</w:t>
      </w:r>
    </w:p>
    <w:p>
      <w:pPr>
        <w:spacing w:line="360" w:lineRule="auto"/>
        <w:ind w:firstLine="641"/>
        <w:rPr>
          <w:rFonts w:hint="eastAsia" w:ascii="仿宋" w:hAnsi="仿宋" w:eastAsia="仿宋" w:cs="仿宋"/>
          <w:color w:val="auto"/>
          <w:sz w:val="32"/>
          <w:szCs w:val="32"/>
          <w:highlight w:val="none"/>
        </w:rPr>
      </w:pPr>
      <w:r>
        <w:rPr>
          <w:rFonts w:hint="eastAsia" w:ascii="宋体" w:hAnsi="宋体" w:eastAsia="宋体" w:cs="宋体"/>
          <w:color w:val="auto"/>
          <w:sz w:val="21"/>
          <w:szCs w:val="21"/>
          <w:highlight w:val="none"/>
          <w:lang w:val="en-US" w:eastAsia="zh-CN"/>
        </w:rPr>
        <w:t>110kV大街变更换电流互感器工程：</w:t>
      </w:r>
      <w:r>
        <w:rPr>
          <w:rFonts w:hint="eastAsia" w:ascii="宋体" w:hAnsi="宋体" w:eastAsia="宋体" w:cs="宋体"/>
          <w:color w:val="auto"/>
          <w:sz w:val="21"/>
          <w:szCs w:val="21"/>
          <w:highlight w:val="none"/>
        </w:rPr>
        <w:t>110kV大街变：现状110kV采用内桥接线，户外软母线</w:t>
      </w:r>
      <w:r>
        <w:rPr>
          <w:rFonts w:hint="eastAsia" w:ascii="宋体" w:hAnsi="宋体" w:eastAsia="宋体" w:cs="宋体"/>
          <w:color w:val="auto"/>
          <w:kern w:val="0"/>
          <w:sz w:val="21"/>
          <w:szCs w:val="21"/>
          <w:highlight w:val="none"/>
        </w:rPr>
        <w:t>普通</w:t>
      </w:r>
      <w:r>
        <w:rPr>
          <w:rFonts w:hint="eastAsia" w:ascii="宋体" w:hAnsi="宋体" w:eastAsia="宋体" w:cs="宋体"/>
          <w:color w:val="auto"/>
          <w:sz w:val="21"/>
          <w:szCs w:val="21"/>
          <w:highlight w:val="none"/>
        </w:rPr>
        <w:t>中型布置，本期维持。本工程利用原220kV雄关变出线间隔接至220kV龙泉山变，更换间隔内电流互感器3台。</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4.庄乔变～龙泉山变220kV线路</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新建</w:t>
      </w:r>
      <w:r>
        <w:rPr>
          <w:rFonts w:hint="eastAsia" w:ascii="宋体" w:hAnsi="宋体" w:eastAsia="宋体" w:cs="宋体"/>
          <w:color w:val="auto"/>
          <w:kern w:val="0"/>
          <w:sz w:val="21"/>
          <w:szCs w:val="21"/>
          <w:highlight w:val="none"/>
          <w:lang w:val="en-US" w:eastAsia="zh-CN"/>
        </w:rPr>
        <w:t>线路</w:t>
      </w:r>
      <w:r>
        <w:rPr>
          <w:rFonts w:hint="eastAsia" w:ascii="宋体" w:hAnsi="宋体" w:eastAsia="宋体" w:cs="宋体"/>
          <w:color w:val="auto"/>
          <w:kern w:val="0"/>
          <w:sz w:val="21"/>
          <w:szCs w:val="21"/>
          <w:highlight w:val="none"/>
        </w:rPr>
        <w:t>长约</w:t>
      </w:r>
      <w:r>
        <w:rPr>
          <w:rFonts w:hint="eastAsia" w:ascii="宋体" w:hAnsi="宋体" w:eastAsia="宋体" w:cs="宋体"/>
          <w:color w:val="auto"/>
          <w:kern w:val="0"/>
          <w:sz w:val="21"/>
          <w:szCs w:val="21"/>
          <w:highlight w:val="none"/>
          <w:lang w:val="en-US" w:eastAsia="zh-CN"/>
        </w:rPr>
        <w:t>51</w:t>
      </w:r>
      <w:r>
        <w:rPr>
          <w:rFonts w:hint="eastAsia" w:ascii="宋体" w:hAnsi="宋体" w:eastAsia="宋体" w:cs="宋体"/>
          <w:color w:val="auto"/>
          <w:kern w:val="0"/>
          <w:sz w:val="21"/>
          <w:szCs w:val="21"/>
          <w:highlight w:val="none"/>
        </w:rPr>
        <w:t>km，</w:t>
      </w:r>
      <w:r>
        <w:rPr>
          <w:rFonts w:hint="eastAsia" w:ascii="宋体" w:hAnsi="宋体" w:eastAsia="宋体" w:cs="宋体"/>
          <w:color w:val="auto"/>
          <w:kern w:val="0"/>
          <w:sz w:val="21"/>
          <w:szCs w:val="21"/>
          <w:highlight w:val="none"/>
          <w:lang w:val="en-US" w:eastAsia="zh-CN"/>
        </w:rPr>
        <w:t>单</w:t>
      </w:r>
      <w:r>
        <w:rPr>
          <w:rFonts w:hint="eastAsia" w:ascii="宋体" w:hAnsi="宋体" w:eastAsia="宋体" w:cs="宋体"/>
          <w:color w:val="auto"/>
          <w:kern w:val="0"/>
          <w:sz w:val="21"/>
          <w:szCs w:val="21"/>
          <w:highlight w:val="none"/>
        </w:rPr>
        <w:t>回路架设</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除两端电站出线采用双回路终端塔预留远期通道外</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导线采用</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JL/LB20A-</w:t>
      </w:r>
      <w:r>
        <w:rPr>
          <w:rFonts w:hint="eastAsia" w:ascii="宋体" w:hAnsi="宋体" w:eastAsia="宋体" w:cs="宋体"/>
          <w:color w:val="auto"/>
          <w:kern w:val="0"/>
          <w:sz w:val="21"/>
          <w:szCs w:val="21"/>
          <w:highlight w:val="none"/>
          <w:lang w:val="en-US" w:eastAsia="zh-CN"/>
        </w:rPr>
        <w:t>500</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45</w:t>
      </w:r>
      <w:r>
        <w:rPr>
          <w:rFonts w:hint="eastAsia" w:ascii="宋体" w:hAnsi="宋体" w:eastAsia="宋体" w:cs="宋体"/>
          <w:color w:val="auto"/>
          <w:kern w:val="0"/>
          <w:sz w:val="21"/>
          <w:szCs w:val="21"/>
          <w:highlight w:val="none"/>
        </w:rPr>
        <w:t>铝包钢芯铝绞线</w:t>
      </w:r>
      <w:r>
        <w:rPr>
          <w:rFonts w:hint="eastAsia" w:ascii="宋体" w:hAnsi="宋体" w:eastAsia="宋体" w:cs="宋体"/>
          <w:color w:val="auto"/>
          <w:kern w:val="0"/>
          <w:sz w:val="21"/>
          <w:szCs w:val="21"/>
          <w:highlight w:val="none"/>
          <w:lang w:val="en-US" w:eastAsia="zh-CN"/>
        </w:rPr>
        <w:t>。</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随新建庄乔变～龙泉山变220kV线路架设一根48芯OPGW光缆，光缆路径长约51km。形成庄乔变至龙泉山变一回48芯光纤通道。</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5.宁州变～雄关变Ⅲ回220kV线路“π”接入龙泉山变220kV线路</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新建线路</w:t>
      </w:r>
      <w:r>
        <w:rPr>
          <w:rFonts w:hint="eastAsia" w:ascii="宋体" w:hAnsi="宋体" w:eastAsia="宋体" w:cs="宋体"/>
          <w:color w:val="auto"/>
          <w:kern w:val="0"/>
          <w:sz w:val="21"/>
          <w:szCs w:val="21"/>
          <w:highlight w:val="none"/>
        </w:rPr>
        <w:t>长约</w:t>
      </w:r>
      <w:r>
        <w:rPr>
          <w:rFonts w:hint="eastAsia" w:ascii="宋体" w:hAnsi="宋体" w:eastAsia="宋体" w:cs="宋体"/>
          <w:color w:val="auto"/>
          <w:kern w:val="0"/>
          <w:sz w:val="21"/>
          <w:szCs w:val="21"/>
          <w:highlight w:val="none"/>
          <w:lang w:val="en-US" w:eastAsia="zh-CN"/>
        </w:rPr>
        <w:t>9.75（500kV宁州变侧）+9.84（220kV雄关变侧）</w:t>
      </w:r>
      <w:r>
        <w:rPr>
          <w:rFonts w:hint="eastAsia" w:ascii="宋体" w:hAnsi="宋体" w:eastAsia="宋体" w:cs="宋体"/>
          <w:color w:val="auto"/>
          <w:kern w:val="0"/>
          <w:sz w:val="21"/>
          <w:szCs w:val="21"/>
          <w:highlight w:val="none"/>
        </w:rPr>
        <w:t>km，</w:t>
      </w:r>
      <w:r>
        <w:rPr>
          <w:rFonts w:hint="eastAsia" w:ascii="宋体" w:hAnsi="宋体" w:eastAsia="宋体" w:cs="宋体"/>
          <w:color w:val="auto"/>
          <w:kern w:val="0"/>
          <w:sz w:val="21"/>
          <w:szCs w:val="21"/>
          <w:highlight w:val="none"/>
          <w:lang w:val="en-US" w:eastAsia="zh-CN"/>
        </w:rPr>
        <w:t>单回路架设（除220kV龙泉山变两回出线均采用双回路终端塔预留远期通道外）。</w:t>
      </w:r>
      <w:r>
        <w:rPr>
          <w:rFonts w:hint="eastAsia" w:ascii="宋体" w:hAnsi="宋体" w:eastAsia="宋体" w:cs="宋体"/>
          <w:color w:val="auto"/>
          <w:kern w:val="0"/>
          <w:sz w:val="21"/>
          <w:szCs w:val="21"/>
          <w:highlight w:val="none"/>
        </w:rPr>
        <w:t>导线采用</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JL/LB20A-</w:t>
      </w:r>
      <w:r>
        <w:rPr>
          <w:rFonts w:hint="eastAsia" w:ascii="宋体" w:hAnsi="宋体" w:eastAsia="宋体" w:cs="宋体"/>
          <w:color w:val="auto"/>
          <w:kern w:val="0"/>
          <w:sz w:val="21"/>
          <w:szCs w:val="21"/>
          <w:highlight w:val="none"/>
          <w:lang w:val="en-US" w:eastAsia="zh-CN"/>
        </w:rPr>
        <w:t>500</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45</w:t>
      </w:r>
      <w:r>
        <w:rPr>
          <w:rFonts w:hint="eastAsia" w:ascii="宋体" w:hAnsi="宋体" w:eastAsia="宋体" w:cs="宋体"/>
          <w:color w:val="auto"/>
          <w:kern w:val="0"/>
          <w:sz w:val="21"/>
          <w:szCs w:val="21"/>
          <w:highlight w:val="none"/>
        </w:rPr>
        <w:t>铝包钢芯铝绞线</w:t>
      </w:r>
      <w:r>
        <w:rPr>
          <w:rFonts w:hint="eastAsia" w:ascii="宋体" w:hAnsi="宋体" w:eastAsia="宋体" w:cs="宋体"/>
          <w:color w:val="auto"/>
          <w:kern w:val="0"/>
          <w:sz w:val="21"/>
          <w:szCs w:val="21"/>
          <w:highlight w:val="none"/>
          <w:lang w:val="en-US" w:eastAsia="zh-CN"/>
        </w:rPr>
        <w:t>。</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随新建宁州变～雄关变Ⅲ回220kV线路“π”接入龙泉山变220kV线路各架设一根48芯OPGW光缆至“π”接点，与原线路一根48芯OPGW光缆熔接，光缆路径长约9.75（500kV宁州变侧）+9.84（220kV雄关变侧）km。形成龙泉山变至宁州变、雄关变各一回48芯光纤通道。</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6.红早线“π”接入龙泉山变110kV线路</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新建线路长约2×2.6（220kV红塔山变侧）+0.4（220kV红塔山变侧）+2×0.7（110kV早街变侧）km，单、双回路混合架设，双回路单边挂线预留远期通道。</w:t>
      </w:r>
      <w:r>
        <w:rPr>
          <w:rFonts w:hint="eastAsia" w:ascii="宋体" w:hAnsi="宋体" w:eastAsia="宋体" w:cs="宋体"/>
          <w:color w:val="auto"/>
          <w:kern w:val="0"/>
          <w:sz w:val="21"/>
          <w:szCs w:val="21"/>
          <w:highlight w:val="none"/>
        </w:rPr>
        <w:t>导线采用JL/LB20A-</w:t>
      </w:r>
      <w:r>
        <w:rPr>
          <w:rFonts w:hint="eastAsia" w:ascii="宋体" w:hAnsi="宋体" w:eastAsia="宋体" w:cs="宋体"/>
          <w:color w:val="auto"/>
          <w:kern w:val="0"/>
          <w:sz w:val="21"/>
          <w:szCs w:val="21"/>
          <w:highlight w:val="none"/>
          <w:lang w:val="en-US" w:eastAsia="zh-CN"/>
        </w:rPr>
        <w:t>240</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rPr>
        <w:t>铝包钢芯铝绞线</w:t>
      </w:r>
      <w:r>
        <w:rPr>
          <w:rFonts w:hint="eastAsia" w:ascii="宋体" w:hAnsi="宋体" w:eastAsia="宋体" w:cs="宋体"/>
          <w:color w:val="auto"/>
          <w:kern w:val="0"/>
          <w:sz w:val="21"/>
          <w:szCs w:val="21"/>
          <w:highlight w:val="none"/>
          <w:lang w:val="en-US" w:eastAsia="zh-CN"/>
        </w:rPr>
        <w:t>。</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随新建红早线“π”接入龙泉山变110kV线路各架设一根48芯OPGW光缆（各预留24芯光纤通道）至“π”接点，与原线路一根24芯OPGW光缆熔接，光缆路径长约3（220kV红塔山变侧）+0.7（110kV早街变侧）km。形成龙泉山变至红塔山变、早街变各一回24芯光纤通道。</w:t>
      </w:r>
    </w:p>
    <w:p>
      <w:pPr>
        <w:spacing w:line="360" w:lineRule="auto"/>
        <w:ind w:firstLine="64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7.雄大线“π”接入龙泉山变110kV线路</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新建线路长约2×1.6km，双回路架设。</w:t>
      </w:r>
      <w:r>
        <w:rPr>
          <w:rFonts w:hint="eastAsia" w:ascii="宋体" w:hAnsi="宋体" w:eastAsia="宋体" w:cs="宋体"/>
          <w:color w:val="auto"/>
          <w:kern w:val="0"/>
          <w:sz w:val="21"/>
          <w:szCs w:val="21"/>
          <w:highlight w:val="none"/>
        </w:rPr>
        <w:t>导线采用JL/LB20A-</w:t>
      </w:r>
      <w:r>
        <w:rPr>
          <w:rFonts w:hint="eastAsia" w:ascii="宋体" w:hAnsi="宋体" w:eastAsia="宋体" w:cs="宋体"/>
          <w:color w:val="auto"/>
          <w:kern w:val="0"/>
          <w:sz w:val="21"/>
          <w:szCs w:val="21"/>
          <w:highlight w:val="none"/>
          <w:lang w:val="en-US" w:eastAsia="zh-CN"/>
        </w:rPr>
        <w:t>240</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rPr>
        <w:t>铝包钢芯铝绞线</w:t>
      </w:r>
      <w:r>
        <w:rPr>
          <w:rFonts w:hint="eastAsia" w:ascii="宋体" w:hAnsi="宋体" w:eastAsia="宋体" w:cs="宋体"/>
          <w:color w:val="auto"/>
          <w:kern w:val="0"/>
          <w:sz w:val="21"/>
          <w:szCs w:val="21"/>
          <w:highlight w:val="none"/>
          <w:lang w:val="en-US" w:eastAsia="zh-CN"/>
        </w:rPr>
        <w:t>。</w:t>
      </w:r>
    </w:p>
    <w:p>
      <w:pPr>
        <w:spacing w:line="360" w:lineRule="auto"/>
        <w:ind w:firstLine="641"/>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线路工程按</w:t>
      </w:r>
      <w:r>
        <w:rPr>
          <w:rFonts w:hint="eastAsia" w:ascii="宋体" w:hAnsi="宋体" w:eastAsia="宋体" w:cs="宋体"/>
          <w:color w:val="auto"/>
          <w:kern w:val="0"/>
          <w:sz w:val="21"/>
          <w:szCs w:val="21"/>
          <w:highlight w:val="none"/>
          <w:lang w:val="en-US" w:eastAsia="zh-CN"/>
        </w:rPr>
        <w:t>10、15、20</w:t>
      </w:r>
      <w:r>
        <w:rPr>
          <w:rFonts w:hint="eastAsia" w:ascii="宋体" w:hAnsi="宋体" w:eastAsia="宋体" w:cs="宋体"/>
          <w:color w:val="auto"/>
          <w:kern w:val="0"/>
          <w:sz w:val="21"/>
          <w:szCs w:val="21"/>
          <w:highlight w:val="none"/>
        </w:rPr>
        <w:t>mm覆冰，2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m/s基本风速设计。</w:t>
      </w:r>
      <w:r>
        <w:rPr>
          <w:rFonts w:hint="default" w:ascii="宋体" w:hAnsi="宋体" w:eastAsia="宋体" w:cs="宋体"/>
          <w:color w:val="auto"/>
          <w:kern w:val="0"/>
          <w:sz w:val="21"/>
          <w:szCs w:val="21"/>
          <w:highlight w:val="none"/>
          <w:lang w:val="en-US" w:eastAsia="zh-CN"/>
        </w:rPr>
        <w:t>其中（庄乔变～龙泉山变220kV线路15mm冰区长约1</w:t>
      </w:r>
      <w:r>
        <w:rPr>
          <w:rFonts w:hint="eastAsia" w:ascii="宋体" w:hAnsi="宋体" w:eastAsia="宋体" w:cs="宋体"/>
          <w:color w:val="auto"/>
          <w:kern w:val="0"/>
          <w:sz w:val="21"/>
          <w:szCs w:val="21"/>
          <w:highlight w:val="none"/>
          <w:lang w:val="en-US" w:eastAsia="zh-CN"/>
        </w:rPr>
        <w:t>2.9</w:t>
      </w:r>
      <w:r>
        <w:rPr>
          <w:rFonts w:hint="default" w:ascii="宋体" w:hAnsi="宋体" w:eastAsia="宋体" w:cs="宋体"/>
          <w:color w:val="auto"/>
          <w:kern w:val="0"/>
          <w:sz w:val="21"/>
          <w:szCs w:val="21"/>
          <w:highlight w:val="none"/>
          <w:lang w:val="en-US" w:eastAsia="zh-CN"/>
        </w:rPr>
        <w:t>km，20mm冰区长约</w:t>
      </w:r>
      <w:r>
        <w:rPr>
          <w:rFonts w:hint="eastAsia" w:ascii="宋体" w:hAnsi="宋体" w:eastAsia="宋体" w:cs="宋体"/>
          <w:color w:val="auto"/>
          <w:kern w:val="0"/>
          <w:sz w:val="21"/>
          <w:szCs w:val="21"/>
          <w:highlight w:val="none"/>
          <w:lang w:val="en-US" w:eastAsia="zh-CN"/>
        </w:rPr>
        <w:t>7.6</w:t>
      </w:r>
      <w:r>
        <w:rPr>
          <w:rFonts w:hint="default" w:ascii="宋体" w:hAnsi="宋体" w:eastAsia="宋体" w:cs="宋体"/>
          <w:color w:val="auto"/>
          <w:kern w:val="0"/>
          <w:sz w:val="21"/>
          <w:szCs w:val="21"/>
          <w:highlight w:val="none"/>
          <w:lang w:val="en-US" w:eastAsia="zh-CN"/>
        </w:rPr>
        <w:t>km；宁州变～雄关变Ⅲ回220kV线路“π”接入龙泉山变220kV线路15mm冰区长约</w:t>
      </w:r>
      <w:r>
        <w:rPr>
          <w:rFonts w:hint="eastAsia" w:ascii="宋体" w:hAnsi="宋体" w:eastAsia="宋体" w:cs="宋体"/>
          <w:color w:val="auto"/>
          <w:kern w:val="0"/>
          <w:sz w:val="21"/>
          <w:szCs w:val="21"/>
          <w:highlight w:val="none"/>
          <w:lang w:val="en-US" w:eastAsia="zh-CN"/>
        </w:rPr>
        <w:t>6.2</w:t>
      </w:r>
      <w:r>
        <w:rPr>
          <w:rFonts w:hint="default" w:ascii="宋体" w:hAnsi="宋体" w:eastAsia="宋体" w:cs="宋体"/>
          <w:color w:val="auto"/>
          <w:kern w:val="0"/>
          <w:sz w:val="21"/>
          <w:szCs w:val="21"/>
          <w:highlight w:val="none"/>
          <w:lang w:val="en-US" w:eastAsia="zh-CN"/>
        </w:rPr>
        <w:t>km）</w:t>
      </w:r>
      <w:r>
        <w:rPr>
          <w:rFonts w:hint="eastAsia" w:ascii="宋体" w:hAnsi="宋体" w:eastAsia="宋体" w:cs="宋体"/>
          <w:color w:val="auto"/>
          <w:kern w:val="0"/>
          <w:sz w:val="21"/>
          <w:szCs w:val="21"/>
          <w:highlight w:val="none"/>
          <w:lang w:val="en-US" w:eastAsia="zh-CN"/>
        </w:rPr>
        <w:t>。</w:t>
      </w:r>
    </w:p>
    <w:p>
      <w:pPr>
        <w:spacing w:line="360" w:lineRule="auto"/>
        <w:ind w:firstLine="641"/>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随新建雄大线“π”接入龙泉山变110kV线路架设两根48芯OPGW光缆（各预留24芯光纤通道）至“π”接点，与原线路一根24芯OPGW光缆熔接，光缆路径长约2×1.6km，形成龙泉山变至雄关变、大街变各一回24芯光纤通道。</w:t>
      </w:r>
    </w:p>
    <w:p>
      <w:pPr>
        <w:pStyle w:val="6"/>
        <w:numPr>
          <w:ilvl w:val="0"/>
          <w:numId w:val="1"/>
        </w:numPr>
        <w:adjustRightInd w:val="0"/>
        <w:snapToGrid w:val="0"/>
        <w:spacing w:line="360" w:lineRule="auto"/>
        <w:ind w:firstLine="0"/>
        <w:outlineLvl w:val="0"/>
        <w:rPr>
          <w:rFonts w:hAnsi="宋体" w:eastAsia="宋体" w:cs="宋体"/>
          <w:b/>
          <w:color w:val="auto"/>
          <w:sz w:val="24"/>
          <w:szCs w:val="24"/>
          <w:highlight w:val="none"/>
        </w:rPr>
      </w:pPr>
      <w:r>
        <w:rPr>
          <w:rFonts w:hint="eastAsia" w:hAnsi="宋体" w:eastAsia="宋体" w:cs="宋体"/>
          <w:b/>
          <w:color w:val="auto"/>
          <w:sz w:val="24"/>
          <w:szCs w:val="24"/>
          <w:highlight w:val="none"/>
        </w:rPr>
        <w:t>采购范围</w:t>
      </w:r>
      <w:bookmarkStart w:id="1" w:name="施工招标范围综合"/>
    </w:p>
    <w:bookmarkEnd w:id="1"/>
    <w:p>
      <w:pPr>
        <w:pStyle w:val="4"/>
        <w:spacing w:line="360" w:lineRule="auto"/>
        <w:ind w:firstLine="422" w:firstLineChars="200"/>
        <w:rPr>
          <w:rFonts w:hint="eastAsia" w:ascii="宋体" w:hAnsi="宋体" w:cs="宋体" w:eastAsiaTheme="minorEastAsia"/>
          <w:b w:val="0"/>
          <w:i w:val="0"/>
          <w:color w:val="auto"/>
          <w:kern w:val="0"/>
          <w:sz w:val="21"/>
          <w:szCs w:val="21"/>
          <w:highlight w:val="none"/>
          <w:lang w:val="en-US" w:eastAsia="zh-CN" w:bidi="ar-SA"/>
        </w:rPr>
      </w:pPr>
      <w:r>
        <w:rPr>
          <w:rFonts w:hint="eastAsia" w:ascii="宋体" w:hAnsi="宋体" w:cs="宋体"/>
          <w:bCs/>
          <w:i w:val="0"/>
          <w:color w:val="auto"/>
          <w:kern w:val="0"/>
          <w:sz w:val="21"/>
          <w:szCs w:val="21"/>
          <w:highlight w:val="none"/>
        </w:rPr>
        <w:t>变电部分</w:t>
      </w:r>
      <w:r>
        <w:rPr>
          <w:rFonts w:hint="eastAsia" w:ascii="宋体" w:hAnsi="宋体" w:cs="宋体"/>
          <w:b w:val="0"/>
          <w:i w:val="0"/>
          <w:color w:val="auto"/>
          <w:kern w:val="0"/>
          <w:sz w:val="21"/>
          <w:szCs w:val="21"/>
          <w:highlight w:val="none"/>
        </w:rPr>
        <w:t>:</w:t>
      </w:r>
      <w:r>
        <w:rPr>
          <w:rFonts w:hint="eastAsia" w:ascii="宋体" w:hAnsi="宋体" w:eastAsia="宋体" w:cs="宋体"/>
          <w:b w:val="0"/>
          <w:i w:val="0"/>
          <w:color w:val="auto"/>
          <w:kern w:val="0"/>
          <w:sz w:val="21"/>
          <w:szCs w:val="21"/>
          <w:highlight w:val="none"/>
          <w:lang w:val="en-US" w:eastAsia="zh-CN" w:bidi="ar-SA"/>
        </w:rPr>
        <w:t>设备除空调、通风机、消防器材由投标人自行采购外，其他均由招标人供应。安装工程材料中10V及以上电缆头、管型母线及管金具、封闭母线桥、全站电缆（不含消防电缆、照明电缆、站内通信电缆）、户外检修电源箱、户外动力箱户外端子箱由招标人供应，其余材料由施工单位提供。建筑工程材料对采用钢管构支架的，避雷针、站内出线铁塔、爬梯、节点等钢结构均由招标人供应，其余材料均由投标人供应:对采用混凝土杆构支架的避雷针、站内出线铁塔、爬梯、节点等材料均由投标人供应。变电站照明配电箱、户内动力配电箱、户内检修电源箱、电缆支架、电缆桥架、门类、窗类、混凝土盖板、复合盖板由投标人供应。包含站外电源、水源费用。</w:t>
      </w:r>
    </w:p>
    <w:p>
      <w:pPr>
        <w:spacing w:line="360" w:lineRule="auto"/>
        <w:ind w:firstLine="641"/>
        <w:rPr>
          <w:rFonts w:hint="eastAsia" w:ascii="宋体" w:hAnsi="宋体" w:cs="宋体" w:eastAsiaTheme="minorEastAsia"/>
          <w:b w:val="0"/>
          <w:i w:val="0"/>
          <w:color w:val="auto"/>
          <w:kern w:val="0"/>
          <w:sz w:val="21"/>
          <w:szCs w:val="21"/>
          <w:highlight w:val="none"/>
          <w:lang w:val="en-US" w:eastAsia="zh-CN" w:bidi="ar-SA"/>
        </w:rPr>
      </w:pPr>
      <w:r>
        <w:rPr>
          <w:rFonts w:hint="eastAsia" w:ascii="宋体" w:hAnsi="宋体" w:cs="宋体" w:eastAsiaTheme="minorEastAsia"/>
          <w:b w:val="0"/>
          <w:i w:val="0"/>
          <w:color w:val="auto"/>
          <w:kern w:val="0"/>
          <w:sz w:val="21"/>
          <w:szCs w:val="21"/>
          <w:highlight w:val="none"/>
          <w:lang w:val="en-US" w:eastAsia="zh-CN" w:bidi="ar-SA"/>
        </w:rPr>
        <w:t>设计图纸范围内的场平、土建、变电建筑、安装、通信（包括配套光设备工程安装及调试）及调试工程。调试工程不含计量用互感器的误差试验、电能表校验。新建变电站或扩建变电站需征地的，征地范围内的原附着物的赔偿（包括土地、房屋、青苗、林木、迁坟、其他构建筑物的赔偿）由招标人负责，征地范围内的原附着物的拆除清理（包括房屋、青苗林木、其他构建筑物的拆除清理等）由投标人负责；变电站扩建间隔工程不征地，但需要拆除部分基础或设备的，其拆除及运输（废旧</w:t>
      </w:r>
      <w:r>
        <w:rPr>
          <w:rFonts w:hint="eastAsia" w:ascii="宋体" w:hAnsi="宋体" w:eastAsia="宋体" w:cs="宋体"/>
          <w:color w:val="auto"/>
          <w:kern w:val="0"/>
          <w:sz w:val="21"/>
          <w:szCs w:val="21"/>
          <w:highlight w:val="none"/>
          <w:lang w:val="en-US" w:eastAsia="zh-CN"/>
        </w:rPr>
        <w:t>物资</w:t>
      </w:r>
      <w:r>
        <w:rPr>
          <w:rFonts w:hint="eastAsia" w:ascii="宋体" w:hAnsi="宋体" w:cs="宋体" w:eastAsiaTheme="minorEastAsia"/>
          <w:b w:val="0"/>
          <w:i w:val="0"/>
          <w:color w:val="auto"/>
          <w:kern w:val="0"/>
          <w:sz w:val="21"/>
          <w:szCs w:val="21"/>
          <w:highlight w:val="none"/>
          <w:lang w:val="en-US" w:eastAsia="zh-CN" w:bidi="ar-SA"/>
        </w:rPr>
        <w:t>运输至建设单位指定地点）工作由投标人负责。不含桩基检测、安健环设施标准化费用、视觉识别系统、电力设施保护区标牌设置。</w:t>
      </w:r>
    </w:p>
    <w:p>
      <w:pPr>
        <w:spacing w:line="360" w:lineRule="auto"/>
        <w:ind w:firstLine="641"/>
        <w:rPr>
          <w:rFonts w:ascii="宋体" w:hAnsi="宋体" w:cs="宋体"/>
          <w:color w:val="auto"/>
          <w:kern w:val="0"/>
          <w:szCs w:val="21"/>
          <w:highlight w:val="none"/>
        </w:rPr>
      </w:pPr>
      <w:r>
        <w:rPr>
          <w:rFonts w:hint="eastAsia" w:ascii="宋体" w:hAnsi="宋体" w:cs="宋体"/>
          <w:bCs/>
          <w:color w:val="auto"/>
          <w:kern w:val="0"/>
          <w:szCs w:val="21"/>
          <w:highlight w:val="none"/>
        </w:rPr>
        <w:t>线路部分:</w:t>
      </w:r>
      <w:r>
        <w:rPr>
          <w:rFonts w:hint="eastAsia" w:ascii="宋体" w:hAnsi="宋体" w:cs="宋体"/>
          <w:color w:val="auto"/>
          <w:kern w:val="0"/>
          <w:szCs w:val="21"/>
          <w:highlight w:val="none"/>
        </w:rPr>
        <w:t>铁塔（含防高空坠落装置及其钢绞线）、钢管塔、混凝土杆（如有）、导线、地线（含OPGW光缆及金具）、绝缘子、线路金具、降阻剂、接地模块、航空警示灯（如有）、石墨接地体（如有）均由招标人供应。其余材料（含插入式角钢、地脚螺栓）均由投标人自行采购。</w:t>
      </w:r>
    </w:p>
    <w:p>
      <w:pPr>
        <w:spacing w:line="360" w:lineRule="auto"/>
        <w:ind w:firstLine="641"/>
        <w:rPr>
          <w:color w:val="auto"/>
          <w:highlight w:val="none"/>
        </w:rPr>
      </w:pPr>
      <w:r>
        <w:rPr>
          <w:rFonts w:hint="eastAsia" w:ascii="宋体" w:hAnsi="宋体" w:cs="宋体"/>
          <w:b w:val="0"/>
          <w:i w:val="0"/>
          <w:color w:val="auto"/>
          <w:kern w:val="0"/>
          <w:sz w:val="21"/>
          <w:szCs w:val="21"/>
          <w:highlight w:val="none"/>
        </w:rPr>
        <w:t>完成线路本体工程的施工、调试及整套启动试运，还包括但不限于下述项目：建设场地征用及清理，包括塔基永久性土地征（租）用（不含耕地占用税）；迁移补偿，包括林木砍伐补偿（不含</w:t>
      </w:r>
      <w:r>
        <w:rPr>
          <w:rFonts w:hint="eastAsia" w:ascii="宋体" w:hAnsi="宋体" w:cs="宋体"/>
          <w:b w:val="0"/>
          <w:i w:val="0"/>
          <w:color w:val="auto"/>
          <w:kern w:val="0"/>
          <w:sz w:val="21"/>
          <w:szCs w:val="21"/>
          <w:highlight w:val="none"/>
          <w:lang w:val="en-US" w:eastAsia="zh-CN"/>
        </w:rPr>
        <w:t>塔基永久占地</w:t>
      </w:r>
      <w:r>
        <w:rPr>
          <w:rFonts w:hint="eastAsia" w:ascii="宋体" w:hAnsi="宋体" w:cs="宋体"/>
          <w:b w:val="0"/>
          <w:i w:val="0"/>
          <w:color w:val="auto"/>
          <w:kern w:val="0"/>
          <w:sz w:val="21"/>
          <w:szCs w:val="21"/>
          <w:highlight w:val="none"/>
        </w:rPr>
        <w:t>植被恢复费、林业报件费，但中标单应按相关要求配合建设单位进行缴纳及报建）临时征（占）用林地（含输电线路通道）恢复业生产条件所发生相关费用，青苗、经济作物、城市绿化赔偿；建构筑物补偿；电力线路、通信线路补偿，道路、管道补偿；余物清理，包括建构筑物</w:t>
      </w:r>
      <w:r>
        <w:rPr>
          <w:rFonts w:hint="eastAsia" w:ascii="宋体" w:hAnsi="宋体" w:eastAsia="宋体" w:cs="宋体"/>
          <w:color w:val="auto"/>
          <w:kern w:val="0"/>
          <w:sz w:val="21"/>
          <w:szCs w:val="21"/>
          <w:highlight w:val="none"/>
          <w:lang w:val="en-US" w:eastAsia="zh-CN"/>
        </w:rPr>
        <w:t>拆除</w:t>
      </w:r>
      <w:r>
        <w:rPr>
          <w:rFonts w:hint="eastAsia" w:ascii="宋体" w:hAnsi="宋体" w:cs="宋体"/>
          <w:b w:val="0"/>
          <w:i w:val="0"/>
          <w:color w:val="auto"/>
          <w:kern w:val="0"/>
          <w:sz w:val="21"/>
          <w:szCs w:val="21"/>
          <w:highlight w:val="none"/>
        </w:rPr>
        <w:t>、电力线、通信线路拆除及运输（废旧物资运输至建设单位指定地点）道路、管道拆除及运输（废旧物资运输至建单位指定地点）、余土外运、送电线路走廊施工赔偿；材料站租（占）用；放线牵张场场建设；障碍物拆迁等及相关配合；光缆测量、接续；各类达标、检查、验收、质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w:t>
      </w:r>
      <w:r>
        <w:rPr>
          <w:rFonts w:hint="eastAsia" w:ascii="宋体" w:hAnsi="宋体" w:cs="宋体"/>
          <w:b w:val="0"/>
          <w:i w:val="0"/>
          <w:color w:val="auto"/>
          <w:kern w:val="0"/>
          <w:sz w:val="21"/>
          <w:szCs w:val="21"/>
          <w:highlight w:val="none"/>
          <w:lang w:val="en-US" w:eastAsia="zh-CN"/>
        </w:rPr>
        <w:t>如有，</w:t>
      </w:r>
      <w:r>
        <w:rPr>
          <w:rFonts w:hint="eastAsia" w:ascii="宋体" w:hAnsi="宋体" w:cs="宋体"/>
          <w:b w:val="0"/>
          <w:i w:val="0"/>
          <w:color w:val="auto"/>
          <w:kern w:val="0"/>
          <w:sz w:val="21"/>
          <w:szCs w:val="21"/>
          <w:highlight w:val="none"/>
        </w:rPr>
        <w:t>含料费和安装费）仅包含本期建设线路所包含的塔基部分，不含线路建设引起其他运行线路相序牌变化和对侧间隔标示更换的费用；不含耕地占用税、林业勘测规划、桩基</w:t>
      </w:r>
      <w:r>
        <w:rPr>
          <w:rFonts w:hint="eastAsia" w:ascii="宋体" w:hAnsi="宋体" w:eastAsia="宋体" w:cs="宋体"/>
          <w:color w:val="auto"/>
          <w:kern w:val="0"/>
          <w:sz w:val="21"/>
          <w:szCs w:val="21"/>
          <w:highlight w:val="none"/>
          <w:lang w:val="en-US" w:eastAsia="zh-CN"/>
        </w:rPr>
        <w:t>检测</w:t>
      </w:r>
      <w:r>
        <w:rPr>
          <w:rFonts w:hint="eastAsia" w:ascii="宋体" w:hAnsi="宋体" w:cs="宋体"/>
          <w:b w:val="0"/>
          <w:i w:val="0"/>
          <w:color w:val="auto"/>
          <w:kern w:val="0"/>
          <w:sz w:val="21"/>
          <w:szCs w:val="21"/>
          <w:highlight w:val="none"/>
        </w:rPr>
        <w:t>、电力设施保护区标牌设置；不含厂、矿、石、砂、砖窑、炸药库等的停、封、迁移补偿等和军事设施补偿、水利设施补偿费等补偿</w:t>
      </w:r>
      <w:r>
        <w:rPr>
          <w:rFonts w:hint="eastAsia" w:ascii="宋体" w:hAnsi="宋体" w:cs="宋体"/>
          <w:b w:val="0"/>
          <w:i w:val="0"/>
          <w:color w:val="auto"/>
          <w:kern w:val="0"/>
          <w:sz w:val="21"/>
          <w:szCs w:val="21"/>
          <w:highlight w:val="none"/>
          <w:lang w:eastAsia="zh-CN"/>
        </w:rPr>
        <w:t>。</w:t>
      </w:r>
    </w:p>
    <w:p>
      <w:pPr>
        <w:pStyle w:val="6"/>
        <w:numPr>
          <w:ilvl w:val="0"/>
          <w:numId w:val="1"/>
        </w:numPr>
        <w:adjustRightInd w:val="0"/>
        <w:snapToGrid w:val="0"/>
        <w:spacing w:line="360" w:lineRule="auto"/>
        <w:ind w:firstLine="0"/>
        <w:outlineLvl w:val="0"/>
        <w:rPr>
          <w:rFonts w:hAnsi="宋体" w:eastAsia="宋体" w:cs="宋体"/>
          <w:b/>
          <w:color w:val="auto"/>
          <w:sz w:val="24"/>
          <w:szCs w:val="24"/>
          <w:highlight w:val="none"/>
        </w:rPr>
      </w:pPr>
      <w:r>
        <w:rPr>
          <w:rFonts w:hint="eastAsia" w:hAnsi="宋体" w:eastAsia="宋体" w:cs="宋体"/>
          <w:b/>
          <w:color w:val="auto"/>
          <w:sz w:val="24"/>
          <w:szCs w:val="24"/>
          <w:highlight w:val="none"/>
        </w:rPr>
        <w:t xml:space="preserve">承包方式 </w:t>
      </w:r>
    </w:p>
    <w:p>
      <w:pPr>
        <w:pStyle w:val="6"/>
        <w:spacing w:line="360" w:lineRule="auto"/>
        <w:ind w:firstLine="420" w:firstLineChars="200"/>
        <w:rPr>
          <w:rFonts w:hint="eastAsia" w:hAnsi="宋体" w:eastAsia="宋体" w:cs="宋体"/>
          <w:snapToGrid w:val="0"/>
          <w:color w:val="auto"/>
          <w:sz w:val="21"/>
          <w:szCs w:val="21"/>
          <w:highlight w:val="none"/>
        </w:rPr>
      </w:pPr>
      <w:bookmarkStart w:id="2" w:name="XmInfoEntity_SGCBFS_0_1"/>
      <w:r>
        <w:rPr>
          <w:rFonts w:hint="eastAsia" w:hAnsi="宋体" w:eastAsia="宋体" w:cs="宋体"/>
          <w:snapToGrid w:val="0"/>
          <w:color w:val="auto"/>
          <w:sz w:val="21"/>
          <w:szCs w:val="21"/>
          <w:highlight w:val="none"/>
        </w:rPr>
        <w:t>包工、部分包料。</w:t>
      </w:r>
      <w:bookmarkEnd w:id="2"/>
    </w:p>
    <w:p>
      <w:pPr>
        <w:pStyle w:val="6"/>
        <w:spacing w:line="360" w:lineRule="auto"/>
        <w:ind w:firstLine="420" w:firstLineChars="200"/>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snapToGrid w:val="0"/>
          <w:sz w:val="21"/>
          <w:szCs w:val="21"/>
        </w:rPr>
        <w:t>甲供物资清单：见附件</w:t>
      </w:r>
    </w:p>
    <w:p>
      <w:pPr>
        <w:pStyle w:val="6"/>
        <w:widowControl w:val="0"/>
        <w:numPr>
          <w:ilvl w:val="0"/>
          <w:numId w:val="0"/>
        </w:numPr>
        <w:adjustRightInd w:val="0"/>
        <w:snapToGrid w:val="0"/>
        <w:spacing w:line="360" w:lineRule="auto"/>
        <w:jc w:val="both"/>
        <w:outlineLvl w:val="0"/>
        <w:rPr>
          <w:rFonts w:hint="eastAsia" w:hAnsi="宋体" w:eastAsia="宋体" w:cs="宋体"/>
          <w:b/>
          <w:color w:val="auto"/>
          <w:sz w:val="24"/>
          <w:szCs w:val="24"/>
          <w:highlight w:val="none"/>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6A3447"/>
    <w:rsid w:val="007E004A"/>
    <w:rsid w:val="00CC0EB8"/>
    <w:rsid w:val="00DD1E31"/>
    <w:rsid w:val="05BC6A98"/>
    <w:rsid w:val="071B3875"/>
    <w:rsid w:val="078E2CF2"/>
    <w:rsid w:val="0B347670"/>
    <w:rsid w:val="1096538D"/>
    <w:rsid w:val="1110038B"/>
    <w:rsid w:val="12297CF9"/>
    <w:rsid w:val="1238597D"/>
    <w:rsid w:val="14D37EAB"/>
    <w:rsid w:val="167C6BF3"/>
    <w:rsid w:val="1B177F7C"/>
    <w:rsid w:val="1BA63B03"/>
    <w:rsid w:val="21034F7E"/>
    <w:rsid w:val="21DE176F"/>
    <w:rsid w:val="22683671"/>
    <w:rsid w:val="25584C71"/>
    <w:rsid w:val="2AB629E9"/>
    <w:rsid w:val="352B2DCA"/>
    <w:rsid w:val="37AC2A04"/>
    <w:rsid w:val="3B5612E6"/>
    <w:rsid w:val="3DD8520A"/>
    <w:rsid w:val="41046039"/>
    <w:rsid w:val="43DA2A34"/>
    <w:rsid w:val="44F901B8"/>
    <w:rsid w:val="453168AC"/>
    <w:rsid w:val="46A7570B"/>
    <w:rsid w:val="46B60F87"/>
    <w:rsid w:val="480C50DB"/>
    <w:rsid w:val="494A71CD"/>
    <w:rsid w:val="49C37D91"/>
    <w:rsid w:val="4D1B7EC6"/>
    <w:rsid w:val="4E18685A"/>
    <w:rsid w:val="53D82696"/>
    <w:rsid w:val="544D298B"/>
    <w:rsid w:val="558D4781"/>
    <w:rsid w:val="55AF7E22"/>
    <w:rsid w:val="592009FA"/>
    <w:rsid w:val="59B73677"/>
    <w:rsid w:val="5A230FB1"/>
    <w:rsid w:val="5C6B34A4"/>
    <w:rsid w:val="60F05596"/>
    <w:rsid w:val="636265D3"/>
    <w:rsid w:val="643213DB"/>
    <w:rsid w:val="65904792"/>
    <w:rsid w:val="6AF57C40"/>
    <w:rsid w:val="6DA3005D"/>
    <w:rsid w:val="717B5564"/>
    <w:rsid w:val="740D71D5"/>
    <w:rsid w:val="7866455F"/>
    <w:rsid w:val="78CD5DAC"/>
    <w:rsid w:val="7AFC786F"/>
    <w:rsid w:val="7CB41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toc 2"/>
    <w:basedOn w:val="1"/>
    <w:next w:val="1"/>
    <w:qFormat/>
    <w:uiPriority w:val="0"/>
    <w:pPr>
      <w:tabs>
        <w:tab w:val="right" w:leader="dot" w:pos="8296"/>
      </w:tabs>
      <w:jc w:val="center"/>
    </w:pPr>
    <w:rPr>
      <w:rFonts w:ascii="仿宋_GB2312" w:hAnsi="宋体" w:eastAsia="仿宋_GB2312"/>
      <w:b/>
      <w:sz w:val="28"/>
      <w:szCs w:val="28"/>
    </w:rPr>
  </w:style>
  <w:style w:type="paragraph" w:styleId="8">
    <w:name w:val="Body Text First Indent"/>
    <w:basedOn w:val="2"/>
    <w:next w:val="1"/>
    <w:unhideWhenUsed/>
    <w:qFormat/>
    <w:uiPriority w:val="99"/>
    <w:pPr>
      <w:ind w:firstLine="200" w:firstLineChars="200"/>
      <w:jc w:val="both"/>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四号"/>
    <w:basedOn w:val="1"/>
    <w:qFormat/>
    <w:uiPriority w:val="0"/>
    <w:pPr>
      <w:spacing w:line="360" w:lineRule="auto"/>
      <w:ind w:firstLine="480" w:firstLineChars="200"/>
    </w:pPr>
    <w:rPr>
      <w:rFonts w:ascii="宋体" w:hAnsi="宋体"/>
      <w:sz w:val="24"/>
      <w:szCs w:val="20"/>
    </w:rPr>
  </w:style>
  <w:style w:type="paragraph" w:customStyle="1" w:styleId="13">
    <w:name w:val="正文缩进2字符"/>
    <w:basedOn w:val="1"/>
    <w:next w:val="1"/>
    <w:qFormat/>
    <w:uiPriority w:val="0"/>
    <w:pPr>
      <w:spacing w:line="540" w:lineRule="exact"/>
      <w:ind w:firstLine="200" w:firstLineChars="200"/>
    </w:pPr>
    <w:rPr>
      <w:rFonts w:ascii="Calibri" w:hAnsi="Calibri" w:eastAsia="宋体" w:cs="Times New Roman"/>
      <w:sz w:val="24"/>
      <w:szCs w:val="22"/>
    </w:rPr>
  </w:style>
  <w:style w:type="paragraph" w:styleId="14">
    <w:name w:val="List Paragraph"/>
    <w:basedOn w:val="1"/>
    <w:qFormat/>
    <w:uiPriority w:val="34"/>
    <w:pPr>
      <w:spacing w:line="360" w:lineRule="auto"/>
      <w:ind w:firstLine="420" w:firstLineChars="200"/>
    </w:pPr>
    <w:rPr>
      <w:rFonts w:ascii="宋体" w:hAnsi="宋体" w:eastAsia="宋体" w:cs="Times New Roman"/>
      <w:sz w:val="28"/>
      <w:szCs w:val="22"/>
    </w:rPr>
  </w:style>
  <w:style w:type="paragraph" w:customStyle="1" w:styleId="15">
    <w:name w:val="实施方案正文"/>
    <w:basedOn w:val="1"/>
    <w:qFormat/>
    <w:uiPriority w:val="99"/>
    <w:pPr>
      <w:ind w:firstLine="566" w:firstLineChars="202"/>
    </w:pPr>
    <w:rPr>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Words>
  <Characters>1109</Characters>
  <Lines>9</Lines>
  <Paragraphs>2</Paragraphs>
  <TotalTime>12</TotalTime>
  <ScaleCrop>false</ScaleCrop>
  <LinksUpToDate>false</LinksUpToDate>
  <CharactersWithSpaces>1301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王浩骅</cp:lastModifiedBy>
  <dcterms:modified xsi:type="dcterms:W3CDTF">2026-02-14T03:00:05Z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A6DAA13F62A4402CB4B871A0DE130603</vt:lpwstr>
  </property>
  <property fmtid="{D5CDD505-2E9C-101B-9397-08002B2CF9AE}" pid="4" name="KSOTemplateDocerSaveRecord">
    <vt:lpwstr>eyJoZGlkIjoiMzcwYzY1NTc4Mjk0MWFiZmU5ODhlN2E2NzIyMjJlNzEifQ==</vt:lpwstr>
  </property>
</Properties>
</file>