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numPr>
          <w:ilvl w:val="0"/>
          <w:numId w:val="0"/>
        </w:numPr>
        <w:kinsoku/>
        <w:wordWrap/>
        <w:overflowPunct/>
        <w:topLinePunct w:val="0"/>
        <w:bidi w:val="0"/>
        <w:spacing w:line="560" w:lineRule="exact"/>
        <w:jc w:val="center"/>
        <w:rPr>
          <w:rFonts w:hint="default" w:ascii="方正小标宋简体" w:hAnsi="方正小标宋简体" w:eastAsia="方正小标宋简体" w:cs="方正小标宋简体"/>
          <w:b w:val="0"/>
          <w:kern w:val="2"/>
          <w:sz w:val="44"/>
          <w:szCs w:val="44"/>
          <w:lang w:val="en-US" w:eastAsia="zh-CN" w:bidi="ar"/>
        </w:rPr>
      </w:pPr>
      <w:r>
        <w:rPr>
          <w:rFonts w:hint="eastAsia" w:ascii="方正小标宋简体" w:hAnsi="方正小标宋简体" w:eastAsia="方正小标宋简体" w:cs="方正小标宋简体"/>
          <w:b w:val="0"/>
          <w:kern w:val="2"/>
          <w:sz w:val="44"/>
          <w:szCs w:val="44"/>
          <w:lang w:val="en-US" w:eastAsia="zh-CN" w:bidi="ar"/>
        </w:rPr>
        <w:t>中共云南电网有限责任公司党校一号楼  房屋鉴定服务技术规范书</w:t>
      </w:r>
    </w:p>
    <w:p>
      <w:pPr>
        <w:rPr>
          <w:rFonts w:hint="eastAsia"/>
          <w:lang w:val="en-US" w:eastAsia="zh-CN"/>
        </w:rPr>
      </w:pP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eastAsia" w:ascii="黑体" w:hAnsi="宋体" w:eastAsia="黑体" w:cs="黑体"/>
          <w:kern w:val="2"/>
          <w:sz w:val="32"/>
          <w:szCs w:val="32"/>
          <w:lang w:val="en-US" w:eastAsia="zh-CN" w:bidi="ar"/>
        </w:rPr>
      </w:pPr>
      <w:bookmarkStart w:id="0" w:name="_Toc441159752"/>
      <w:bookmarkEnd w:id="0"/>
      <w:r>
        <w:rPr>
          <w:rFonts w:hint="eastAsia" w:ascii="黑体" w:hAnsi="宋体" w:eastAsia="黑体" w:cs="黑体"/>
          <w:kern w:val="2"/>
          <w:sz w:val="32"/>
          <w:szCs w:val="32"/>
          <w:lang w:val="en-US" w:eastAsia="zh-CN" w:bidi="ar"/>
        </w:rPr>
        <w:t>一、项目概要</w:t>
      </w: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中共云南电网有限责任公司党校（羊仙坡28号）一号楼房屋建盖于1992年，为七层钢筋混凝土结构房屋，建筑面积4666.90平米，需进行安全鉴定。</w:t>
      </w: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eastAsia" w:ascii="黑体" w:hAnsi="宋体" w:eastAsia="黑体" w:cs="黑体"/>
          <w:kern w:val="2"/>
          <w:sz w:val="32"/>
          <w:szCs w:val="32"/>
          <w:lang w:val="en-US" w:eastAsia="zh-CN" w:bidi="ar"/>
        </w:rPr>
      </w:pPr>
      <w:r>
        <w:rPr>
          <w:rFonts w:hint="eastAsia" w:ascii="黑体" w:hAnsi="宋体" w:eastAsia="黑体" w:cs="黑体"/>
          <w:kern w:val="2"/>
          <w:sz w:val="32"/>
          <w:szCs w:val="32"/>
          <w:lang w:val="en-US" w:eastAsia="zh-CN" w:bidi="ar"/>
        </w:rPr>
        <w:t>二、项目范围</w:t>
      </w:r>
    </w:p>
    <w:tbl>
      <w:tblPr>
        <w:tblStyle w:val="10"/>
        <w:tblW w:w="9547" w:type="dxa"/>
        <w:jc w:val="center"/>
        <w:tblLayout w:type="fixed"/>
        <w:tblCellMar>
          <w:top w:w="0" w:type="dxa"/>
          <w:left w:w="108" w:type="dxa"/>
          <w:bottom w:w="0" w:type="dxa"/>
          <w:right w:w="108" w:type="dxa"/>
        </w:tblCellMar>
      </w:tblPr>
      <w:tblGrid>
        <w:gridCol w:w="701"/>
        <w:gridCol w:w="5014"/>
        <w:gridCol w:w="1145"/>
        <w:gridCol w:w="1229"/>
        <w:gridCol w:w="1458"/>
      </w:tblGrid>
      <w:tr>
        <w:tblPrEx>
          <w:tblCellMar>
            <w:top w:w="0" w:type="dxa"/>
            <w:left w:w="108" w:type="dxa"/>
            <w:bottom w:w="0" w:type="dxa"/>
            <w:right w:w="108" w:type="dxa"/>
          </w:tblCellMar>
        </w:tblPrEx>
        <w:trPr>
          <w:trHeight w:val="394"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F1F1F1"/>
            <w:noWrap w:val="0"/>
            <w:vAlign w:val="center"/>
          </w:tcPr>
          <w:p>
            <w:pPr>
              <w:keepNext w:val="0"/>
              <w:keepLines w:val="0"/>
              <w:kinsoku/>
              <w:wordWrap/>
              <w:overflowPunct/>
              <w:topLinePunct w:val="0"/>
              <w:bidi w:val="0"/>
              <w:spacing w:line="56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序号</w:t>
            </w:r>
          </w:p>
        </w:tc>
        <w:tc>
          <w:tcPr>
            <w:tcW w:w="2625" w:type="pct"/>
            <w:tcBorders>
              <w:top w:val="single" w:color="auto" w:sz="4" w:space="0"/>
              <w:left w:val="nil"/>
              <w:bottom w:val="single" w:color="auto" w:sz="4" w:space="0"/>
              <w:right w:val="single" w:color="auto" w:sz="4" w:space="0"/>
            </w:tcBorders>
            <w:shd w:val="clear" w:color="auto" w:fill="F1F1F1"/>
            <w:noWrap w:val="0"/>
            <w:vAlign w:val="center"/>
          </w:tcPr>
          <w:p>
            <w:pPr>
              <w:keepNext w:val="0"/>
              <w:keepLines w:val="0"/>
              <w:kinsoku/>
              <w:wordWrap/>
              <w:overflowPunct/>
              <w:topLinePunct w:val="0"/>
              <w:bidi w:val="0"/>
              <w:spacing w:line="56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物资名称</w:t>
            </w:r>
          </w:p>
        </w:tc>
        <w:tc>
          <w:tcPr>
            <w:tcW w:w="599" w:type="pct"/>
            <w:tcBorders>
              <w:top w:val="single" w:color="auto" w:sz="4" w:space="0"/>
              <w:left w:val="nil"/>
              <w:bottom w:val="single" w:color="auto" w:sz="4" w:space="0"/>
              <w:right w:val="single" w:color="auto" w:sz="4" w:space="0"/>
            </w:tcBorders>
            <w:shd w:val="clear" w:color="auto" w:fill="F1F1F1"/>
            <w:noWrap w:val="0"/>
            <w:vAlign w:val="center"/>
          </w:tcPr>
          <w:p>
            <w:pPr>
              <w:keepNext w:val="0"/>
              <w:keepLines w:val="0"/>
              <w:kinsoku/>
              <w:wordWrap/>
              <w:overflowPunct/>
              <w:topLinePunct w:val="0"/>
              <w:bidi w:val="0"/>
              <w:spacing w:line="56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单位</w:t>
            </w:r>
          </w:p>
        </w:tc>
        <w:tc>
          <w:tcPr>
            <w:tcW w:w="643" w:type="pct"/>
            <w:tcBorders>
              <w:top w:val="single" w:color="auto" w:sz="4" w:space="0"/>
              <w:left w:val="nil"/>
              <w:bottom w:val="single" w:color="auto" w:sz="4" w:space="0"/>
              <w:right w:val="single" w:color="auto" w:sz="4" w:space="0"/>
            </w:tcBorders>
            <w:shd w:val="clear" w:color="auto" w:fill="F1F1F1"/>
            <w:noWrap w:val="0"/>
            <w:vAlign w:val="center"/>
          </w:tcPr>
          <w:p>
            <w:pPr>
              <w:keepNext w:val="0"/>
              <w:keepLines w:val="0"/>
              <w:kinsoku/>
              <w:wordWrap/>
              <w:overflowPunct/>
              <w:topLinePunct w:val="0"/>
              <w:bidi w:val="0"/>
              <w:spacing w:line="56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数量</w:t>
            </w:r>
          </w:p>
        </w:tc>
        <w:tc>
          <w:tcPr>
            <w:tcW w:w="763" w:type="pct"/>
            <w:tcBorders>
              <w:top w:val="single" w:color="auto" w:sz="4" w:space="0"/>
              <w:left w:val="nil"/>
              <w:bottom w:val="single" w:color="auto" w:sz="4" w:space="0"/>
              <w:right w:val="single" w:color="auto" w:sz="4" w:space="0"/>
            </w:tcBorders>
            <w:shd w:val="clear" w:color="auto" w:fill="F1F1F1"/>
            <w:noWrap w:val="0"/>
            <w:vAlign w:val="center"/>
          </w:tcPr>
          <w:p>
            <w:pPr>
              <w:keepNext w:val="0"/>
              <w:keepLines w:val="0"/>
              <w:kinsoku/>
              <w:wordWrap/>
              <w:overflowPunct/>
              <w:topLinePunct w:val="0"/>
              <w:bidi w:val="0"/>
              <w:spacing w:line="56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备注</w:t>
            </w:r>
          </w:p>
        </w:tc>
      </w:tr>
      <w:tr>
        <w:tblPrEx>
          <w:tblCellMar>
            <w:top w:w="0" w:type="dxa"/>
            <w:left w:w="108" w:type="dxa"/>
            <w:bottom w:w="0" w:type="dxa"/>
            <w:right w:w="108" w:type="dxa"/>
          </w:tblCellMar>
        </w:tblPrEx>
        <w:trPr>
          <w:trHeight w:val="445" w:hRule="atLeast"/>
          <w:jc w:val="center"/>
        </w:trPr>
        <w:tc>
          <w:tcPr>
            <w:tcW w:w="3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2625"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中共云南电网有限责任公司党校一号楼房屋鉴定服务</w:t>
            </w:r>
          </w:p>
        </w:tc>
        <w:tc>
          <w:tcPr>
            <w:tcW w:w="599"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平方米</w:t>
            </w:r>
          </w:p>
        </w:tc>
        <w:tc>
          <w:tcPr>
            <w:tcW w:w="64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4666.90</w:t>
            </w:r>
          </w:p>
        </w:tc>
        <w:tc>
          <w:tcPr>
            <w:tcW w:w="76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共七层</w:t>
            </w:r>
          </w:p>
        </w:tc>
      </w:tr>
    </w:tbl>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eastAsia" w:ascii="黑体" w:hAnsi="宋体" w:eastAsia="黑体" w:cs="黑体"/>
          <w:kern w:val="2"/>
          <w:sz w:val="32"/>
          <w:szCs w:val="32"/>
          <w:lang w:val="en-US" w:eastAsia="zh-CN" w:bidi="ar"/>
        </w:rPr>
      </w:pPr>
      <w:r>
        <w:rPr>
          <w:rFonts w:hint="eastAsia" w:ascii="黑体" w:hAnsi="宋体" w:eastAsia="黑体" w:cs="黑体"/>
          <w:kern w:val="2"/>
          <w:sz w:val="32"/>
          <w:szCs w:val="32"/>
          <w:lang w:val="en-US" w:eastAsia="zh-CN" w:bidi="ar"/>
        </w:rPr>
        <w:t>三、项目技术要求</w:t>
      </w: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eastAsia" w:ascii="楷体" w:hAnsi="楷体" w:eastAsia="楷体" w:cs="楷体"/>
          <w:b w:val="0"/>
          <w:bCs w:val="0"/>
          <w:kern w:val="2"/>
          <w:sz w:val="32"/>
          <w:szCs w:val="32"/>
          <w:lang w:val="en-US" w:eastAsia="zh-CN" w:bidi="ar"/>
        </w:rPr>
      </w:pPr>
      <w:r>
        <w:rPr>
          <w:rFonts w:hint="eastAsia" w:ascii="楷体" w:hAnsi="楷体" w:eastAsia="楷体" w:cs="楷体"/>
          <w:b w:val="0"/>
          <w:bCs w:val="0"/>
          <w:kern w:val="2"/>
          <w:sz w:val="32"/>
          <w:szCs w:val="32"/>
          <w:lang w:val="en-US" w:eastAsia="zh-CN" w:bidi="ar"/>
        </w:rPr>
        <w:t>（一）资料审核</w:t>
      </w:r>
    </w:p>
    <w:p>
      <w:pPr>
        <w:pStyle w:val="9"/>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根据被检测房屋建筑结构的实际状况，对房屋勘察、设计、监理、第三方检测等资料等情况进行核查：</w:t>
      </w:r>
    </w:p>
    <w:p>
      <w:pPr>
        <w:pStyle w:val="9"/>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1.设计资料核查:核查岩土工程勘察资料和施工图设计资料（含设计变更）完整程度、地勘资料及设计资料图审情况。</w:t>
      </w:r>
    </w:p>
    <w:p>
      <w:pPr>
        <w:pStyle w:val="9"/>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2.施工资料核查:通过核查施工资料（含施工管理、施工测量、施工物资、施工试验、施工记录、工程验收等相关资料）完整程度及结果，了解该项目施工情况及存在的工程问题。</w:t>
      </w:r>
    </w:p>
    <w:p>
      <w:pPr>
        <w:pStyle w:val="9"/>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3.第三方检测资料核查:重点核查地基基础检测资料、结构实体检测资料、沉降观测资料等，核查该项目工程质量检测情况。</w:t>
      </w: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eastAsia" w:ascii="楷体" w:hAnsi="楷体" w:eastAsia="楷体" w:cs="楷体"/>
          <w:b w:val="0"/>
          <w:bCs w:val="0"/>
          <w:kern w:val="2"/>
          <w:sz w:val="32"/>
          <w:szCs w:val="32"/>
          <w:lang w:val="en-US" w:eastAsia="zh-CN" w:bidi="ar"/>
        </w:rPr>
      </w:pPr>
      <w:r>
        <w:rPr>
          <w:rFonts w:hint="eastAsia" w:ascii="楷体" w:hAnsi="楷体" w:eastAsia="楷体" w:cs="楷体"/>
          <w:b w:val="0"/>
          <w:bCs w:val="0"/>
          <w:kern w:val="2"/>
          <w:sz w:val="32"/>
          <w:szCs w:val="32"/>
          <w:lang w:val="en-US" w:eastAsia="zh-CN" w:bidi="ar"/>
        </w:rPr>
        <w:t>（二）复核内容</w:t>
      </w:r>
    </w:p>
    <w:p>
      <w:pPr>
        <w:pStyle w:val="9"/>
        <w:keepNext w:val="0"/>
        <w:keepLines w:val="0"/>
        <w:pageBreakBefore w:val="0"/>
        <w:widowControl w:val="0"/>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1.构造措施核查及结构承载力复核验算</w:t>
      </w:r>
    </w:p>
    <w:p>
      <w:pPr>
        <w:pStyle w:val="9"/>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按委托方要求，依照委托方提供的资料及房屋现状，针对原设计图纸及房屋现状进行构造措施核查及结构承载力复核验算和抗震承载力验算等。</w:t>
      </w:r>
    </w:p>
    <w:p>
      <w:pPr>
        <w:pStyle w:val="9"/>
        <w:keepNext w:val="0"/>
        <w:keepLines w:val="0"/>
        <w:pageBreakBefore w:val="0"/>
        <w:widowControl w:val="0"/>
        <w:kinsoku/>
        <w:wordWrap/>
        <w:overflowPunct/>
        <w:topLinePunct w:val="0"/>
        <w:autoSpaceDE/>
        <w:autoSpaceDN/>
        <w:bidi w:val="0"/>
        <w:adjustRightInd/>
        <w:snapToGrid/>
        <w:spacing w:after="0" w:line="560" w:lineRule="exact"/>
        <w:ind w:left="0" w:leftChars="0" w:firstLine="643" w:firstLineChars="200"/>
        <w:textAlignment w:val="auto"/>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2.房屋结构安全性等级评定</w:t>
      </w:r>
    </w:p>
    <w:p>
      <w:pPr>
        <w:pStyle w:val="9"/>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按照</w:t>
      </w:r>
      <w:r>
        <w:rPr>
          <w:rFonts w:hint="eastAsia" w:ascii="Times New Roman" w:hAnsi="Times New Roman" w:eastAsia="仿宋" w:cs="Times New Roman"/>
          <w:b w:val="0"/>
          <w:bCs w:val="0"/>
          <w:color w:val="auto"/>
          <w:sz w:val="32"/>
          <w:szCs w:val="32"/>
          <w:highlight w:val="none"/>
          <w:lang w:val="zh-TW" w:eastAsia="zh-TW"/>
        </w:rPr>
        <w:t>现行相关国家标准、规范和规程、省市住建、质监部门下发的技术性文件</w:t>
      </w:r>
      <w:r>
        <w:rPr>
          <w:rFonts w:hint="eastAsia" w:ascii="Times New Roman" w:hAnsi="Times New Roman" w:eastAsia="仿宋" w:cs="Times New Roman"/>
          <w:b w:val="0"/>
          <w:bCs w:val="0"/>
          <w:color w:val="auto"/>
          <w:sz w:val="32"/>
          <w:szCs w:val="32"/>
          <w:highlight w:val="none"/>
          <w:lang w:val="en-US" w:eastAsia="zh-CN"/>
        </w:rPr>
        <w:t>相关要求</w:t>
      </w:r>
      <w:r>
        <w:rPr>
          <w:rFonts w:hint="eastAsia" w:ascii="仿宋" w:hAnsi="仿宋" w:eastAsia="仿宋" w:cs="仿宋"/>
          <w:b w:val="0"/>
          <w:bCs w:val="0"/>
          <w:color w:val="auto"/>
          <w:sz w:val="32"/>
          <w:szCs w:val="32"/>
          <w:highlight w:val="none"/>
          <w:lang w:val="en-US" w:eastAsia="zh-CN"/>
        </w:rPr>
        <w:t>，对房屋进行结构安全性评定。</w:t>
      </w: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eastAsia" w:ascii="楷体" w:hAnsi="楷体" w:eastAsia="楷体" w:cs="楷体"/>
          <w:b w:val="0"/>
          <w:bCs w:val="0"/>
          <w:kern w:val="2"/>
          <w:sz w:val="32"/>
          <w:szCs w:val="32"/>
          <w:lang w:val="en-US" w:eastAsia="zh-CN" w:bidi="ar"/>
        </w:rPr>
      </w:pPr>
      <w:r>
        <w:rPr>
          <w:rFonts w:hint="eastAsia" w:ascii="楷体" w:hAnsi="楷体" w:eastAsia="楷体" w:cs="楷体"/>
          <w:b w:val="0"/>
          <w:bCs w:val="0"/>
          <w:kern w:val="2"/>
          <w:sz w:val="32"/>
          <w:szCs w:val="32"/>
          <w:lang w:val="en-US" w:eastAsia="zh-CN" w:bidi="ar"/>
        </w:rPr>
        <w:t>3.3项目进度要求</w:t>
      </w:r>
    </w:p>
    <w:tbl>
      <w:tblPr>
        <w:tblStyle w:val="10"/>
        <w:tblW w:w="9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4"/>
        <w:gridCol w:w="6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4" w:type="dxa"/>
            <w:shd w:val="clear" w:color="auto" w:fill="F1F1F1"/>
            <w:noWrap w:val="0"/>
            <w:vAlign w:val="center"/>
          </w:tcPr>
          <w:p>
            <w:pPr>
              <w:pStyle w:val="12"/>
              <w:keepNext w:val="0"/>
              <w:keepLines w:val="0"/>
              <w:pageBreakBefore w:val="0"/>
              <w:kinsoku/>
              <w:wordWrap/>
              <w:overflowPunct/>
              <w:topLinePunct w:val="0"/>
              <w:bidi w:val="0"/>
              <w:adjustRightInd/>
              <w:snapToGrid/>
              <w:spacing w:line="560" w:lineRule="exact"/>
              <w:ind w:firstLine="0" w:firstLineChars="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时间</w:t>
            </w:r>
          </w:p>
        </w:tc>
        <w:tc>
          <w:tcPr>
            <w:tcW w:w="6573" w:type="dxa"/>
            <w:shd w:val="clear" w:color="auto" w:fill="F1F1F1"/>
            <w:noWrap w:val="0"/>
            <w:vAlign w:val="center"/>
          </w:tcPr>
          <w:p>
            <w:pPr>
              <w:pStyle w:val="12"/>
              <w:keepNext w:val="0"/>
              <w:keepLines w:val="0"/>
              <w:pageBreakBefore w:val="0"/>
              <w:kinsoku/>
              <w:wordWrap/>
              <w:overflowPunct/>
              <w:topLinePunct w:val="0"/>
              <w:bidi w:val="0"/>
              <w:adjustRightInd/>
              <w:snapToGrid/>
              <w:spacing w:line="560" w:lineRule="exact"/>
              <w:ind w:firstLine="0" w:firstLineChars="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4" w:type="dxa"/>
            <w:noWrap w:val="0"/>
            <w:vAlign w:val="center"/>
          </w:tcPr>
          <w:p>
            <w:pPr>
              <w:pStyle w:val="12"/>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rPr>
              <w:t>从成交通知书发布之日起</w:t>
            </w:r>
            <w:r>
              <w:rPr>
                <w:rFonts w:hint="eastAsia" w:ascii="仿宋" w:hAnsi="仿宋" w:eastAsia="仿宋" w:cs="仿宋"/>
                <w:color w:val="auto"/>
                <w:sz w:val="32"/>
                <w:szCs w:val="32"/>
                <w:lang w:val="en-US" w:eastAsia="zh-CN"/>
              </w:rPr>
              <w:t>30日</w:t>
            </w:r>
            <w:r>
              <w:rPr>
                <w:rFonts w:hint="eastAsia" w:ascii="仿宋" w:hAnsi="仿宋" w:eastAsia="仿宋" w:cs="仿宋"/>
                <w:color w:val="auto"/>
                <w:sz w:val="32"/>
                <w:szCs w:val="32"/>
              </w:rPr>
              <w:t>内完成，正</w:t>
            </w:r>
            <w:r>
              <w:rPr>
                <w:rFonts w:hint="eastAsia" w:ascii="仿宋" w:hAnsi="仿宋" w:eastAsia="仿宋" w:cs="仿宋"/>
                <w:color w:val="auto"/>
                <w:sz w:val="32"/>
                <w:szCs w:val="32"/>
                <w:lang w:val="en-US" w:eastAsia="zh-CN"/>
              </w:rPr>
              <w:t>式交</w:t>
            </w:r>
            <w:r>
              <w:rPr>
                <w:rFonts w:hint="eastAsia" w:ascii="仿宋" w:hAnsi="仿宋" w:eastAsia="仿宋" w:cs="仿宋"/>
                <w:color w:val="auto"/>
                <w:sz w:val="32"/>
                <w:szCs w:val="32"/>
              </w:rPr>
              <w:t>付</w:t>
            </w:r>
            <w:r>
              <w:rPr>
                <w:rFonts w:hint="eastAsia" w:ascii="仿宋" w:hAnsi="仿宋" w:eastAsia="仿宋" w:cs="仿宋"/>
                <w:color w:val="auto"/>
                <w:sz w:val="32"/>
                <w:szCs w:val="32"/>
                <w:lang w:val="en-US" w:eastAsia="zh-CN"/>
              </w:rPr>
              <w:t>房屋安全鉴定报告</w:t>
            </w:r>
            <w:r>
              <w:rPr>
                <w:rFonts w:hint="eastAsia" w:ascii="仿宋" w:hAnsi="仿宋" w:eastAsia="仿宋" w:cs="仿宋"/>
                <w:color w:val="auto"/>
                <w:sz w:val="32"/>
                <w:szCs w:val="32"/>
              </w:rPr>
              <w:t>。</w:t>
            </w:r>
          </w:p>
        </w:tc>
        <w:tc>
          <w:tcPr>
            <w:tcW w:w="6573"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32"/>
                <w:szCs w:val="32"/>
                <w:highlight w:val="none"/>
                <w:lang w:val="en-US" w:eastAsia="zh-CN"/>
              </w:rPr>
            </w:pPr>
            <w:r>
              <w:rPr>
                <w:rFonts w:hint="default" w:ascii="Times New Roman" w:hAnsi="Times New Roman" w:eastAsia="仿宋" w:cs="Times New Roman"/>
                <w:b w:val="0"/>
                <w:bCs w:val="0"/>
                <w:color w:val="auto"/>
                <w:sz w:val="32"/>
                <w:szCs w:val="32"/>
                <w:highlight w:val="none"/>
                <w:lang w:val="en-US" w:eastAsia="zh-CN"/>
              </w:rPr>
              <w:t>投标单位须全面遵守国家相关法律法规，按照</w:t>
            </w:r>
            <w:r>
              <w:rPr>
                <w:rFonts w:hint="eastAsia" w:ascii="Times New Roman" w:hAnsi="Times New Roman" w:eastAsia="仿宋" w:cs="Times New Roman"/>
                <w:b w:val="0"/>
                <w:bCs w:val="0"/>
                <w:color w:val="auto"/>
                <w:sz w:val="32"/>
                <w:szCs w:val="32"/>
                <w:highlight w:val="none"/>
                <w:lang w:val="zh-TW" w:eastAsia="zh-TW"/>
              </w:rPr>
              <w:t>现行相关国家标准、规范和规程、省市住建、质监部门下发的技术性文件</w:t>
            </w:r>
            <w:r>
              <w:rPr>
                <w:rFonts w:hint="eastAsia" w:ascii="Times New Roman" w:hAnsi="Times New Roman" w:eastAsia="仿宋" w:cs="Times New Roman"/>
                <w:b w:val="0"/>
                <w:bCs w:val="0"/>
                <w:color w:val="auto"/>
                <w:sz w:val="32"/>
                <w:szCs w:val="32"/>
                <w:highlight w:val="none"/>
                <w:lang w:val="en-US" w:eastAsia="zh-CN"/>
              </w:rPr>
              <w:t>具体要求</w:t>
            </w:r>
            <w:r>
              <w:rPr>
                <w:rFonts w:hint="default" w:ascii="Times New Roman" w:hAnsi="Times New Roman" w:eastAsia="仿宋" w:cs="Times New Roman"/>
                <w:b w:val="0"/>
                <w:bCs w:val="0"/>
                <w:color w:val="auto"/>
                <w:sz w:val="32"/>
                <w:szCs w:val="32"/>
                <w:highlight w:val="none"/>
                <w:lang w:val="en-US" w:eastAsia="zh-CN"/>
              </w:rPr>
              <w:t>开展</w:t>
            </w:r>
            <w:r>
              <w:rPr>
                <w:rFonts w:hint="eastAsia" w:ascii="Times New Roman" w:hAnsi="Times New Roman" w:eastAsia="仿宋" w:cs="Times New Roman"/>
                <w:b w:val="0"/>
                <w:bCs w:val="0"/>
                <w:color w:val="auto"/>
                <w:sz w:val="32"/>
                <w:szCs w:val="32"/>
                <w:highlight w:val="none"/>
                <w:lang w:val="en-US" w:eastAsia="zh-CN"/>
              </w:rPr>
              <w:t>（</w:t>
            </w:r>
            <w:r>
              <w:rPr>
                <w:rFonts w:hint="eastAsia" w:ascii="仿宋" w:hAnsi="仿宋" w:eastAsia="仿宋" w:cs="仿宋"/>
                <w:color w:val="auto"/>
                <w:sz w:val="32"/>
                <w:szCs w:val="32"/>
                <w:highlight w:val="none"/>
                <w:lang w:val="en-US" w:eastAsia="zh-CN"/>
              </w:rPr>
              <w:t>羊仙坡28号）一号楼房屋鉴定</w:t>
            </w:r>
            <w:r>
              <w:rPr>
                <w:rFonts w:hint="default" w:ascii="Times New Roman" w:hAnsi="Times New Roman" w:eastAsia="仿宋" w:cs="Times New Roman"/>
                <w:b w:val="0"/>
                <w:bCs w:val="0"/>
                <w:color w:val="auto"/>
                <w:sz w:val="32"/>
                <w:szCs w:val="32"/>
                <w:highlight w:val="none"/>
                <w:lang w:val="en-US" w:eastAsia="zh-CN"/>
              </w:rPr>
              <w:t>服务项目工作。</w:t>
            </w:r>
          </w:p>
        </w:tc>
      </w:tr>
    </w:tbl>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default" w:ascii="黑体" w:hAnsi="宋体" w:eastAsia="黑体" w:cs="黑体"/>
          <w:kern w:val="2"/>
          <w:sz w:val="32"/>
          <w:szCs w:val="32"/>
          <w:lang w:val="en-US" w:eastAsia="zh-CN" w:bidi="ar"/>
        </w:rPr>
      </w:pPr>
      <w:r>
        <w:rPr>
          <w:rFonts w:hint="eastAsia" w:ascii="黑体" w:hAnsi="宋体" w:eastAsia="黑体" w:cs="黑体"/>
          <w:kern w:val="2"/>
          <w:sz w:val="32"/>
          <w:szCs w:val="32"/>
          <w:lang w:val="en-US" w:eastAsia="zh-CN" w:bidi="ar"/>
        </w:rPr>
        <w:t>四、标的物要求</w:t>
      </w: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eastAsia" w:ascii="楷体" w:hAnsi="楷体" w:eastAsia="楷体" w:cs="楷体"/>
          <w:b w:val="0"/>
          <w:bCs w:val="0"/>
          <w:kern w:val="2"/>
          <w:sz w:val="32"/>
          <w:szCs w:val="32"/>
          <w:lang w:val="en-US" w:eastAsia="zh-CN" w:bidi="ar"/>
        </w:rPr>
      </w:pPr>
      <w:r>
        <w:rPr>
          <w:rFonts w:hint="eastAsia" w:ascii="楷体" w:hAnsi="楷体" w:eastAsia="楷体" w:cs="楷体"/>
          <w:b w:val="0"/>
          <w:bCs w:val="0"/>
          <w:kern w:val="2"/>
          <w:sz w:val="32"/>
          <w:szCs w:val="32"/>
          <w:lang w:val="en-US" w:eastAsia="zh-CN" w:bidi="ar"/>
        </w:rPr>
        <w:t>（一） 标的物交付时间</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 交付期限为：</w:t>
      </w:r>
      <w:r>
        <w:rPr>
          <w:rFonts w:hint="eastAsia" w:ascii="仿宋" w:hAnsi="仿宋" w:eastAsia="仿宋" w:cs="仿宋"/>
          <w:color w:val="auto"/>
          <w:sz w:val="32"/>
          <w:szCs w:val="32"/>
        </w:rPr>
        <w:t>从成交通知书发布之日起</w:t>
      </w:r>
      <w:r>
        <w:rPr>
          <w:rFonts w:hint="eastAsia" w:ascii="仿宋" w:hAnsi="仿宋" w:eastAsia="仿宋" w:cs="仿宋"/>
          <w:color w:val="auto"/>
          <w:sz w:val="32"/>
          <w:szCs w:val="32"/>
          <w:lang w:val="en-US" w:eastAsia="zh-CN"/>
        </w:rPr>
        <w:t>30日</w:t>
      </w:r>
      <w:r>
        <w:rPr>
          <w:rFonts w:hint="eastAsia" w:ascii="仿宋" w:hAnsi="仿宋" w:eastAsia="仿宋" w:cs="仿宋"/>
          <w:color w:val="auto"/>
          <w:sz w:val="32"/>
          <w:szCs w:val="32"/>
        </w:rPr>
        <w:t>内完成，正常交付</w:t>
      </w:r>
      <w:r>
        <w:rPr>
          <w:rFonts w:hint="eastAsia" w:ascii="仿宋" w:hAnsi="仿宋" w:eastAsia="仿宋" w:cs="仿宋"/>
          <w:color w:val="auto"/>
          <w:sz w:val="32"/>
          <w:szCs w:val="32"/>
          <w:lang w:val="en-US" w:eastAsia="zh-CN"/>
        </w:rPr>
        <w:t>相关资料</w:t>
      </w:r>
      <w:r>
        <w:rPr>
          <w:rFonts w:hint="eastAsia" w:ascii="仿宋" w:hAnsi="仿宋" w:eastAsia="仿宋" w:cs="仿宋"/>
          <w:color w:val="auto"/>
          <w:sz w:val="32"/>
          <w:szCs w:val="32"/>
        </w:rPr>
        <w:t>。</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2. 交付方式：接到买方通知之日起</w:t>
      </w:r>
      <w:r>
        <w:rPr>
          <w:rFonts w:hint="eastAsia" w:ascii="仿宋" w:hAnsi="仿宋" w:eastAsia="仿宋" w:cs="仿宋"/>
          <w:color w:val="auto"/>
          <w:kern w:val="0"/>
          <w:sz w:val="32"/>
          <w:szCs w:val="32"/>
          <w:highlight w:val="none"/>
          <w:u w:val="single"/>
          <w:lang w:val="en-US" w:eastAsia="zh-CN"/>
        </w:rPr>
        <w:t xml:space="preserve"> 3 </w:t>
      </w:r>
      <w:r>
        <w:rPr>
          <w:rFonts w:hint="eastAsia" w:ascii="仿宋" w:hAnsi="仿宋" w:eastAsia="仿宋" w:cs="仿宋"/>
          <w:color w:val="auto"/>
          <w:kern w:val="0"/>
          <w:sz w:val="32"/>
          <w:szCs w:val="32"/>
          <w:highlight w:val="none"/>
          <w:lang w:val="en-US" w:eastAsia="zh-CN"/>
        </w:rPr>
        <w:t>日内开始提供服务。</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3. 如供方逾期交付，取消供方中标资格，并依法追究其法律责任。</w:t>
      </w: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eastAsia" w:ascii="楷体" w:hAnsi="楷体" w:eastAsia="楷体" w:cs="楷体"/>
          <w:b w:val="0"/>
          <w:bCs w:val="0"/>
          <w:kern w:val="2"/>
          <w:sz w:val="32"/>
          <w:szCs w:val="32"/>
          <w:lang w:val="en-US" w:eastAsia="zh-CN" w:bidi="ar"/>
        </w:rPr>
      </w:pPr>
      <w:r>
        <w:rPr>
          <w:rFonts w:hint="eastAsia" w:ascii="楷体" w:hAnsi="楷体" w:eastAsia="楷体" w:cs="楷体"/>
          <w:b w:val="0"/>
          <w:bCs w:val="0"/>
          <w:kern w:val="2"/>
          <w:sz w:val="32"/>
          <w:szCs w:val="32"/>
          <w:lang w:val="en-US" w:eastAsia="zh-CN" w:bidi="ar"/>
        </w:rPr>
        <w:t>（二）验收地点</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default"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昆明市五华区莲花街道羊仙坡28号。</w:t>
      </w: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eastAsia" w:ascii="楷体" w:hAnsi="楷体" w:eastAsia="楷体" w:cs="楷体"/>
          <w:b w:val="0"/>
          <w:bCs w:val="0"/>
          <w:kern w:val="2"/>
          <w:sz w:val="32"/>
          <w:szCs w:val="32"/>
          <w:lang w:val="en-US" w:eastAsia="zh-CN" w:bidi="ar"/>
        </w:rPr>
      </w:pPr>
      <w:r>
        <w:rPr>
          <w:rFonts w:hint="eastAsia" w:ascii="楷体" w:hAnsi="楷体" w:eastAsia="楷体" w:cs="楷体"/>
          <w:b w:val="0"/>
          <w:bCs w:val="0"/>
          <w:kern w:val="2"/>
          <w:sz w:val="32"/>
          <w:szCs w:val="32"/>
          <w:lang w:val="en-US" w:eastAsia="zh-CN" w:bidi="ar"/>
        </w:rPr>
        <w:t>（三）服务承诺</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1. 供方在服务过程中，应在接到通知后的2小时内答复并处理问题。</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2. 遇特殊情况，需方认为有必要提前交付，可同供方协商，确定提前交付日，供方应大力支持。</w:t>
      </w: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default" w:ascii="楷体" w:hAnsi="楷体" w:eastAsia="楷体" w:cs="楷体"/>
          <w:b w:val="0"/>
          <w:bCs w:val="0"/>
          <w:kern w:val="2"/>
          <w:sz w:val="32"/>
          <w:szCs w:val="32"/>
          <w:lang w:val="en-US" w:eastAsia="zh-CN" w:bidi="ar"/>
        </w:rPr>
      </w:pPr>
      <w:r>
        <w:rPr>
          <w:rFonts w:hint="eastAsia" w:ascii="楷体" w:hAnsi="楷体" w:eastAsia="楷体" w:cs="楷体"/>
          <w:b w:val="0"/>
          <w:bCs w:val="0"/>
          <w:kern w:val="2"/>
          <w:sz w:val="32"/>
          <w:szCs w:val="32"/>
          <w:lang w:val="en-US" w:eastAsia="zh-CN" w:bidi="ar"/>
        </w:rPr>
        <w:t>（四）交付成果、验收</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供方按买方要求完成项目即达到验收条件。</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项目验收为材料验收，具体要求如下：</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仿宋" w:hAnsi="仿宋" w:eastAsia="仿宋" w:cs="仿宋"/>
          <w:b/>
          <w:bCs/>
          <w:color w:val="auto"/>
          <w:kern w:val="0"/>
          <w:sz w:val="32"/>
          <w:szCs w:val="32"/>
          <w:highlight w:val="none"/>
          <w:lang w:val="en-US" w:eastAsia="zh-CN"/>
        </w:rPr>
      </w:pPr>
      <w:r>
        <w:rPr>
          <w:rFonts w:hint="eastAsia" w:ascii="仿宋" w:hAnsi="仿宋" w:eastAsia="仿宋" w:cs="仿宋"/>
          <w:color w:val="auto"/>
          <w:sz w:val="32"/>
          <w:szCs w:val="32"/>
          <w:highlight w:val="none"/>
          <w:lang w:val="en-US" w:eastAsia="zh-CN"/>
        </w:rPr>
        <w:t>提供的结算审核材料满足</w:t>
      </w:r>
      <w:r>
        <w:rPr>
          <w:rFonts w:hint="eastAsia" w:ascii="Times New Roman" w:hAnsi="Times New Roman" w:eastAsia="仿宋" w:cs="Times New Roman"/>
          <w:b w:val="0"/>
          <w:bCs w:val="0"/>
          <w:color w:val="auto"/>
          <w:sz w:val="32"/>
          <w:szCs w:val="32"/>
          <w:highlight w:val="none"/>
          <w:lang w:val="en-US" w:eastAsia="zh-CN"/>
        </w:rPr>
        <w:t>国家相关法律法规的规定要求。</w:t>
      </w: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eastAsia" w:ascii="楷体" w:hAnsi="楷体" w:eastAsia="楷体" w:cs="楷体"/>
          <w:b w:val="0"/>
          <w:bCs w:val="0"/>
          <w:kern w:val="2"/>
          <w:sz w:val="32"/>
          <w:szCs w:val="32"/>
          <w:lang w:val="en-US" w:eastAsia="zh-CN" w:bidi="ar"/>
        </w:rPr>
      </w:pPr>
      <w:r>
        <w:rPr>
          <w:rFonts w:hint="eastAsia" w:ascii="楷体" w:hAnsi="楷体" w:eastAsia="楷体" w:cs="楷体"/>
          <w:b w:val="0"/>
          <w:bCs w:val="0"/>
          <w:kern w:val="2"/>
          <w:sz w:val="32"/>
          <w:szCs w:val="32"/>
          <w:lang w:val="en-US" w:eastAsia="zh-CN" w:bidi="ar"/>
        </w:rPr>
        <w:t>（五）采购清册</w:t>
      </w:r>
    </w:p>
    <w:tbl>
      <w:tblPr>
        <w:tblStyle w:val="10"/>
        <w:tblW w:w="58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885"/>
        <w:gridCol w:w="2744"/>
        <w:gridCol w:w="803"/>
        <w:gridCol w:w="954"/>
        <w:gridCol w:w="1747"/>
        <w:gridCol w:w="1445"/>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77" w:hRule="exact"/>
          <w:jc w:val="center"/>
        </w:trPr>
        <w:tc>
          <w:tcPr>
            <w:tcW w:w="454" w:type="pct"/>
            <w:shd w:val="clear" w:color="auto" w:fill="F1F1F1"/>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center"/>
              <w:textAlignment w:val="baseline"/>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序号</w:t>
            </w:r>
          </w:p>
        </w:tc>
        <w:tc>
          <w:tcPr>
            <w:tcW w:w="1409" w:type="pct"/>
            <w:shd w:val="clear" w:color="auto" w:fill="F1F1F1"/>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center"/>
              <w:textAlignment w:val="baseline"/>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名称</w:t>
            </w:r>
          </w:p>
        </w:tc>
        <w:tc>
          <w:tcPr>
            <w:tcW w:w="412" w:type="pct"/>
            <w:shd w:val="clear" w:color="auto" w:fill="F1F1F1"/>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center"/>
              <w:textAlignment w:val="baseline"/>
              <w:rPr>
                <w:rFonts w:hint="default" w:ascii="仿宋" w:hAnsi="仿宋" w:eastAsia="仿宋" w:cs="仿宋"/>
                <w:b/>
                <w:bCs/>
                <w:color w:val="auto"/>
                <w:kern w:val="0"/>
                <w:sz w:val="32"/>
                <w:szCs w:val="32"/>
                <w:highlight w:val="none"/>
                <w:lang w:val="en-US" w:eastAsia="zh-CN"/>
              </w:rPr>
            </w:pPr>
            <w:r>
              <w:rPr>
                <w:rFonts w:hint="eastAsia" w:ascii="仿宋" w:hAnsi="仿宋" w:eastAsia="仿宋" w:cs="仿宋"/>
                <w:b/>
                <w:bCs/>
                <w:color w:val="auto"/>
                <w:kern w:val="0"/>
                <w:sz w:val="32"/>
                <w:szCs w:val="32"/>
                <w:highlight w:val="none"/>
                <w:lang w:val="en-US" w:eastAsia="zh-CN"/>
              </w:rPr>
              <w:t>数量</w:t>
            </w:r>
          </w:p>
        </w:tc>
        <w:tc>
          <w:tcPr>
            <w:tcW w:w="489" w:type="pct"/>
            <w:shd w:val="clear" w:color="auto" w:fill="F1F1F1"/>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center"/>
              <w:textAlignment w:val="baseline"/>
              <w:rPr>
                <w:rFonts w:hint="default" w:ascii="仿宋" w:hAnsi="仿宋" w:eastAsia="仿宋" w:cs="仿宋"/>
                <w:b/>
                <w:bCs/>
                <w:color w:val="auto"/>
                <w:kern w:val="0"/>
                <w:sz w:val="32"/>
                <w:szCs w:val="32"/>
                <w:highlight w:val="none"/>
                <w:lang w:val="en-US" w:eastAsia="zh-CN"/>
              </w:rPr>
            </w:pPr>
            <w:r>
              <w:rPr>
                <w:rFonts w:hint="eastAsia" w:ascii="仿宋" w:hAnsi="仿宋" w:eastAsia="仿宋" w:cs="仿宋"/>
                <w:b/>
                <w:bCs/>
                <w:color w:val="auto"/>
                <w:kern w:val="0"/>
                <w:sz w:val="32"/>
                <w:szCs w:val="32"/>
                <w:highlight w:val="none"/>
                <w:lang w:val="en-US" w:eastAsia="zh-CN"/>
              </w:rPr>
              <w:t>单位</w:t>
            </w:r>
          </w:p>
        </w:tc>
        <w:tc>
          <w:tcPr>
            <w:tcW w:w="897" w:type="pct"/>
            <w:shd w:val="clear" w:color="auto" w:fill="F1F1F1"/>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center"/>
              <w:textAlignment w:val="baseline"/>
              <w:rPr>
                <w:rFonts w:hint="default" w:ascii="仿宋" w:hAnsi="仿宋" w:eastAsia="仿宋" w:cs="仿宋"/>
                <w:b/>
                <w:bCs/>
                <w:color w:val="auto"/>
                <w:kern w:val="0"/>
                <w:sz w:val="32"/>
                <w:szCs w:val="32"/>
                <w:highlight w:val="none"/>
                <w:lang w:val="en-US" w:eastAsia="zh-CN"/>
              </w:rPr>
            </w:pPr>
            <w:r>
              <w:rPr>
                <w:rFonts w:hint="eastAsia" w:ascii="仿宋" w:hAnsi="仿宋" w:eastAsia="仿宋" w:cs="仿宋"/>
                <w:b/>
                <w:bCs/>
                <w:color w:val="auto"/>
                <w:kern w:val="0"/>
                <w:sz w:val="32"/>
                <w:szCs w:val="32"/>
                <w:highlight w:val="none"/>
                <w:lang w:val="en-US" w:eastAsia="zh-CN"/>
              </w:rPr>
              <w:t>报价表</w:t>
            </w:r>
          </w:p>
        </w:tc>
        <w:tc>
          <w:tcPr>
            <w:tcW w:w="742" w:type="pct"/>
            <w:shd w:val="clear" w:color="auto" w:fill="F1F1F1"/>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center"/>
              <w:textAlignment w:val="baseline"/>
              <w:rPr>
                <w:rFonts w:hint="eastAsia" w:ascii="仿宋" w:hAnsi="仿宋" w:eastAsia="仿宋" w:cs="仿宋"/>
                <w:b/>
                <w:bCs/>
                <w:color w:val="auto"/>
                <w:kern w:val="0"/>
                <w:sz w:val="32"/>
                <w:szCs w:val="32"/>
                <w:highlight w:val="none"/>
                <w:lang w:val="en-US" w:eastAsia="zh-CN"/>
              </w:rPr>
            </w:pPr>
            <w:r>
              <w:rPr>
                <w:rFonts w:hint="eastAsia" w:ascii="仿宋" w:hAnsi="仿宋" w:eastAsia="仿宋" w:cs="仿宋"/>
                <w:b/>
                <w:bCs/>
                <w:color w:val="auto"/>
                <w:kern w:val="0"/>
                <w:sz w:val="32"/>
                <w:szCs w:val="32"/>
                <w:highlight w:val="none"/>
                <w:lang w:val="en-US" w:eastAsia="zh-CN"/>
              </w:rPr>
              <w:t>总价限价（元）</w:t>
            </w:r>
          </w:p>
        </w:tc>
        <w:tc>
          <w:tcPr>
            <w:tcW w:w="594" w:type="pct"/>
            <w:shd w:val="clear" w:color="auto" w:fill="F1F1F1"/>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center"/>
              <w:textAlignment w:val="baseline"/>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454" w:type="pct"/>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center"/>
              <w:textAlignment w:val="baseline"/>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c>
          <w:tcPr>
            <w:tcW w:w="1409" w:type="pct"/>
            <w:noWrap w:val="0"/>
            <w:vAlign w:val="center"/>
          </w:tcPr>
          <w:p>
            <w:pPr>
              <w:keepNext w:val="0"/>
              <w:keepLines w:val="0"/>
              <w:pageBreakBefore w:val="0"/>
              <w:widowControl/>
              <w:kinsoku/>
              <w:wordWrap/>
              <w:overflowPunct/>
              <w:topLinePunct w:val="0"/>
              <w:bidi w:val="0"/>
              <w:adjustRightInd w:val="0"/>
              <w:snapToGrid/>
              <w:spacing w:line="560" w:lineRule="exact"/>
              <w:jc w:val="both"/>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sz w:val="32"/>
                <w:szCs w:val="32"/>
                <w:highlight w:val="none"/>
                <w:lang w:val="en-US" w:eastAsia="zh-CN"/>
              </w:rPr>
              <w:t>中共云南电网有限责任公司党校（羊仙坡28号）一号楼房屋鉴定服务</w:t>
            </w:r>
          </w:p>
        </w:tc>
        <w:tc>
          <w:tcPr>
            <w:tcW w:w="412" w:type="pct"/>
            <w:noWrap w:val="0"/>
            <w:vAlign w:val="center"/>
          </w:tcPr>
          <w:p>
            <w:pPr>
              <w:keepNext w:val="0"/>
              <w:keepLines w:val="0"/>
              <w:pageBreakBefore w:val="0"/>
              <w:kinsoku/>
              <w:wordWrap/>
              <w:overflowPunct/>
              <w:topLinePunct w:val="0"/>
              <w:bidi w:val="0"/>
              <w:snapToGrid/>
              <w:spacing w:beforeLines="0" w:afterLines="0" w:line="560" w:lineRule="exact"/>
              <w:jc w:val="center"/>
              <w:rPr>
                <w:rFonts w:hint="default" w:ascii="仿宋" w:hAnsi="仿宋" w:eastAsia="宋体" w:cs="仿宋"/>
                <w:color w:val="auto"/>
                <w:kern w:val="0"/>
                <w:sz w:val="32"/>
                <w:szCs w:val="32"/>
                <w:highlight w:val="none"/>
                <w:lang w:val="en-US" w:eastAsia="zh-CN"/>
              </w:rPr>
            </w:pPr>
            <w:r>
              <w:rPr>
                <w:rFonts w:hint="eastAsia" w:ascii="仿宋" w:hAnsi="仿宋" w:eastAsia="仿宋" w:cs="仿宋"/>
                <w:color w:val="auto"/>
                <w:sz w:val="24"/>
                <w:szCs w:val="24"/>
                <w:highlight w:val="none"/>
                <w:lang w:val="en-US" w:eastAsia="zh-CN"/>
              </w:rPr>
              <w:t>1</w:t>
            </w:r>
          </w:p>
        </w:tc>
        <w:tc>
          <w:tcPr>
            <w:tcW w:w="489" w:type="pct"/>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center"/>
              <w:textAlignment w:val="baseline"/>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项</w:t>
            </w:r>
          </w:p>
        </w:tc>
        <w:tc>
          <w:tcPr>
            <w:tcW w:w="897" w:type="pct"/>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center"/>
              <w:textAlignment w:val="baseline"/>
              <w:rPr>
                <w:rFonts w:hint="eastAsia" w:ascii="仿宋" w:hAnsi="仿宋" w:eastAsia="仿宋" w:cs="仿宋"/>
                <w:color w:val="auto"/>
                <w:kern w:val="0"/>
                <w:sz w:val="32"/>
                <w:szCs w:val="32"/>
                <w:highlight w:val="none"/>
                <w:lang w:val="en-US" w:eastAsia="zh-CN"/>
              </w:rPr>
            </w:pPr>
          </w:p>
        </w:tc>
        <w:tc>
          <w:tcPr>
            <w:tcW w:w="742" w:type="pct"/>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center"/>
              <w:textAlignment w:val="baseline"/>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45000.00</w:t>
            </w:r>
          </w:p>
        </w:tc>
        <w:tc>
          <w:tcPr>
            <w:tcW w:w="594" w:type="pct"/>
            <w:noWrap w:val="0"/>
            <w:vAlign w:val="center"/>
          </w:tcPr>
          <w:p>
            <w:pPr>
              <w:keepNext w:val="0"/>
              <w:keepLines w:val="0"/>
              <w:pageBreakBefore w:val="0"/>
              <w:kinsoku/>
              <w:wordWrap/>
              <w:overflowPunct/>
              <w:topLinePunct w:val="0"/>
              <w:autoSpaceDE w:val="0"/>
              <w:autoSpaceDN w:val="0"/>
              <w:bidi w:val="0"/>
              <w:adjustRightInd w:val="0"/>
              <w:snapToGrid/>
              <w:spacing w:line="560" w:lineRule="exact"/>
              <w:jc w:val="both"/>
              <w:textAlignment w:val="baseline"/>
              <w:rPr>
                <w:rFonts w:hint="default" w:ascii="仿宋" w:hAnsi="仿宋" w:eastAsia="仿宋" w:cs="仿宋"/>
                <w:color w:val="auto"/>
                <w:kern w:val="0"/>
                <w:sz w:val="32"/>
                <w:szCs w:val="32"/>
                <w:highlight w:val="none"/>
                <w:lang w:val="en-US" w:eastAsia="zh-CN"/>
              </w:rPr>
            </w:pPr>
          </w:p>
        </w:tc>
      </w:tr>
    </w:tbl>
    <w:p>
      <w:pPr>
        <w:keepNext w:val="0"/>
        <w:keepLines w:val="0"/>
        <w:pageBreakBefore w:val="0"/>
        <w:widowControl/>
        <w:kinsoku/>
        <w:wordWrap/>
        <w:overflowPunct/>
        <w:topLinePunct w:val="0"/>
        <w:autoSpaceDE/>
        <w:autoSpaceDN/>
        <w:bidi w:val="0"/>
        <w:adjustRightInd w:val="0"/>
        <w:snapToGrid w:val="0"/>
        <w:spacing w:line="560" w:lineRule="exact"/>
        <w:ind w:right="0" w:rightChars="0"/>
        <w:jc w:val="left"/>
        <w:textAlignment w:val="auto"/>
        <w:outlineLvl w:val="9"/>
        <w:rPr>
          <w:rFonts w:hint="default" w:ascii="仿宋" w:hAnsi="仿宋" w:eastAsia="仿宋" w:cs="仿宋"/>
          <w:b/>
          <w:bCs/>
          <w:color w:val="auto"/>
          <w:kern w:val="0"/>
          <w:sz w:val="32"/>
          <w:szCs w:val="32"/>
          <w:highlight w:val="none"/>
          <w:lang w:val="en-US" w:eastAsia="zh-CN"/>
        </w:rPr>
      </w:pPr>
      <w:r>
        <w:rPr>
          <w:rFonts w:hint="eastAsia" w:ascii="仿宋" w:hAnsi="仿宋" w:eastAsia="仿宋" w:cs="仿宋"/>
          <w:b/>
          <w:bCs/>
          <w:color w:val="auto"/>
          <w:kern w:val="0"/>
          <w:sz w:val="32"/>
          <w:szCs w:val="32"/>
          <w:highlight w:val="none"/>
          <w:lang w:val="en-US" w:eastAsia="zh-CN"/>
        </w:rPr>
        <w:t>注：以上价格为含税价，税率以国家税法要求为准。</w:t>
      </w:r>
    </w:p>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60" w:lineRule="exact"/>
        <w:ind w:left="0" w:right="0" w:firstLine="640" w:firstLineChars="200"/>
        <w:jc w:val="both"/>
        <w:textAlignment w:val="auto"/>
        <w:rPr>
          <w:rFonts w:hint="default" w:ascii="黑体" w:hAnsi="宋体" w:eastAsia="黑体" w:cs="黑体"/>
          <w:kern w:val="2"/>
          <w:sz w:val="32"/>
          <w:szCs w:val="32"/>
          <w:lang w:val="en-US" w:eastAsia="zh-CN" w:bidi="ar"/>
        </w:rPr>
      </w:pPr>
      <w:r>
        <w:rPr>
          <w:rFonts w:hint="eastAsia" w:ascii="黑体" w:hAnsi="宋体" w:eastAsia="黑体" w:cs="黑体"/>
          <w:kern w:val="2"/>
          <w:sz w:val="32"/>
          <w:szCs w:val="32"/>
          <w:lang w:val="en-US" w:eastAsia="zh-CN" w:bidi="ar"/>
        </w:rPr>
        <w:t>五、要求</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1.提供营业执照。</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2.具备有效的建设行政主管部门核发的建设工程质量检测机构资质证书，并提供资质证书。</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eastAsia" w:ascii="仿宋" w:hAnsi="仿宋" w:eastAsia="仿宋" w:cs="仿宋"/>
          <w:b/>
          <w:bCs/>
          <w:color w:val="auto"/>
          <w:sz w:val="32"/>
          <w:szCs w:val="32"/>
          <w:highlight w:val="yellow"/>
          <w:lang w:val="en-US" w:eastAsia="zh-CN"/>
        </w:rPr>
      </w:pPr>
      <w:r>
        <w:rPr>
          <w:rFonts w:hint="eastAsia" w:ascii="仿宋" w:hAnsi="仿宋" w:eastAsia="仿宋" w:cs="仿宋"/>
          <w:b w:val="0"/>
          <w:bCs w:val="0"/>
          <w:color w:val="auto"/>
          <w:kern w:val="0"/>
          <w:sz w:val="32"/>
          <w:szCs w:val="32"/>
          <w:highlight w:val="none"/>
          <w:lang w:val="en-US" w:eastAsia="zh-CN"/>
        </w:rPr>
        <w:t>3.需提供近三年（2023年、2024年、2025年）房屋安全检测/鉴定业绩，每年至少1个（需提供合同，合同需有首页、签字盖章页、服务内容页）。</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3" w:firstLineChars="200"/>
        <w:jc w:val="left"/>
        <w:textAlignment w:val="auto"/>
        <w:outlineLvl w:val="9"/>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bCs/>
          <w:color w:val="auto"/>
          <w:kern w:val="0"/>
          <w:sz w:val="32"/>
          <w:szCs w:val="32"/>
          <w:highlight w:val="none"/>
          <w:lang w:val="en-US" w:eastAsia="zh-CN"/>
        </w:rPr>
        <w:t>六、</w:t>
      </w:r>
      <w:r>
        <w:rPr>
          <w:rFonts w:hint="eastAsia" w:ascii="仿宋" w:hAnsi="仿宋" w:eastAsia="仿宋" w:cs="仿宋"/>
          <w:b w:val="0"/>
          <w:bCs w:val="0"/>
          <w:color w:val="auto"/>
          <w:kern w:val="0"/>
          <w:sz w:val="32"/>
          <w:szCs w:val="32"/>
          <w:highlight w:val="none"/>
          <w:lang w:val="en-US" w:eastAsia="zh-CN"/>
        </w:rPr>
        <w:t>报价文件截止时间：以系统发布</w:t>
      </w:r>
      <w:bookmarkStart w:id="1" w:name="_GoBack"/>
      <w:bookmarkEnd w:id="1"/>
      <w:r>
        <w:rPr>
          <w:rFonts w:hint="eastAsia" w:ascii="仿宋" w:hAnsi="仿宋" w:eastAsia="仿宋" w:cs="仿宋"/>
          <w:b w:val="0"/>
          <w:bCs w:val="0"/>
          <w:color w:val="auto"/>
          <w:kern w:val="0"/>
          <w:sz w:val="32"/>
          <w:szCs w:val="32"/>
          <w:highlight w:val="none"/>
          <w:lang w:val="en-US" w:eastAsia="zh-CN"/>
        </w:rPr>
        <w:t>公告日期为准。</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3" w:firstLineChars="200"/>
        <w:jc w:val="left"/>
        <w:textAlignment w:val="auto"/>
        <w:outlineLvl w:val="9"/>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bCs/>
          <w:color w:val="auto"/>
          <w:kern w:val="0"/>
          <w:sz w:val="32"/>
          <w:szCs w:val="32"/>
          <w:highlight w:val="none"/>
          <w:lang w:val="en-US" w:eastAsia="zh-CN"/>
        </w:rPr>
        <w:t>七、</w:t>
      </w:r>
      <w:r>
        <w:rPr>
          <w:rFonts w:hint="eastAsia" w:ascii="仿宋" w:hAnsi="仿宋" w:eastAsia="仿宋" w:cs="仿宋"/>
          <w:b w:val="0"/>
          <w:bCs w:val="0"/>
          <w:color w:val="auto"/>
          <w:kern w:val="0"/>
          <w:sz w:val="32"/>
          <w:szCs w:val="32"/>
          <w:highlight w:val="none"/>
          <w:lang w:val="en-US" w:eastAsia="zh-CN"/>
        </w:rPr>
        <w:t>联系方式：</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outlineLvl w:val="9"/>
        <w:rPr>
          <w:rFonts w:hint="default"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 xml:space="preserve">     联系人:杨正毅         电话：13888076023</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2560" w:firstLineChars="800"/>
        <w:jc w:val="left"/>
        <w:textAlignment w:val="auto"/>
        <w:outlineLvl w:val="9"/>
        <w:rPr>
          <w:rFonts w:hint="eastAsia" w:ascii="仿宋" w:hAnsi="仿宋" w:eastAsia="仿宋" w:cs="仿宋"/>
          <w:b w:val="0"/>
          <w:bCs w:val="0"/>
          <w:color w:val="auto"/>
          <w:kern w:val="0"/>
          <w:sz w:val="32"/>
          <w:szCs w:val="32"/>
          <w:highlight w:val="none"/>
          <w:lang w:val="en-US" w:eastAsia="zh-CN"/>
        </w:rPr>
      </w:pP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2560" w:firstLineChars="800"/>
        <w:jc w:val="left"/>
        <w:textAlignment w:val="auto"/>
        <w:outlineLvl w:val="9"/>
        <w:rPr>
          <w:rFonts w:hint="eastAsia" w:ascii="仿宋" w:hAnsi="仿宋" w:eastAsia="仿宋" w:cs="仿宋"/>
          <w:b w:val="0"/>
          <w:bCs w:val="0"/>
          <w:color w:val="auto"/>
          <w:kern w:val="0"/>
          <w:sz w:val="32"/>
          <w:szCs w:val="32"/>
          <w:highlight w:val="none"/>
          <w:lang w:val="en-US" w:eastAsia="zh-CN"/>
        </w:rPr>
      </w:pP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2560" w:firstLineChars="800"/>
        <w:jc w:val="left"/>
        <w:textAlignment w:val="auto"/>
        <w:outlineLvl w:val="9"/>
        <w:rPr>
          <w:rFonts w:hint="eastAsia" w:ascii="仿宋" w:hAnsi="仿宋" w:eastAsia="仿宋" w:cs="仿宋"/>
          <w:b w:val="0"/>
          <w:bCs w:val="0"/>
          <w:color w:val="auto"/>
          <w:kern w:val="0"/>
          <w:sz w:val="32"/>
          <w:szCs w:val="32"/>
          <w:highlight w:val="none"/>
          <w:lang w:val="en-US" w:eastAsia="zh-CN"/>
        </w:rPr>
      </w:pP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2560" w:firstLineChars="800"/>
        <w:jc w:val="left"/>
        <w:textAlignment w:val="auto"/>
        <w:outlineLvl w:val="9"/>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中共云南电网有限责任公司党校</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160" w:firstLineChars="1300"/>
        <w:jc w:val="left"/>
        <w:textAlignment w:val="auto"/>
        <w:outlineLvl w:val="9"/>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综合管理部</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3840" w:firstLineChars="1200"/>
        <w:jc w:val="left"/>
        <w:textAlignment w:val="auto"/>
        <w:outlineLvl w:val="9"/>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2026年2月24日</w:t>
      </w:r>
    </w:p>
    <w:p>
      <w:pPr>
        <w:keepNext w:val="0"/>
        <w:keepLines w:val="0"/>
        <w:kinsoku/>
        <w:wordWrap/>
        <w:overflowPunct/>
        <w:topLinePunct w:val="0"/>
        <w:bidi w:val="0"/>
        <w:spacing w:line="560" w:lineRule="exact"/>
        <w:ind w:firstLine="210" w:firstLineChars="100"/>
        <w:rPr>
          <w:rFonts w:hint="default" w:eastAsia="宋体"/>
          <w:lang w:val="en-US" w:eastAsia="zh-CN"/>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v:textbox>
            </v:shape>
          </w:pict>
        </mc:Fallback>
      </mc:AlternateConten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070632"/>
    <w:rsid w:val="0216779F"/>
    <w:rsid w:val="036B7222"/>
    <w:rsid w:val="046B5AC3"/>
    <w:rsid w:val="08E35BA2"/>
    <w:rsid w:val="09BB7E03"/>
    <w:rsid w:val="0AA850E7"/>
    <w:rsid w:val="0AC24906"/>
    <w:rsid w:val="0B196948"/>
    <w:rsid w:val="0CC642A5"/>
    <w:rsid w:val="0D450E66"/>
    <w:rsid w:val="0F437533"/>
    <w:rsid w:val="10875909"/>
    <w:rsid w:val="109E6D7F"/>
    <w:rsid w:val="11BA3EE3"/>
    <w:rsid w:val="1316305E"/>
    <w:rsid w:val="142737CA"/>
    <w:rsid w:val="143A2A49"/>
    <w:rsid w:val="14663C85"/>
    <w:rsid w:val="170A0F1B"/>
    <w:rsid w:val="19047787"/>
    <w:rsid w:val="19A85AA6"/>
    <w:rsid w:val="1DE44B16"/>
    <w:rsid w:val="217008EA"/>
    <w:rsid w:val="22286F53"/>
    <w:rsid w:val="228E6BE7"/>
    <w:rsid w:val="24D91E5B"/>
    <w:rsid w:val="24DD2745"/>
    <w:rsid w:val="25487456"/>
    <w:rsid w:val="27F84FA1"/>
    <w:rsid w:val="2D510F65"/>
    <w:rsid w:val="2D614A83"/>
    <w:rsid w:val="323A58AE"/>
    <w:rsid w:val="33576347"/>
    <w:rsid w:val="345F0C0E"/>
    <w:rsid w:val="37865BA7"/>
    <w:rsid w:val="38283467"/>
    <w:rsid w:val="38E9376A"/>
    <w:rsid w:val="39494261"/>
    <w:rsid w:val="39C421D4"/>
    <w:rsid w:val="3ADF6199"/>
    <w:rsid w:val="3BC64D16"/>
    <w:rsid w:val="3C8A3C61"/>
    <w:rsid w:val="3D383607"/>
    <w:rsid w:val="3E2C23CA"/>
    <w:rsid w:val="3E9418D5"/>
    <w:rsid w:val="3EAA4CA9"/>
    <w:rsid w:val="3F84261F"/>
    <w:rsid w:val="408244D3"/>
    <w:rsid w:val="4089760D"/>
    <w:rsid w:val="43E07085"/>
    <w:rsid w:val="464D3A00"/>
    <w:rsid w:val="465F5FAB"/>
    <w:rsid w:val="47D11E4A"/>
    <w:rsid w:val="496A6FDA"/>
    <w:rsid w:val="4B9B7997"/>
    <w:rsid w:val="4BF4668B"/>
    <w:rsid w:val="4C017A7C"/>
    <w:rsid w:val="4C07648F"/>
    <w:rsid w:val="4C73121A"/>
    <w:rsid w:val="4C914A2C"/>
    <w:rsid w:val="4CC306FE"/>
    <w:rsid w:val="4D524AEA"/>
    <w:rsid w:val="4D8352B9"/>
    <w:rsid w:val="4E080D95"/>
    <w:rsid w:val="50352BA7"/>
    <w:rsid w:val="50EE3473"/>
    <w:rsid w:val="51476A2C"/>
    <w:rsid w:val="53972CF6"/>
    <w:rsid w:val="53D57297"/>
    <w:rsid w:val="5505540A"/>
    <w:rsid w:val="567A7228"/>
    <w:rsid w:val="5699538C"/>
    <w:rsid w:val="574115C2"/>
    <w:rsid w:val="58D5734A"/>
    <w:rsid w:val="58FD4AA4"/>
    <w:rsid w:val="59070632"/>
    <w:rsid w:val="5937763B"/>
    <w:rsid w:val="5B7E7F74"/>
    <w:rsid w:val="5DBC1C9A"/>
    <w:rsid w:val="5F226CAA"/>
    <w:rsid w:val="61FC621E"/>
    <w:rsid w:val="63C11A36"/>
    <w:rsid w:val="640754C3"/>
    <w:rsid w:val="6B3D7C7E"/>
    <w:rsid w:val="6BBF4841"/>
    <w:rsid w:val="6E457205"/>
    <w:rsid w:val="734E74D2"/>
    <w:rsid w:val="73940695"/>
    <w:rsid w:val="74421806"/>
    <w:rsid w:val="764A6C3A"/>
    <w:rsid w:val="79C332C8"/>
    <w:rsid w:val="7AD47181"/>
    <w:rsid w:val="7B252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val="0"/>
      <w:keepLines w:val="0"/>
      <w:pageBreakBefore/>
      <w:spacing w:before="340" w:beforeLines="0" w:beforeAutospacing="0" w:after="330" w:afterLines="0" w:afterAutospacing="0" w:line="576" w:lineRule="auto"/>
      <w:jc w:val="center"/>
      <w:outlineLvl w:val="0"/>
    </w:pPr>
    <w:rPr>
      <w:rFonts w:ascii="Times New Roman" w:hAnsi="Times New Roman"/>
      <w:b/>
      <w:kern w:val="44"/>
      <w:sz w:val="28"/>
    </w:rPr>
  </w:style>
  <w:style w:type="character" w:default="1" w:styleId="11">
    <w:name w:val="Default Paragraph Font"/>
    <w:semiHidden/>
    <w:qFormat/>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next w:val="6"/>
    <w:qFormat/>
    <w:uiPriority w:val="0"/>
    <w:pPr>
      <w:spacing w:after="120"/>
      <w:ind w:left="420"/>
    </w:pPr>
  </w:style>
  <w:style w:type="paragraph" w:customStyle="1" w:styleId="6">
    <w:name w:val="Char"/>
    <w:basedOn w:val="1"/>
    <w:next w:val="1"/>
    <w:qFormat/>
    <w:uiPriority w:val="0"/>
    <w:rPr>
      <w:sz w:val="20"/>
      <w:szCs w:val="20"/>
    </w:rPr>
  </w:style>
  <w:style w:type="paragraph" w:styleId="7">
    <w:name w:val="Date"/>
    <w:basedOn w:val="1"/>
    <w:next w:val="1"/>
    <w:qFormat/>
    <w:uiPriority w:val="0"/>
    <w:pPr>
      <w:wordWrap w:val="0"/>
      <w:overflowPunct w:val="0"/>
      <w:autoSpaceDE w:val="0"/>
      <w:autoSpaceDN w:val="0"/>
      <w:adjustRightInd w:val="0"/>
      <w:spacing w:line="360" w:lineRule="auto"/>
      <w:textAlignment w:val="baseline"/>
    </w:pPr>
    <w:rPr>
      <w:rFonts w:ascii="Arial" w:hAnsi="Arial"/>
      <w:snapToGrid/>
      <w:kern w:val="0"/>
      <w:sz w:val="24"/>
    </w:rPr>
  </w:style>
  <w:style w:type="paragraph" w:styleId="8">
    <w:name w:val="footer"/>
    <w:basedOn w:val="1"/>
    <w:qFormat/>
    <w:uiPriority w:val="0"/>
    <w:pPr>
      <w:tabs>
        <w:tab w:val="center" w:pos="4153"/>
        <w:tab w:val="right" w:pos="8306"/>
      </w:tabs>
      <w:snapToGrid w:val="0"/>
      <w:jc w:val="left"/>
    </w:pPr>
    <w:rPr>
      <w:kern w:val="0"/>
      <w:sz w:val="18"/>
      <w:szCs w:val="18"/>
    </w:rPr>
  </w:style>
  <w:style w:type="paragraph" w:styleId="9">
    <w:name w:val="Body Text First Indent 2"/>
    <w:basedOn w:val="5"/>
    <w:qFormat/>
    <w:uiPriority w:val="0"/>
    <w:pPr>
      <w:ind w:leftChars="200" w:firstLine="420" w:firstLineChars="200"/>
    </w:pPr>
  </w:style>
  <w:style w:type="paragraph" w:customStyle="1" w:styleId="12">
    <w:name w:val="GEDI正文样式"/>
    <w:basedOn w:val="1"/>
    <w:qFormat/>
    <w:uiPriority w:val="0"/>
    <w:pPr>
      <w:adjustRightInd w:val="0"/>
      <w:snapToGrid w:val="0"/>
      <w:spacing w:line="480" w:lineRule="atLeast"/>
      <w:ind w:firstLine="480" w:firstLineChars="200"/>
    </w:pPr>
    <w:rPr>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2025-08-26T02:08:00Z</dcterms:created>
  <dc:creator>yndw</dc:creator>
  <cp:lastModifiedBy>杨正毅</cp:lastModifiedBy>
  <dcterms:modified xsi:type="dcterms:W3CDTF">2026-02-24T04:00:03Z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0B985C01D2514535AEF4270E85F0AEDD</vt:lpwstr>
  </property>
</Properties>
</file>