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C3" w:rsidRDefault="000B7214">
      <w:pPr>
        <w:spacing w:beforeLines="200" w:before="624" w:line="360" w:lineRule="auto"/>
        <w:jc w:val="center"/>
        <w:rPr>
          <w:rFonts w:ascii="黑体" w:eastAsia="黑体" w:hAnsi="黑体"/>
          <w:b/>
          <w:sz w:val="52"/>
          <w:szCs w:val="22"/>
        </w:rPr>
      </w:pPr>
      <w:bookmarkStart w:id="0" w:name="_Toc183578143"/>
      <w:bookmarkStart w:id="1" w:name="_Toc131134226"/>
      <w:bookmarkStart w:id="2" w:name="_Toc131133981"/>
      <w:bookmarkStart w:id="3" w:name="_Toc114028927"/>
      <w:bookmarkStart w:id="4" w:name="_Toc131168595"/>
      <w:bookmarkStart w:id="5" w:name="_Toc131134327"/>
      <w:bookmarkStart w:id="6" w:name="SectionMark0"/>
      <w:r>
        <w:rPr>
          <w:rFonts w:ascii="黑体" w:eastAsia="黑体" w:hAnsi="黑体" w:hint="eastAsia"/>
          <w:b/>
          <w:sz w:val="52"/>
          <w:szCs w:val="22"/>
        </w:rPr>
        <w:t>南网</w:t>
      </w:r>
      <w:r>
        <w:rPr>
          <w:rFonts w:ascii="黑体" w:eastAsia="黑体" w:hAnsi="黑体" w:hint="eastAsia"/>
          <w:b/>
          <w:sz w:val="52"/>
          <w:szCs w:val="22"/>
        </w:rPr>
        <w:t>数字集团人工智能研究中心商标代理申请</w:t>
      </w:r>
      <w:r>
        <w:rPr>
          <w:rFonts w:ascii="黑体" w:eastAsia="黑体" w:hAnsi="黑体" w:hint="eastAsia"/>
          <w:b/>
          <w:sz w:val="52"/>
          <w:szCs w:val="22"/>
        </w:rPr>
        <w:t>项目</w:t>
      </w:r>
    </w:p>
    <w:p w:rsidR="00B52BC3" w:rsidRDefault="000B7214">
      <w:pPr>
        <w:spacing w:beforeLines="200" w:before="624" w:line="360" w:lineRule="auto"/>
        <w:jc w:val="center"/>
        <w:rPr>
          <w:rFonts w:ascii="黑体" w:eastAsia="黑体" w:hAnsi="黑体"/>
          <w:b/>
          <w:sz w:val="52"/>
          <w:szCs w:val="22"/>
        </w:rPr>
      </w:pPr>
      <w:r>
        <w:rPr>
          <w:rFonts w:ascii="黑体" w:eastAsia="黑体" w:hAnsi="黑体" w:hint="eastAsia"/>
          <w:b/>
          <w:sz w:val="52"/>
          <w:szCs w:val="22"/>
        </w:rPr>
        <w:t>技术规范书</w:t>
      </w:r>
    </w:p>
    <w:p w:rsidR="00B52BC3" w:rsidRDefault="00B52BC3">
      <w:pPr>
        <w:spacing w:beforeLines="200" w:before="624" w:line="360" w:lineRule="auto"/>
        <w:jc w:val="center"/>
        <w:rPr>
          <w:rFonts w:ascii="黑体" w:eastAsia="黑体" w:hAnsi="黑体"/>
          <w:b/>
          <w:sz w:val="36"/>
        </w:rPr>
      </w:pPr>
    </w:p>
    <w:p w:rsidR="00B52BC3" w:rsidRDefault="00B52BC3">
      <w:pPr>
        <w:spacing w:beforeLines="200" w:before="624" w:line="360" w:lineRule="auto"/>
        <w:jc w:val="center"/>
        <w:rPr>
          <w:rFonts w:ascii="黑体" w:eastAsia="黑体" w:hAnsi="黑体"/>
          <w:b/>
          <w:sz w:val="36"/>
        </w:rPr>
      </w:pPr>
    </w:p>
    <w:p w:rsidR="00B52BC3" w:rsidRDefault="00B52BC3">
      <w:pPr>
        <w:pStyle w:val="ab"/>
        <w:rPr>
          <w:rFonts w:ascii="黑体" w:eastAsia="黑体" w:hAnsi="黑体"/>
          <w:b/>
          <w:sz w:val="36"/>
        </w:rPr>
      </w:pPr>
    </w:p>
    <w:p w:rsidR="00B52BC3" w:rsidRDefault="00B52BC3">
      <w:pPr>
        <w:pStyle w:val="ac"/>
      </w:pPr>
    </w:p>
    <w:p w:rsidR="00B52BC3" w:rsidRDefault="000B7214">
      <w:pPr>
        <w:spacing w:beforeLines="200" w:before="624" w:line="360" w:lineRule="auto"/>
        <w:jc w:val="center"/>
        <w:rPr>
          <w:rFonts w:ascii="黑体" w:eastAsia="黑体" w:hAnsi="黑体"/>
          <w:b/>
          <w:sz w:val="36"/>
        </w:rPr>
      </w:pPr>
      <w:r>
        <w:rPr>
          <w:rFonts w:ascii="黑体" w:eastAsia="黑体" w:hAnsi="黑体" w:hint="eastAsia"/>
          <w:b/>
          <w:sz w:val="36"/>
        </w:rPr>
        <w:t>南方电网数字电网集团有限公司</w:t>
      </w:r>
    </w:p>
    <w:p w:rsidR="00B52BC3" w:rsidRDefault="000B7214">
      <w:pPr>
        <w:spacing w:line="360" w:lineRule="auto"/>
        <w:jc w:val="center"/>
        <w:rPr>
          <w:rFonts w:ascii="黑体" w:eastAsia="黑体" w:hAnsi="黑体"/>
          <w:b/>
          <w:sz w:val="36"/>
        </w:rPr>
      </w:pPr>
      <w:r>
        <w:rPr>
          <w:rFonts w:ascii="黑体" w:eastAsia="黑体" w:hAnsi="黑体" w:hint="eastAsia"/>
          <w:b/>
          <w:sz w:val="36"/>
        </w:rPr>
        <w:t>20</w:t>
      </w:r>
      <w:r>
        <w:rPr>
          <w:rFonts w:ascii="黑体" w:eastAsia="黑体" w:hAnsi="黑体" w:hint="eastAsia"/>
          <w:b/>
          <w:sz w:val="36"/>
        </w:rPr>
        <w:t>26</w:t>
      </w:r>
      <w:r>
        <w:rPr>
          <w:rFonts w:ascii="黑体" w:eastAsia="黑体" w:hAnsi="黑体" w:hint="eastAsia"/>
          <w:b/>
          <w:sz w:val="36"/>
        </w:rPr>
        <w:t>年</w:t>
      </w:r>
      <w:r>
        <w:rPr>
          <w:rFonts w:ascii="黑体" w:eastAsia="黑体" w:hAnsi="黑体" w:hint="eastAsia"/>
          <w:b/>
          <w:sz w:val="36"/>
        </w:rPr>
        <w:t>2</w:t>
      </w:r>
      <w:r>
        <w:rPr>
          <w:rFonts w:ascii="黑体" w:eastAsia="黑体" w:hAnsi="黑体" w:hint="eastAsia"/>
          <w:b/>
          <w:sz w:val="36"/>
        </w:rPr>
        <w:t>月</w:t>
      </w:r>
      <w:r>
        <w:rPr>
          <w:rFonts w:ascii="黑体" w:eastAsia="黑体" w:hAnsi="黑体" w:hint="eastAsia"/>
          <w:b/>
          <w:sz w:val="36"/>
        </w:rPr>
        <w:t xml:space="preserve">  </w:t>
      </w:r>
      <w:bookmarkEnd w:id="0"/>
      <w:bookmarkEnd w:id="1"/>
      <w:bookmarkEnd w:id="2"/>
      <w:bookmarkEnd w:id="3"/>
      <w:bookmarkEnd w:id="4"/>
      <w:bookmarkEnd w:id="5"/>
    </w:p>
    <w:bookmarkEnd w:id="6"/>
    <w:p w:rsidR="00B52BC3" w:rsidRDefault="00B52BC3">
      <w:pPr>
        <w:tabs>
          <w:tab w:val="left" w:pos="3570"/>
        </w:tabs>
        <w:spacing w:line="480" w:lineRule="auto"/>
        <w:ind w:firstLineChars="200" w:firstLine="480"/>
        <w:rPr>
          <w:rFonts w:ascii="黑体" w:eastAsia="黑体" w:hAnsi="黑体" w:cs="黑体"/>
          <w:color w:val="000000"/>
          <w:sz w:val="24"/>
        </w:rPr>
        <w:sectPr w:rsidR="00B52BC3"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B52BC3" w:rsidRDefault="000B7214">
      <w:pPr>
        <w:tabs>
          <w:tab w:val="left" w:pos="3570"/>
        </w:tabs>
        <w:spacing w:line="500" w:lineRule="exact"/>
        <w:ind w:firstLineChars="200" w:firstLine="5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color w:val="000000"/>
          <w:sz w:val="28"/>
          <w:szCs w:val="28"/>
        </w:rPr>
        <w:lastRenderedPageBreak/>
        <w:t>一、项目</w:t>
      </w:r>
      <w:r>
        <w:rPr>
          <w:rFonts w:ascii="黑体" w:eastAsia="黑体" w:hAnsi="黑体" w:cs="黑体" w:hint="eastAsia"/>
          <w:sz w:val="28"/>
          <w:szCs w:val="28"/>
        </w:rPr>
        <w:t>概况</w:t>
      </w:r>
    </w:p>
    <w:p w:rsidR="00B52BC3" w:rsidRDefault="000B7214">
      <w:pPr>
        <w:tabs>
          <w:tab w:val="left" w:pos="3570"/>
        </w:tabs>
        <w:spacing w:line="500" w:lineRule="exact"/>
        <w:ind w:firstLineChars="200" w:firstLine="48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南方电网数字电网集团有限公司人工智能研究中心在广州成立，为保护核心技术成果与品牌资产，拟为自主研发的产品申请注册商标。为确保申请工作的专业性、合规性与高效性，现计划通过零星采购方式，选聘一家优质的商标代理机构，提供从查询到申请的全程代理服务。</w:t>
      </w:r>
    </w:p>
    <w:p w:rsidR="00B52BC3" w:rsidRDefault="000B7214">
      <w:pPr>
        <w:tabs>
          <w:tab w:val="left" w:pos="3570"/>
        </w:tabs>
        <w:spacing w:line="500" w:lineRule="exact"/>
        <w:ind w:firstLineChars="200" w:firstLine="48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本项目为零星采购，有效期：合同签订生效之日起至</w:t>
      </w:r>
      <w:r>
        <w:rPr>
          <w:rFonts w:ascii="宋体" w:hAnsi="宋体" w:cs="宋体" w:hint="eastAsia"/>
          <w:color w:val="000000"/>
          <w:sz w:val="24"/>
        </w:rPr>
        <w:t>2026</w:t>
      </w:r>
      <w:r>
        <w:rPr>
          <w:rFonts w:ascii="宋体" w:hAnsi="宋体" w:cs="宋体" w:hint="eastAsia"/>
          <w:color w:val="000000"/>
          <w:sz w:val="24"/>
        </w:rPr>
        <w:t>年</w:t>
      </w:r>
      <w:r>
        <w:rPr>
          <w:rFonts w:ascii="宋体" w:hAnsi="宋体" w:cs="宋体" w:hint="eastAsia"/>
          <w:color w:val="000000"/>
          <w:sz w:val="24"/>
        </w:rPr>
        <w:t>12</w:t>
      </w:r>
      <w:r>
        <w:rPr>
          <w:rFonts w:ascii="宋体" w:hAnsi="宋体" w:cs="宋体" w:hint="eastAsia"/>
          <w:color w:val="000000"/>
          <w:sz w:val="24"/>
        </w:rPr>
        <w:t>月</w:t>
      </w:r>
      <w:r>
        <w:rPr>
          <w:rFonts w:ascii="宋体" w:hAnsi="宋体" w:cs="宋体" w:hint="eastAsia"/>
          <w:color w:val="000000"/>
          <w:sz w:val="24"/>
        </w:rPr>
        <w:t>31</w:t>
      </w:r>
      <w:r>
        <w:rPr>
          <w:rFonts w:ascii="宋体" w:hAnsi="宋体" w:cs="宋体" w:hint="eastAsia"/>
          <w:color w:val="000000"/>
          <w:sz w:val="24"/>
        </w:rPr>
        <w:t>日，</w:t>
      </w:r>
      <w:r>
        <w:rPr>
          <w:rFonts w:ascii="宋体" w:hAnsi="宋体" w:cs="宋体" w:hint="eastAsia"/>
          <w:color w:val="000000"/>
          <w:sz w:val="24"/>
        </w:rPr>
        <w:t>服务费用根据实际委托的申请类别及项目据实结算。</w:t>
      </w:r>
    </w:p>
    <w:p w:rsidR="00B52BC3" w:rsidRDefault="000B7214">
      <w:pPr>
        <w:tabs>
          <w:tab w:val="left" w:pos="3570"/>
        </w:tabs>
        <w:spacing w:line="500" w:lineRule="exact"/>
        <w:ind w:firstLineChars="200" w:firstLine="560"/>
        <w:rPr>
          <w:rFonts w:ascii="黑体" w:eastAsia="黑体" w:hAnsi="黑体" w:cs="黑体"/>
          <w:color w:val="000000"/>
          <w:sz w:val="28"/>
          <w:szCs w:val="28"/>
        </w:rPr>
      </w:pPr>
      <w:r>
        <w:rPr>
          <w:rFonts w:ascii="黑体" w:eastAsia="黑体" w:hAnsi="黑体" w:cs="黑体" w:hint="eastAsia"/>
          <w:color w:val="000000"/>
          <w:sz w:val="28"/>
          <w:szCs w:val="28"/>
        </w:rPr>
        <w:t>二、采购范围</w:t>
      </w:r>
    </w:p>
    <w:p w:rsidR="00B52BC3" w:rsidRDefault="000B7214">
      <w:pPr>
        <w:tabs>
          <w:tab w:val="left" w:pos="3570"/>
        </w:tabs>
        <w:spacing w:line="500" w:lineRule="exact"/>
        <w:ind w:firstLineChars="200" w:firstLine="48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采购内容为自主研发的相关的商标代理申请服务。服务范围应包括但不限于：</w:t>
      </w:r>
    </w:p>
    <w:p w:rsidR="00B52BC3" w:rsidRDefault="000B7214">
      <w:pPr>
        <w:numPr>
          <w:ilvl w:val="0"/>
          <w:numId w:val="2"/>
        </w:numPr>
        <w:tabs>
          <w:tab w:val="left" w:pos="3570"/>
        </w:tabs>
        <w:spacing w:line="500" w:lineRule="exac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商标申请前查询与分析：对拟申请商标进行相同、近似查询，并提供专业的</w:t>
      </w:r>
      <w:r>
        <w:rPr>
          <w:rFonts w:ascii="宋体" w:hAnsi="宋体" w:cs="宋体" w:hint="eastAsia"/>
          <w:color w:val="000000"/>
          <w:sz w:val="24"/>
        </w:rPr>
        <w:t>注册可行性分析及风险初步评估报告。</w:t>
      </w:r>
    </w:p>
    <w:p w:rsidR="00B52BC3" w:rsidRDefault="000B7214">
      <w:pPr>
        <w:numPr>
          <w:ilvl w:val="0"/>
          <w:numId w:val="2"/>
        </w:numPr>
        <w:tabs>
          <w:tab w:val="left" w:pos="3570"/>
        </w:tabs>
        <w:spacing w:line="500" w:lineRule="exac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申请文件准备与提交：根据招标人确定的商标图样、指定商品</w:t>
      </w:r>
      <w:r>
        <w:rPr>
          <w:rFonts w:ascii="宋体" w:hAnsi="宋体" w:cs="宋体" w:hint="eastAsia"/>
          <w:color w:val="000000"/>
          <w:sz w:val="24"/>
        </w:rPr>
        <w:t>/</w:t>
      </w:r>
      <w:r>
        <w:rPr>
          <w:rFonts w:ascii="宋体" w:hAnsi="宋体" w:cs="宋体" w:hint="eastAsia"/>
          <w:color w:val="000000"/>
          <w:sz w:val="24"/>
        </w:rPr>
        <w:t>服务类别，专业、准确地制作并递交所有法定申请文件。</w:t>
      </w:r>
    </w:p>
    <w:p w:rsidR="00B52BC3" w:rsidRDefault="000B7214">
      <w:pPr>
        <w:numPr>
          <w:ilvl w:val="0"/>
          <w:numId w:val="2"/>
        </w:numPr>
        <w:tabs>
          <w:tab w:val="left" w:pos="3570"/>
        </w:tabs>
        <w:spacing w:line="500" w:lineRule="exac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申请全过程跟进与沟通：负责与国家知识产权局商标局等主管部门的联络，跟踪申请流程（包括形式审查、实质审查、公告等阶段），及时向招标人反馈官方文书（如受理通知书、审查意见书等）并解读。</w:t>
      </w:r>
    </w:p>
    <w:p w:rsidR="00B52BC3" w:rsidRDefault="000B7214">
      <w:pPr>
        <w:numPr>
          <w:ilvl w:val="0"/>
          <w:numId w:val="2"/>
        </w:numPr>
        <w:tabs>
          <w:tab w:val="left" w:pos="3570"/>
        </w:tabs>
        <w:spacing w:line="500" w:lineRule="exac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常规审查意见应对：如遇商标局发出的审查意见通知书（非驳回性），负责在法定期限内进行专业分析并协助招标人完成答复。</w:t>
      </w:r>
    </w:p>
    <w:p w:rsidR="00B52BC3" w:rsidRDefault="000B7214">
      <w:pPr>
        <w:numPr>
          <w:ilvl w:val="0"/>
          <w:numId w:val="2"/>
        </w:numPr>
        <w:tabs>
          <w:tab w:val="left" w:pos="3570"/>
        </w:tabs>
        <w:spacing w:line="500" w:lineRule="exact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基础咨询与告知义务：就商标申请过程中的相关问题提供专业咨询，并及时告知招</w:t>
      </w:r>
      <w:r>
        <w:rPr>
          <w:rFonts w:ascii="宋体" w:hAnsi="宋体" w:cs="宋体" w:hint="eastAsia"/>
          <w:color w:val="000000"/>
          <w:sz w:val="24"/>
        </w:rPr>
        <w:t>标人关于商标法律法规的重要变化或可能影响申请的事项。</w:t>
      </w:r>
    </w:p>
    <w:p w:rsidR="00B52BC3" w:rsidRDefault="000B7214">
      <w:pPr>
        <w:numPr>
          <w:ilvl w:val="0"/>
          <w:numId w:val="3"/>
        </w:numPr>
        <w:tabs>
          <w:tab w:val="left" w:pos="3570"/>
        </w:tabs>
        <w:spacing w:line="500" w:lineRule="exact"/>
        <w:ind w:firstLineChars="200" w:firstLine="560"/>
        <w:rPr>
          <w:rFonts w:ascii="黑体" w:eastAsia="黑体" w:hAnsi="黑体" w:cs="黑体"/>
          <w:color w:val="000000"/>
          <w:sz w:val="28"/>
          <w:szCs w:val="28"/>
        </w:rPr>
      </w:pPr>
      <w:r>
        <w:rPr>
          <w:rFonts w:ascii="黑体" w:eastAsia="黑体" w:hAnsi="黑体" w:cs="黑体" w:hint="eastAsia"/>
          <w:color w:val="000000"/>
          <w:sz w:val="28"/>
          <w:szCs w:val="28"/>
        </w:rPr>
        <w:t>技术要求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 xml:space="preserve"> 3.1</w:t>
      </w:r>
      <w:r>
        <w:rPr>
          <w:rFonts w:ascii="宋体" w:hAnsi="宋体" w:cs="宋体" w:hint="eastAsia"/>
          <w:sz w:val="24"/>
        </w:rPr>
        <w:t>代理机构资质与经验：投标人按招标人需求提供相关商标代理服务，</w:t>
      </w:r>
      <w:r>
        <w:rPr>
          <w:rFonts w:hint="eastAsia"/>
          <w:sz w:val="24"/>
        </w:rPr>
        <w:t>打“★”号参数为重要参数，投标人如有任何一条不响应或不满足，按无效投标处理。</w:t>
      </w:r>
      <w:r>
        <w:rPr>
          <w:rFonts w:ascii="宋体" w:hAnsi="宋体" w:hint="eastAsia"/>
          <w:sz w:val="24"/>
        </w:rPr>
        <w:t>具体要求如下：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★投标人须是经国家市场监督管理总局备案的合法商标代理机构，具备独立法人资格。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★投标人核心代理团队需具备丰富的商标申请经验，尤其在人工智能、电力能源、智能硬件或相关高科技领域有成功代理案例（需提供案例证明）。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 xml:space="preserve">3. </w:t>
      </w:r>
      <w:r>
        <w:rPr>
          <w:rFonts w:ascii="宋体" w:hAnsi="宋体" w:hint="eastAsia"/>
          <w:sz w:val="24"/>
        </w:rPr>
        <w:t>投标人应熟悉国内商标申请流程、审查标准及最新法规政策。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</w:t>
      </w:r>
      <w:r>
        <w:rPr>
          <w:rFonts w:ascii="宋体" w:hAnsi="宋体" w:cs="宋体" w:hint="eastAsia"/>
          <w:sz w:val="24"/>
        </w:rPr>
        <w:t xml:space="preserve">3.2.  </w:t>
      </w:r>
      <w:r>
        <w:rPr>
          <w:rFonts w:ascii="宋体" w:hAnsi="宋体" w:cs="宋体" w:hint="eastAsia"/>
          <w:sz w:val="24"/>
        </w:rPr>
        <w:t>服务团队专业性：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★项目须配备固定的项目负责人及对接人员，项目负责人应具有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年以上商标代理经验。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服务团队应能准确理解“边端大模型”、“电力行业”、“便携式智能助手”等技术概念，确保商品</w:t>
      </w:r>
      <w:r>
        <w:rPr>
          <w:rFonts w:ascii="宋体" w:hAnsi="宋体" w:hint="eastAsia"/>
          <w:sz w:val="24"/>
        </w:rPr>
        <w:t>/</w:t>
      </w:r>
      <w:r>
        <w:rPr>
          <w:rFonts w:ascii="宋体" w:hAnsi="宋体" w:hint="eastAsia"/>
          <w:sz w:val="24"/>
        </w:rPr>
        <w:t>服务项目描述的专业性与准确性。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</w:t>
      </w:r>
      <w:r>
        <w:rPr>
          <w:rFonts w:ascii="宋体" w:hAnsi="宋体" w:cs="宋体" w:hint="eastAsia"/>
          <w:sz w:val="24"/>
        </w:rPr>
        <w:t xml:space="preserve">3.3 </w:t>
      </w:r>
      <w:r>
        <w:rPr>
          <w:rFonts w:ascii="宋体" w:hAnsi="宋体" w:cs="宋体" w:hint="eastAsia"/>
          <w:sz w:val="24"/>
        </w:rPr>
        <w:t>服务质量保障体系：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投标人应建立规范化的内部质量控制流程，确保申请文件零差错提交。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★应具备完善的档案管理与保密制度，确保招标人所有信息及文件的安全。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3. </w:t>
      </w:r>
      <w:r>
        <w:rPr>
          <w:rFonts w:ascii="宋体" w:hAnsi="宋体" w:hint="eastAsia"/>
          <w:sz w:val="24"/>
        </w:rPr>
        <w:t>提倡使用安全、高效的信息化系统与招标人进行文件传递与进度同步。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</w:t>
      </w:r>
      <w:r>
        <w:rPr>
          <w:rFonts w:ascii="宋体" w:hAnsi="宋体" w:cs="宋体" w:hint="eastAsia"/>
          <w:sz w:val="24"/>
        </w:rPr>
        <w:t>3.4</w:t>
      </w:r>
      <w:r>
        <w:rPr>
          <w:rFonts w:ascii="宋体" w:hAnsi="宋体" w:cs="宋体" w:hint="eastAsia"/>
          <w:sz w:val="24"/>
        </w:rPr>
        <w:t>风险预警与增值服务能力：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能在查询阶段提供深度的风险分析，而不仅仅是简单的结果罗列。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具备提供初步商标布局建议或后续维护策略咨询的潜力。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3.5</w:t>
      </w:r>
      <w:r>
        <w:rPr>
          <w:rFonts w:ascii="宋体" w:hAnsi="宋体" w:cs="宋体" w:hint="eastAsia"/>
          <w:sz w:val="24"/>
        </w:rPr>
        <w:t>管理要求：投标方就提供整体解决方案，满足招标方的管理需求。</w:t>
      </w:r>
    </w:p>
    <w:p w:rsidR="00B52BC3" w:rsidRDefault="000B7214">
      <w:pPr>
        <w:numPr>
          <w:ilvl w:val="0"/>
          <w:numId w:val="3"/>
        </w:numPr>
        <w:tabs>
          <w:tab w:val="left" w:pos="3570"/>
        </w:tabs>
        <w:spacing w:line="500" w:lineRule="exact"/>
        <w:ind w:firstLineChars="200" w:firstLine="560"/>
        <w:rPr>
          <w:rFonts w:ascii="黑体" w:eastAsia="黑体" w:hAnsi="黑体" w:cs="黑体"/>
          <w:color w:val="000000"/>
          <w:sz w:val="28"/>
          <w:szCs w:val="28"/>
        </w:rPr>
      </w:pPr>
      <w:r>
        <w:rPr>
          <w:rFonts w:ascii="黑体" w:eastAsia="黑体" w:hAnsi="黑体" w:cs="黑体" w:hint="eastAsia"/>
          <w:color w:val="000000"/>
          <w:sz w:val="28"/>
          <w:szCs w:val="28"/>
        </w:rPr>
        <w:t>服务要求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4.1 </w:t>
      </w:r>
      <w:r>
        <w:rPr>
          <w:rFonts w:ascii="宋体" w:hAnsi="宋体" w:cs="宋体" w:hint="eastAsia"/>
          <w:sz w:val="24"/>
        </w:rPr>
        <w:t>服务流程与响应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中标方在接到招标人委托指令及完备资料后，应在</w:t>
      </w:r>
      <w:r>
        <w:rPr>
          <w:rFonts w:ascii="宋体" w:hAnsi="宋体" w:hint="eastAsia"/>
          <w:sz w:val="24"/>
        </w:rPr>
        <w:t xml:space="preserve"> 2</w:t>
      </w:r>
      <w:r>
        <w:rPr>
          <w:rFonts w:ascii="宋体" w:hAnsi="宋体" w:hint="eastAsia"/>
          <w:sz w:val="24"/>
        </w:rPr>
        <w:t>个工作日内完成申请前查询并出具分析报告。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在招标人确认申请方案后，应在</w:t>
      </w:r>
      <w:r>
        <w:rPr>
          <w:rFonts w:ascii="宋体" w:hAnsi="宋体" w:hint="eastAsia"/>
          <w:sz w:val="24"/>
        </w:rPr>
        <w:t xml:space="preserve"> 3</w:t>
      </w:r>
      <w:r>
        <w:rPr>
          <w:rFonts w:ascii="宋体" w:hAnsi="宋体" w:hint="eastAsia"/>
          <w:sz w:val="24"/>
        </w:rPr>
        <w:t>个工作日内完成申请文件的定稿并提交至商标局。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3. </w:t>
      </w:r>
      <w:r>
        <w:rPr>
          <w:rFonts w:ascii="宋体" w:hAnsi="宋体" w:hint="eastAsia"/>
          <w:sz w:val="24"/>
        </w:rPr>
        <w:t>建立专属沟通渠道（如企业微信、钉钉群或指定邮箱），确保沟通顺畅。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</w:t>
      </w:r>
      <w:r>
        <w:rPr>
          <w:rFonts w:ascii="宋体" w:hAnsi="宋体" w:cs="宋体" w:hint="eastAsia"/>
          <w:sz w:val="24"/>
        </w:rPr>
        <w:t xml:space="preserve">4.2 </w:t>
      </w:r>
      <w:r>
        <w:rPr>
          <w:rFonts w:ascii="宋体" w:hAnsi="宋体" w:cs="宋体" w:hint="eastAsia"/>
          <w:sz w:val="24"/>
        </w:rPr>
        <w:t>进度报告与文件传递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★中标方须在商标申请的关键节点（如获得申请号、受理、实质审查、初审公告等</w:t>
      </w:r>
      <w:r>
        <w:rPr>
          <w:rFonts w:ascii="宋体" w:hAnsi="宋体" w:hint="eastAsia"/>
          <w:sz w:val="24"/>
        </w:rPr>
        <w:t>官方文件</w:t>
      </w:r>
      <w:r>
        <w:rPr>
          <w:rFonts w:ascii="宋体" w:hAnsi="宋体" w:hint="eastAsia"/>
          <w:sz w:val="24"/>
        </w:rPr>
        <w:t>）发生后</w:t>
      </w:r>
      <w:r>
        <w:rPr>
          <w:rFonts w:ascii="宋体" w:hAnsi="宋体" w:hint="eastAsia"/>
          <w:sz w:val="24"/>
        </w:rPr>
        <w:t>的</w:t>
      </w:r>
      <w:r>
        <w:rPr>
          <w:rFonts w:ascii="宋体" w:hAnsi="宋体" w:hint="eastAsia"/>
          <w:sz w:val="24"/>
        </w:rPr>
        <w:t>1-2</w:t>
      </w:r>
      <w:r>
        <w:rPr>
          <w:rFonts w:ascii="宋体" w:hAnsi="宋体" w:hint="eastAsia"/>
          <w:sz w:val="24"/>
        </w:rPr>
        <w:t>个工作日</w:t>
      </w:r>
      <w:r>
        <w:rPr>
          <w:rFonts w:ascii="宋体" w:hAnsi="宋体" w:hint="eastAsia"/>
          <w:sz w:val="24"/>
        </w:rPr>
        <w:t>内主动通知招标人，并提供相关官方文件的清晰扫描件或截图。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所有向官方提交的正式文件，在提交前须经招标人书面确认。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4.3 </w:t>
      </w:r>
      <w:r>
        <w:rPr>
          <w:rFonts w:ascii="宋体" w:hAnsi="宋体" w:cs="宋体" w:hint="eastAsia"/>
          <w:sz w:val="24"/>
        </w:rPr>
        <w:t>保密义务：中标方必须对招标人提供的技术资料、商业计划及本项目所有信息承</w:t>
      </w:r>
      <w:r>
        <w:rPr>
          <w:rFonts w:ascii="宋体" w:hAnsi="宋体" w:cs="宋体" w:hint="eastAsia"/>
          <w:sz w:val="24"/>
        </w:rPr>
        <w:lastRenderedPageBreak/>
        <w:t>担严格的保密责任，未经书面许可不得向任何第三方泄露。此义务不因合同终止而失效。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Segoe UI" w:eastAsia="Segoe UI" w:hAnsi="Segoe UI" w:cs="Segoe UI"/>
          <w:color w:val="0F1115"/>
          <w:sz w:val="24"/>
          <w:shd w:val="clear" w:color="auto" w:fill="FFFFFF"/>
        </w:rPr>
        <w:t>★</w:t>
      </w:r>
      <w:r>
        <w:rPr>
          <w:rStyle w:val="af2"/>
          <w:rFonts w:ascii="Segoe UI" w:eastAsia="Segoe UI" w:hAnsi="Segoe UI" w:cs="Segoe UI"/>
          <w:color w:val="0F1115"/>
          <w:sz w:val="24"/>
          <w:shd w:val="clear" w:color="auto" w:fill="FFFFFF"/>
        </w:rPr>
        <w:t xml:space="preserve">4.4 </w:t>
      </w:r>
      <w:r>
        <w:rPr>
          <w:rStyle w:val="af2"/>
          <w:rFonts w:ascii="Segoe UI" w:eastAsia="Segoe UI" w:hAnsi="Segoe UI" w:cs="Segoe UI"/>
          <w:color w:val="0F1115"/>
          <w:sz w:val="24"/>
          <w:shd w:val="clear" w:color="auto" w:fill="FFFFFF"/>
        </w:rPr>
        <w:t>争议处理与责任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中标方</w:t>
      </w:r>
      <w:r>
        <w:rPr>
          <w:rFonts w:ascii="宋体" w:hAnsi="宋体" w:cs="宋体" w:hint="eastAsia"/>
          <w:sz w:val="24"/>
        </w:rPr>
        <w:t>有稳定的售后服务团队，如因中标方工作失误（如文件填写错误、超期答复等）导致商标申请产生额外费用、延误或直接损失，中标方应承担全部责任并负责采取补救措施，赔偿由此给招标人造成的损失。</w:t>
      </w:r>
    </w:p>
    <w:p w:rsidR="00B52BC3" w:rsidRDefault="000B7214">
      <w:pPr>
        <w:numPr>
          <w:ilvl w:val="0"/>
          <w:numId w:val="3"/>
        </w:numPr>
        <w:tabs>
          <w:tab w:val="left" w:pos="3570"/>
        </w:tabs>
        <w:spacing w:line="500" w:lineRule="exact"/>
        <w:ind w:firstLineChars="200" w:firstLine="560"/>
        <w:rPr>
          <w:rFonts w:ascii="黑体" w:eastAsia="黑体" w:hAnsi="黑体" w:cs="黑体"/>
          <w:color w:val="000000"/>
          <w:sz w:val="28"/>
          <w:szCs w:val="28"/>
        </w:rPr>
      </w:pPr>
      <w:r>
        <w:rPr>
          <w:rFonts w:ascii="黑体" w:eastAsia="黑体" w:hAnsi="黑体" w:cs="黑体" w:hint="eastAsia"/>
          <w:color w:val="000000"/>
          <w:sz w:val="28"/>
          <w:szCs w:val="28"/>
        </w:rPr>
        <w:t>报价与验收结算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5.1</w:t>
      </w:r>
      <w:r>
        <w:rPr>
          <w:rFonts w:ascii="宋体" w:hAnsi="宋体" w:cs="宋体" w:hint="eastAsia"/>
          <w:sz w:val="24"/>
        </w:rPr>
        <w:t>报价方式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1. </w:t>
      </w:r>
      <w:r>
        <w:rPr>
          <w:rFonts w:ascii="宋体" w:hAnsi="宋体" w:hint="eastAsia"/>
          <w:sz w:val="24"/>
        </w:rPr>
        <w:t>商标代理服务费：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投标人按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“元</w:t>
      </w:r>
      <w:r>
        <w:rPr>
          <w:rFonts w:ascii="宋体" w:hAnsi="宋体" w:hint="eastAsia"/>
          <w:sz w:val="24"/>
        </w:rPr>
        <w:t>/</w:t>
      </w:r>
      <w:r>
        <w:rPr>
          <w:rFonts w:ascii="宋体" w:hAnsi="宋体" w:hint="eastAsia"/>
          <w:sz w:val="24"/>
        </w:rPr>
        <w:t>商标</w:t>
      </w:r>
      <w:r>
        <w:rPr>
          <w:rFonts w:ascii="宋体" w:hAnsi="宋体" w:hint="eastAsia"/>
          <w:sz w:val="24"/>
        </w:rPr>
        <w:t>/</w:t>
      </w:r>
      <w:r>
        <w:rPr>
          <w:rFonts w:ascii="宋体" w:hAnsi="宋体" w:hint="eastAsia"/>
          <w:sz w:val="24"/>
        </w:rPr>
        <w:t>类别”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进行报价。此单价应为完成本规范书“采购范围”内所有服务的全包费用（不含官费）。</w:t>
      </w:r>
    </w:p>
    <w:p w:rsidR="00B52BC3" w:rsidRDefault="006912C1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</w:t>
      </w:r>
      <w:r w:rsidR="000B7214">
        <w:rPr>
          <w:rFonts w:ascii="宋体" w:hAnsi="宋体" w:hint="eastAsia"/>
          <w:sz w:val="24"/>
        </w:rPr>
        <w:t xml:space="preserve">. </w:t>
      </w:r>
      <w:r w:rsidR="000B7214">
        <w:rPr>
          <w:rFonts w:ascii="宋体" w:hAnsi="宋体" w:hint="eastAsia"/>
          <w:sz w:val="24"/>
        </w:rPr>
        <w:t>报价应包含为期一年的申请流程内基础跟进服务。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5.</w:t>
      </w:r>
      <w:r>
        <w:rPr>
          <w:rFonts w:ascii="宋体" w:hAnsi="宋体" w:cs="宋体"/>
          <w:sz w:val="24"/>
        </w:rPr>
        <w:t xml:space="preserve">2 </w:t>
      </w:r>
      <w:r>
        <w:rPr>
          <w:rFonts w:ascii="宋体" w:hAnsi="宋体" w:cs="宋体"/>
          <w:sz w:val="24"/>
        </w:rPr>
        <w:t>结算与支付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 </w:t>
      </w:r>
      <w:r>
        <w:rPr>
          <w:rFonts w:ascii="宋体" w:hAnsi="宋体"/>
          <w:sz w:val="24"/>
        </w:rPr>
        <w:t>单件商标申请在成功提交至商标局并获得申请号后，中标方向招标人提供付款通知及相应金额的增值税专用发票。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2. </w:t>
      </w:r>
      <w:r>
        <w:rPr>
          <w:rFonts w:ascii="宋体" w:hAnsi="宋体"/>
          <w:sz w:val="24"/>
        </w:rPr>
        <w:t>招标人收到发票后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30</w:t>
      </w:r>
      <w:r>
        <w:rPr>
          <w:rFonts w:ascii="宋体" w:hAnsi="宋体"/>
          <w:sz w:val="24"/>
        </w:rPr>
        <w:t>个工作日内，支付该件商标的全额代理服务费。</w:t>
      </w:r>
    </w:p>
    <w:p w:rsidR="00B52BC3" w:rsidRDefault="000B7214">
      <w:pPr>
        <w:adjustRightInd w:val="0"/>
        <w:spacing w:line="500" w:lineRule="exact"/>
        <w:ind w:firstLine="420"/>
        <w:outlineLvl w:val="1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5.3 </w:t>
      </w:r>
      <w:r>
        <w:rPr>
          <w:rFonts w:ascii="宋体" w:hAnsi="宋体" w:cs="宋体"/>
          <w:sz w:val="24"/>
        </w:rPr>
        <w:t>验收标准</w:t>
      </w:r>
    </w:p>
    <w:p w:rsidR="00B52BC3" w:rsidRDefault="000B7214">
      <w:pPr>
        <w:adjustRightInd w:val="0"/>
        <w:spacing w:line="500" w:lineRule="exact"/>
        <w:ind w:left="420" w:firstLine="420"/>
        <w:outlineLvl w:val="1"/>
        <w:rPr>
          <w:bCs/>
          <w:sz w:val="28"/>
          <w:szCs w:val="28"/>
        </w:rPr>
      </w:pPr>
      <w:r>
        <w:rPr>
          <w:rFonts w:ascii="宋体" w:hAnsi="宋体"/>
          <w:sz w:val="24"/>
        </w:rPr>
        <w:t>以成功获得国家知识产权局商标局下发的《商标注册申请受理通知书》作为单件商标代理服务的主要验收依据。</w:t>
      </w:r>
      <w:bookmarkStart w:id="7" w:name="_GoBack"/>
      <w:bookmarkEnd w:id="7"/>
    </w:p>
    <w:sectPr w:rsidR="00B52BC3">
      <w:footerReference w:type="even" r:id="rId10"/>
      <w:footerReference w:type="default" r:id="rId11"/>
      <w:pgSz w:w="11907" w:h="16840"/>
      <w:pgMar w:top="1701" w:right="1021" w:bottom="1418" w:left="1588" w:header="720" w:footer="992" w:gutter="0"/>
      <w:cols w:space="720"/>
      <w:docGrid w:linePitch="3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214" w:rsidRDefault="000B7214">
      <w:r>
        <w:separator/>
      </w:r>
    </w:p>
  </w:endnote>
  <w:endnote w:type="continuationSeparator" w:id="0">
    <w:p w:rsidR="000B7214" w:rsidRDefault="000B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ˎ̥">
    <w:altName w:val="微软雅黑"/>
    <w:charset w:val="00"/>
    <w:family w:val="roman"/>
    <w:pitch w:val="default"/>
    <w:sig w:usb0="00000000" w:usb1="00000000" w:usb2="00000000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C3" w:rsidRDefault="00B52BC3">
    <w:pPr>
      <w:pStyle w:val="af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C3" w:rsidRDefault="00B52BC3">
    <w:pPr>
      <w:pStyle w:val="af"/>
      <w:framePr w:wrap="around" w:vAnchor="text" w:hAnchor="margin" w:xAlign="outside" w:y="1"/>
      <w:ind w:firstLine="360"/>
      <w:rPr>
        <w:rStyle w:val="af3"/>
      </w:rPr>
    </w:pPr>
  </w:p>
  <w:p w:rsidR="00B52BC3" w:rsidRDefault="00B52BC3">
    <w:pPr>
      <w:pStyle w:val="af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C3" w:rsidRDefault="000B7214">
    <w:pPr>
      <w:pStyle w:val="af"/>
      <w:jc w:val="center"/>
    </w:pP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10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C3" w:rsidRDefault="000B7214">
    <w:pPr>
      <w:pStyle w:val="af"/>
      <w:ind w:firstLine="360"/>
      <w:jc w:val="center"/>
    </w:pP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6912C1">
      <w:rPr>
        <w:noProof/>
        <w:kern w:val="0"/>
        <w:szCs w:val="21"/>
      </w:rPr>
      <w:t>4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214" w:rsidRDefault="000B7214">
      <w:r>
        <w:separator/>
      </w:r>
    </w:p>
  </w:footnote>
  <w:footnote w:type="continuationSeparator" w:id="0">
    <w:p w:rsidR="000B7214" w:rsidRDefault="000B7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C6DE74"/>
    <w:multiLevelType w:val="singleLevel"/>
    <w:tmpl w:val="B9C6DE74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3D2F6D4"/>
    <w:multiLevelType w:val="singleLevel"/>
    <w:tmpl w:val="13D2F6D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6CEA2025"/>
    <w:multiLevelType w:val="multilevel"/>
    <w:tmpl w:val="6CEA2025"/>
    <w:lvl w:ilvl="0">
      <w:start w:val="1"/>
      <w:numFmt w:val="none"/>
      <w:pStyle w:val="a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pStyle w:val="a0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pStyle w:val="a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5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OGZmYTgxNTQyNDU1Nzk0YjVkYTliZmFkNTI2MTIifQ=="/>
  </w:docVars>
  <w:rsids>
    <w:rsidRoot w:val="00D95485"/>
    <w:rsid w:val="AE4BB8B2"/>
    <w:rsid w:val="000004D4"/>
    <w:rsid w:val="0000491B"/>
    <w:rsid w:val="00011B3E"/>
    <w:rsid w:val="00022AA1"/>
    <w:rsid w:val="00027568"/>
    <w:rsid w:val="000277AF"/>
    <w:rsid w:val="000304EE"/>
    <w:rsid w:val="000430AB"/>
    <w:rsid w:val="00053CF8"/>
    <w:rsid w:val="000735EF"/>
    <w:rsid w:val="0007426E"/>
    <w:rsid w:val="00076B9E"/>
    <w:rsid w:val="00082452"/>
    <w:rsid w:val="00093D4F"/>
    <w:rsid w:val="000B3279"/>
    <w:rsid w:val="000B6A96"/>
    <w:rsid w:val="000B7214"/>
    <w:rsid w:val="000C1707"/>
    <w:rsid w:val="000C2285"/>
    <w:rsid w:val="000C3E73"/>
    <w:rsid w:val="000D2B88"/>
    <w:rsid w:val="000D5553"/>
    <w:rsid w:val="000D5876"/>
    <w:rsid w:val="000E1DB9"/>
    <w:rsid w:val="000E2E10"/>
    <w:rsid w:val="000E59CC"/>
    <w:rsid w:val="000F79EB"/>
    <w:rsid w:val="00101DC1"/>
    <w:rsid w:val="001266BD"/>
    <w:rsid w:val="00137317"/>
    <w:rsid w:val="00140695"/>
    <w:rsid w:val="00143C0F"/>
    <w:rsid w:val="001453A8"/>
    <w:rsid w:val="00174110"/>
    <w:rsid w:val="001863BC"/>
    <w:rsid w:val="001945CC"/>
    <w:rsid w:val="001A57F7"/>
    <w:rsid w:val="001B19EA"/>
    <w:rsid w:val="001B47FD"/>
    <w:rsid w:val="001B6928"/>
    <w:rsid w:val="001C1ECE"/>
    <w:rsid w:val="001C3332"/>
    <w:rsid w:val="001D3623"/>
    <w:rsid w:val="001D6B13"/>
    <w:rsid w:val="001E0220"/>
    <w:rsid w:val="001F0793"/>
    <w:rsid w:val="002033C7"/>
    <w:rsid w:val="00204545"/>
    <w:rsid w:val="00207944"/>
    <w:rsid w:val="00211DE3"/>
    <w:rsid w:val="00216CE3"/>
    <w:rsid w:val="00223E06"/>
    <w:rsid w:val="002406F5"/>
    <w:rsid w:val="00241BA1"/>
    <w:rsid w:val="00246C56"/>
    <w:rsid w:val="00260A2F"/>
    <w:rsid w:val="00270012"/>
    <w:rsid w:val="00274E8B"/>
    <w:rsid w:val="00275D45"/>
    <w:rsid w:val="00281994"/>
    <w:rsid w:val="002854DF"/>
    <w:rsid w:val="002879EE"/>
    <w:rsid w:val="00293A25"/>
    <w:rsid w:val="002B39EA"/>
    <w:rsid w:val="002C18B7"/>
    <w:rsid w:val="002C6544"/>
    <w:rsid w:val="002E195B"/>
    <w:rsid w:val="002E4660"/>
    <w:rsid w:val="002F0B1C"/>
    <w:rsid w:val="002F7CF3"/>
    <w:rsid w:val="0030280C"/>
    <w:rsid w:val="003258F8"/>
    <w:rsid w:val="0035364C"/>
    <w:rsid w:val="00355396"/>
    <w:rsid w:val="00373528"/>
    <w:rsid w:val="003779BC"/>
    <w:rsid w:val="00381DAC"/>
    <w:rsid w:val="00386801"/>
    <w:rsid w:val="003B109D"/>
    <w:rsid w:val="003B1E8E"/>
    <w:rsid w:val="003B2150"/>
    <w:rsid w:val="003C023A"/>
    <w:rsid w:val="003C38CB"/>
    <w:rsid w:val="003C6E32"/>
    <w:rsid w:val="003D13C9"/>
    <w:rsid w:val="003F447C"/>
    <w:rsid w:val="00402AAD"/>
    <w:rsid w:val="00416210"/>
    <w:rsid w:val="00433A13"/>
    <w:rsid w:val="0043522F"/>
    <w:rsid w:val="004378E6"/>
    <w:rsid w:val="0045510E"/>
    <w:rsid w:val="00462040"/>
    <w:rsid w:val="00463930"/>
    <w:rsid w:val="00474DEE"/>
    <w:rsid w:val="004A1972"/>
    <w:rsid w:val="004B422B"/>
    <w:rsid w:val="004C1528"/>
    <w:rsid w:val="004C6A26"/>
    <w:rsid w:val="004D03DD"/>
    <w:rsid w:val="004D793C"/>
    <w:rsid w:val="004E6E8D"/>
    <w:rsid w:val="004F0AD6"/>
    <w:rsid w:val="004F357F"/>
    <w:rsid w:val="004F394D"/>
    <w:rsid w:val="00503EC8"/>
    <w:rsid w:val="00504B76"/>
    <w:rsid w:val="00513E72"/>
    <w:rsid w:val="0053214F"/>
    <w:rsid w:val="00543FB5"/>
    <w:rsid w:val="00547C34"/>
    <w:rsid w:val="005522A5"/>
    <w:rsid w:val="00560513"/>
    <w:rsid w:val="0056265D"/>
    <w:rsid w:val="00563D62"/>
    <w:rsid w:val="005742FA"/>
    <w:rsid w:val="00575472"/>
    <w:rsid w:val="00580AFC"/>
    <w:rsid w:val="00586EE8"/>
    <w:rsid w:val="005A03FE"/>
    <w:rsid w:val="005B3BD9"/>
    <w:rsid w:val="005B5DD3"/>
    <w:rsid w:val="005B7F19"/>
    <w:rsid w:val="005C01ED"/>
    <w:rsid w:val="005C0D8D"/>
    <w:rsid w:val="005C163E"/>
    <w:rsid w:val="005C214E"/>
    <w:rsid w:val="005E008A"/>
    <w:rsid w:val="005E76A3"/>
    <w:rsid w:val="005F235F"/>
    <w:rsid w:val="006037F2"/>
    <w:rsid w:val="00605632"/>
    <w:rsid w:val="006256DA"/>
    <w:rsid w:val="006306B5"/>
    <w:rsid w:val="00630C3F"/>
    <w:rsid w:val="00632F96"/>
    <w:rsid w:val="00633991"/>
    <w:rsid w:val="00640634"/>
    <w:rsid w:val="006516B3"/>
    <w:rsid w:val="006606D1"/>
    <w:rsid w:val="006610A6"/>
    <w:rsid w:val="00662A32"/>
    <w:rsid w:val="00667170"/>
    <w:rsid w:val="00681C6C"/>
    <w:rsid w:val="00684605"/>
    <w:rsid w:val="006865D9"/>
    <w:rsid w:val="006912C1"/>
    <w:rsid w:val="006B0707"/>
    <w:rsid w:val="006B09BB"/>
    <w:rsid w:val="006C00EC"/>
    <w:rsid w:val="006C21A1"/>
    <w:rsid w:val="006D1447"/>
    <w:rsid w:val="006E501C"/>
    <w:rsid w:val="006E6CA7"/>
    <w:rsid w:val="006F6D02"/>
    <w:rsid w:val="00714290"/>
    <w:rsid w:val="00720E57"/>
    <w:rsid w:val="00723253"/>
    <w:rsid w:val="00723E2D"/>
    <w:rsid w:val="00726B0D"/>
    <w:rsid w:val="00733C77"/>
    <w:rsid w:val="00734BAE"/>
    <w:rsid w:val="00741658"/>
    <w:rsid w:val="00750C68"/>
    <w:rsid w:val="007606B4"/>
    <w:rsid w:val="00767790"/>
    <w:rsid w:val="007801F1"/>
    <w:rsid w:val="00787235"/>
    <w:rsid w:val="00796E25"/>
    <w:rsid w:val="007A4545"/>
    <w:rsid w:val="007A7896"/>
    <w:rsid w:val="007B38EA"/>
    <w:rsid w:val="007B40D4"/>
    <w:rsid w:val="007C240D"/>
    <w:rsid w:val="007D033E"/>
    <w:rsid w:val="007D6095"/>
    <w:rsid w:val="007F76E8"/>
    <w:rsid w:val="00800B06"/>
    <w:rsid w:val="008010D5"/>
    <w:rsid w:val="00812523"/>
    <w:rsid w:val="00812A3F"/>
    <w:rsid w:val="008168CA"/>
    <w:rsid w:val="00817ED3"/>
    <w:rsid w:val="00830EB8"/>
    <w:rsid w:val="00833191"/>
    <w:rsid w:val="00835F5B"/>
    <w:rsid w:val="008463E2"/>
    <w:rsid w:val="00846A78"/>
    <w:rsid w:val="00847800"/>
    <w:rsid w:val="0085072F"/>
    <w:rsid w:val="0085310B"/>
    <w:rsid w:val="00860086"/>
    <w:rsid w:val="0086797C"/>
    <w:rsid w:val="00876822"/>
    <w:rsid w:val="00877023"/>
    <w:rsid w:val="008B546E"/>
    <w:rsid w:val="008B59C4"/>
    <w:rsid w:val="008C4AFF"/>
    <w:rsid w:val="008C76D6"/>
    <w:rsid w:val="008D182C"/>
    <w:rsid w:val="008D7018"/>
    <w:rsid w:val="008E0719"/>
    <w:rsid w:val="008E1595"/>
    <w:rsid w:val="008E5F07"/>
    <w:rsid w:val="008F085B"/>
    <w:rsid w:val="008F79A2"/>
    <w:rsid w:val="0090785D"/>
    <w:rsid w:val="00911241"/>
    <w:rsid w:val="00912138"/>
    <w:rsid w:val="0091511F"/>
    <w:rsid w:val="009201D7"/>
    <w:rsid w:val="009221A7"/>
    <w:rsid w:val="009301D8"/>
    <w:rsid w:val="00932229"/>
    <w:rsid w:val="00955F32"/>
    <w:rsid w:val="00964B99"/>
    <w:rsid w:val="00972FB3"/>
    <w:rsid w:val="00973A35"/>
    <w:rsid w:val="00983C3E"/>
    <w:rsid w:val="00987F81"/>
    <w:rsid w:val="009A56FC"/>
    <w:rsid w:val="009B5DC7"/>
    <w:rsid w:val="009D508A"/>
    <w:rsid w:val="009D74A1"/>
    <w:rsid w:val="009E0B40"/>
    <w:rsid w:val="009E50B6"/>
    <w:rsid w:val="009F0EF1"/>
    <w:rsid w:val="009F39FA"/>
    <w:rsid w:val="00A00BFD"/>
    <w:rsid w:val="00A17DAC"/>
    <w:rsid w:val="00A30A80"/>
    <w:rsid w:val="00A30E81"/>
    <w:rsid w:val="00A32D86"/>
    <w:rsid w:val="00A3515B"/>
    <w:rsid w:val="00A44784"/>
    <w:rsid w:val="00A6321A"/>
    <w:rsid w:val="00A7120A"/>
    <w:rsid w:val="00A71C0E"/>
    <w:rsid w:val="00A76C00"/>
    <w:rsid w:val="00AC2DEE"/>
    <w:rsid w:val="00AC6B46"/>
    <w:rsid w:val="00AF7800"/>
    <w:rsid w:val="00B52BC3"/>
    <w:rsid w:val="00B63ADB"/>
    <w:rsid w:val="00B63E45"/>
    <w:rsid w:val="00B7291B"/>
    <w:rsid w:val="00B83FBB"/>
    <w:rsid w:val="00B942B2"/>
    <w:rsid w:val="00BA04CC"/>
    <w:rsid w:val="00BA0EF1"/>
    <w:rsid w:val="00BA1B37"/>
    <w:rsid w:val="00BA4147"/>
    <w:rsid w:val="00BA592C"/>
    <w:rsid w:val="00BD715C"/>
    <w:rsid w:val="00BE4FC2"/>
    <w:rsid w:val="00BE5147"/>
    <w:rsid w:val="00BF19FB"/>
    <w:rsid w:val="00BF2125"/>
    <w:rsid w:val="00BF763C"/>
    <w:rsid w:val="00C141B5"/>
    <w:rsid w:val="00C3629A"/>
    <w:rsid w:val="00C42862"/>
    <w:rsid w:val="00C50363"/>
    <w:rsid w:val="00C62414"/>
    <w:rsid w:val="00C73186"/>
    <w:rsid w:val="00C807FF"/>
    <w:rsid w:val="00C87532"/>
    <w:rsid w:val="00CA03D0"/>
    <w:rsid w:val="00CA277D"/>
    <w:rsid w:val="00CA35E1"/>
    <w:rsid w:val="00CB1F03"/>
    <w:rsid w:val="00CB328E"/>
    <w:rsid w:val="00CB5E55"/>
    <w:rsid w:val="00CC30DF"/>
    <w:rsid w:val="00CC75CC"/>
    <w:rsid w:val="00CD6255"/>
    <w:rsid w:val="00CE7239"/>
    <w:rsid w:val="00CF7AB5"/>
    <w:rsid w:val="00D07120"/>
    <w:rsid w:val="00D104B1"/>
    <w:rsid w:val="00D36F7E"/>
    <w:rsid w:val="00D37F98"/>
    <w:rsid w:val="00D408A5"/>
    <w:rsid w:val="00D60680"/>
    <w:rsid w:val="00D648A8"/>
    <w:rsid w:val="00D75489"/>
    <w:rsid w:val="00D802E2"/>
    <w:rsid w:val="00D837DD"/>
    <w:rsid w:val="00D83CD3"/>
    <w:rsid w:val="00D952C9"/>
    <w:rsid w:val="00D95485"/>
    <w:rsid w:val="00DA0BD6"/>
    <w:rsid w:val="00DA3405"/>
    <w:rsid w:val="00DB0DF7"/>
    <w:rsid w:val="00DC528D"/>
    <w:rsid w:val="00DC5646"/>
    <w:rsid w:val="00DC6AE1"/>
    <w:rsid w:val="00DE5CFE"/>
    <w:rsid w:val="00DE7403"/>
    <w:rsid w:val="00E171E0"/>
    <w:rsid w:val="00E423E3"/>
    <w:rsid w:val="00E42A92"/>
    <w:rsid w:val="00E4600E"/>
    <w:rsid w:val="00E56A81"/>
    <w:rsid w:val="00E610C3"/>
    <w:rsid w:val="00E6367C"/>
    <w:rsid w:val="00E63D73"/>
    <w:rsid w:val="00E67196"/>
    <w:rsid w:val="00E72ADE"/>
    <w:rsid w:val="00E7439B"/>
    <w:rsid w:val="00E7485D"/>
    <w:rsid w:val="00E820C4"/>
    <w:rsid w:val="00E937E9"/>
    <w:rsid w:val="00E955F4"/>
    <w:rsid w:val="00EA1018"/>
    <w:rsid w:val="00EA5542"/>
    <w:rsid w:val="00EA74B4"/>
    <w:rsid w:val="00EA78A6"/>
    <w:rsid w:val="00EB60B7"/>
    <w:rsid w:val="00ED3E5A"/>
    <w:rsid w:val="00EE76BD"/>
    <w:rsid w:val="00EF4B81"/>
    <w:rsid w:val="00EF53CF"/>
    <w:rsid w:val="00EF7805"/>
    <w:rsid w:val="00F044FD"/>
    <w:rsid w:val="00F07E85"/>
    <w:rsid w:val="00F100AD"/>
    <w:rsid w:val="00F25F84"/>
    <w:rsid w:val="00F26549"/>
    <w:rsid w:val="00F5149E"/>
    <w:rsid w:val="00F53637"/>
    <w:rsid w:val="00F661F9"/>
    <w:rsid w:val="00F70632"/>
    <w:rsid w:val="00F71BD9"/>
    <w:rsid w:val="00F72BC6"/>
    <w:rsid w:val="00F74D49"/>
    <w:rsid w:val="00F8301A"/>
    <w:rsid w:val="00F97200"/>
    <w:rsid w:val="00FB2B9C"/>
    <w:rsid w:val="00FB5240"/>
    <w:rsid w:val="00FC3642"/>
    <w:rsid w:val="00FD2E01"/>
    <w:rsid w:val="00FE0752"/>
    <w:rsid w:val="00FE7031"/>
    <w:rsid w:val="00FF3529"/>
    <w:rsid w:val="01363832"/>
    <w:rsid w:val="01E729A9"/>
    <w:rsid w:val="025C3005"/>
    <w:rsid w:val="03AE6BCC"/>
    <w:rsid w:val="03D20105"/>
    <w:rsid w:val="03E35AEF"/>
    <w:rsid w:val="04367AF8"/>
    <w:rsid w:val="04757BD3"/>
    <w:rsid w:val="04F81DB4"/>
    <w:rsid w:val="05A766D5"/>
    <w:rsid w:val="05FB4E44"/>
    <w:rsid w:val="064674D8"/>
    <w:rsid w:val="065344DE"/>
    <w:rsid w:val="069B49E3"/>
    <w:rsid w:val="06D17F46"/>
    <w:rsid w:val="074D2288"/>
    <w:rsid w:val="077C68F1"/>
    <w:rsid w:val="07B4604A"/>
    <w:rsid w:val="07DB689A"/>
    <w:rsid w:val="07E01BEF"/>
    <w:rsid w:val="081631DD"/>
    <w:rsid w:val="082F186D"/>
    <w:rsid w:val="08816342"/>
    <w:rsid w:val="08BB5CE2"/>
    <w:rsid w:val="08F161BC"/>
    <w:rsid w:val="096A6283"/>
    <w:rsid w:val="0A0E5705"/>
    <w:rsid w:val="0A915F70"/>
    <w:rsid w:val="0AA25C8D"/>
    <w:rsid w:val="0AA76787"/>
    <w:rsid w:val="0AA93B45"/>
    <w:rsid w:val="0AC460B7"/>
    <w:rsid w:val="0B7174D5"/>
    <w:rsid w:val="0B957346"/>
    <w:rsid w:val="0C0D6BFB"/>
    <w:rsid w:val="0C755A7E"/>
    <w:rsid w:val="0C7F14B5"/>
    <w:rsid w:val="0C910E5A"/>
    <w:rsid w:val="0C9F057A"/>
    <w:rsid w:val="0CED2245"/>
    <w:rsid w:val="0D126480"/>
    <w:rsid w:val="0D213998"/>
    <w:rsid w:val="0D582DA7"/>
    <w:rsid w:val="0D8449CC"/>
    <w:rsid w:val="0F0528B4"/>
    <w:rsid w:val="0F121CCC"/>
    <w:rsid w:val="0F1F7BDB"/>
    <w:rsid w:val="0F2013C8"/>
    <w:rsid w:val="0F732EE8"/>
    <w:rsid w:val="0FF57EB1"/>
    <w:rsid w:val="10491C47"/>
    <w:rsid w:val="11B67C1F"/>
    <w:rsid w:val="127F3D1B"/>
    <w:rsid w:val="12A82A2A"/>
    <w:rsid w:val="12B81741"/>
    <w:rsid w:val="12F64D28"/>
    <w:rsid w:val="1362689D"/>
    <w:rsid w:val="136E12C6"/>
    <w:rsid w:val="13760A7F"/>
    <w:rsid w:val="138E1A23"/>
    <w:rsid w:val="140F32ED"/>
    <w:rsid w:val="14E867DD"/>
    <w:rsid w:val="15651629"/>
    <w:rsid w:val="15C723E0"/>
    <w:rsid w:val="160215A2"/>
    <w:rsid w:val="160A1B5E"/>
    <w:rsid w:val="17D23921"/>
    <w:rsid w:val="17D64F6F"/>
    <w:rsid w:val="17D932AC"/>
    <w:rsid w:val="17E24039"/>
    <w:rsid w:val="17E31439"/>
    <w:rsid w:val="181E26EE"/>
    <w:rsid w:val="18386E60"/>
    <w:rsid w:val="186802BC"/>
    <w:rsid w:val="19091420"/>
    <w:rsid w:val="19110B9F"/>
    <w:rsid w:val="19420680"/>
    <w:rsid w:val="19476D06"/>
    <w:rsid w:val="195804F1"/>
    <w:rsid w:val="19F46A70"/>
    <w:rsid w:val="19FF64B5"/>
    <w:rsid w:val="1AE1692A"/>
    <w:rsid w:val="1AFC6661"/>
    <w:rsid w:val="1AFF3E59"/>
    <w:rsid w:val="1B3077C4"/>
    <w:rsid w:val="1B3E34B0"/>
    <w:rsid w:val="1B7F1479"/>
    <w:rsid w:val="1C3236C2"/>
    <w:rsid w:val="1CA73630"/>
    <w:rsid w:val="1CD656FC"/>
    <w:rsid w:val="1CF06AD2"/>
    <w:rsid w:val="1D027DA6"/>
    <w:rsid w:val="1D07631D"/>
    <w:rsid w:val="1D194148"/>
    <w:rsid w:val="1D8778C5"/>
    <w:rsid w:val="1EE7788B"/>
    <w:rsid w:val="1EFB20BF"/>
    <w:rsid w:val="1F104727"/>
    <w:rsid w:val="1F366CA9"/>
    <w:rsid w:val="1F761CF1"/>
    <w:rsid w:val="20232E47"/>
    <w:rsid w:val="2093163A"/>
    <w:rsid w:val="20D40A6C"/>
    <w:rsid w:val="20EE27C7"/>
    <w:rsid w:val="215757C2"/>
    <w:rsid w:val="21A72B0B"/>
    <w:rsid w:val="21C70E23"/>
    <w:rsid w:val="21D4060F"/>
    <w:rsid w:val="22272052"/>
    <w:rsid w:val="22592616"/>
    <w:rsid w:val="228F562B"/>
    <w:rsid w:val="22D720FB"/>
    <w:rsid w:val="231336BF"/>
    <w:rsid w:val="23224AE3"/>
    <w:rsid w:val="237B1C44"/>
    <w:rsid w:val="239D567C"/>
    <w:rsid w:val="2424063E"/>
    <w:rsid w:val="24AF2F3B"/>
    <w:rsid w:val="24F05029"/>
    <w:rsid w:val="254140F8"/>
    <w:rsid w:val="257E2FED"/>
    <w:rsid w:val="25832019"/>
    <w:rsid w:val="26035EC8"/>
    <w:rsid w:val="266C380A"/>
    <w:rsid w:val="267F48AA"/>
    <w:rsid w:val="26B65CAD"/>
    <w:rsid w:val="27102AA5"/>
    <w:rsid w:val="271937D7"/>
    <w:rsid w:val="27832FFC"/>
    <w:rsid w:val="27B13DFF"/>
    <w:rsid w:val="28184952"/>
    <w:rsid w:val="282D6758"/>
    <w:rsid w:val="285C4CC5"/>
    <w:rsid w:val="2892519F"/>
    <w:rsid w:val="289F4739"/>
    <w:rsid w:val="29AC36EE"/>
    <w:rsid w:val="29D37D2A"/>
    <w:rsid w:val="2A3707C8"/>
    <w:rsid w:val="2B317352"/>
    <w:rsid w:val="2B6C1120"/>
    <w:rsid w:val="2B937FFC"/>
    <w:rsid w:val="2BF80C41"/>
    <w:rsid w:val="2C82063F"/>
    <w:rsid w:val="2D454740"/>
    <w:rsid w:val="2EE6487F"/>
    <w:rsid w:val="2EE76C03"/>
    <w:rsid w:val="2EF00A12"/>
    <w:rsid w:val="2F0902B7"/>
    <w:rsid w:val="2F44472E"/>
    <w:rsid w:val="2FCB3BF8"/>
    <w:rsid w:val="303C5F56"/>
    <w:rsid w:val="309A5723"/>
    <w:rsid w:val="30EF04D7"/>
    <w:rsid w:val="30F532D4"/>
    <w:rsid w:val="30FD3114"/>
    <w:rsid w:val="31627191"/>
    <w:rsid w:val="31AD3D8D"/>
    <w:rsid w:val="31EB2037"/>
    <w:rsid w:val="320B756B"/>
    <w:rsid w:val="324A4F10"/>
    <w:rsid w:val="32623E41"/>
    <w:rsid w:val="32A90AE2"/>
    <w:rsid w:val="33451882"/>
    <w:rsid w:val="34264730"/>
    <w:rsid w:val="344F1418"/>
    <w:rsid w:val="3465300E"/>
    <w:rsid w:val="34763D72"/>
    <w:rsid w:val="34887D3E"/>
    <w:rsid w:val="34C95646"/>
    <w:rsid w:val="35036D30"/>
    <w:rsid w:val="367A3449"/>
    <w:rsid w:val="36A77433"/>
    <w:rsid w:val="36DF1167"/>
    <w:rsid w:val="37460B3B"/>
    <w:rsid w:val="37A421DA"/>
    <w:rsid w:val="37C95891"/>
    <w:rsid w:val="37D512D0"/>
    <w:rsid w:val="37F045E8"/>
    <w:rsid w:val="382249B6"/>
    <w:rsid w:val="383A48CB"/>
    <w:rsid w:val="38C63AEC"/>
    <w:rsid w:val="38FA7CA3"/>
    <w:rsid w:val="39197951"/>
    <w:rsid w:val="3935166B"/>
    <w:rsid w:val="395639F4"/>
    <w:rsid w:val="39C36951"/>
    <w:rsid w:val="3A251832"/>
    <w:rsid w:val="3A395B24"/>
    <w:rsid w:val="3AAF24D8"/>
    <w:rsid w:val="3ACA588F"/>
    <w:rsid w:val="3B9741BB"/>
    <w:rsid w:val="3D57037E"/>
    <w:rsid w:val="3D5D45AD"/>
    <w:rsid w:val="3DC810EA"/>
    <w:rsid w:val="3DFB21D5"/>
    <w:rsid w:val="3E087955"/>
    <w:rsid w:val="3E8A33A6"/>
    <w:rsid w:val="3EFF67B6"/>
    <w:rsid w:val="3F192D08"/>
    <w:rsid w:val="3FC94672"/>
    <w:rsid w:val="3FFB571C"/>
    <w:rsid w:val="40046496"/>
    <w:rsid w:val="405E7E2A"/>
    <w:rsid w:val="40621095"/>
    <w:rsid w:val="407D485B"/>
    <w:rsid w:val="40DA73F3"/>
    <w:rsid w:val="413056AA"/>
    <w:rsid w:val="41971078"/>
    <w:rsid w:val="42864EB0"/>
    <w:rsid w:val="428916B8"/>
    <w:rsid w:val="42CB264A"/>
    <w:rsid w:val="42CE21D8"/>
    <w:rsid w:val="42F46402"/>
    <w:rsid w:val="441477A3"/>
    <w:rsid w:val="44970113"/>
    <w:rsid w:val="452167E6"/>
    <w:rsid w:val="45C70600"/>
    <w:rsid w:val="45E9139E"/>
    <w:rsid w:val="45F84858"/>
    <w:rsid w:val="461B1594"/>
    <w:rsid w:val="46DD5DCF"/>
    <w:rsid w:val="46F53B97"/>
    <w:rsid w:val="47415AF3"/>
    <w:rsid w:val="480E7EAC"/>
    <w:rsid w:val="485B1C35"/>
    <w:rsid w:val="48783354"/>
    <w:rsid w:val="48A22238"/>
    <w:rsid w:val="48D05305"/>
    <w:rsid w:val="49780F96"/>
    <w:rsid w:val="49FD38A0"/>
    <w:rsid w:val="4A551119"/>
    <w:rsid w:val="4B002E05"/>
    <w:rsid w:val="4B0A1B1A"/>
    <w:rsid w:val="4B0B0A4A"/>
    <w:rsid w:val="4B100E76"/>
    <w:rsid w:val="4B282EDB"/>
    <w:rsid w:val="4B627360"/>
    <w:rsid w:val="4BEB0977"/>
    <w:rsid w:val="4C721960"/>
    <w:rsid w:val="4C9170DB"/>
    <w:rsid w:val="4CF878D3"/>
    <w:rsid w:val="4D6E1819"/>
    <w:rsid w:val="4DD31850"/>
    <w:rsid w:val="4E0C0209"/>
    <w:rsid w:val="4EC27AFB"/>
    <w:rsid w:val="4F3E0E12"/>
    <w:rsid w:val="4FA10D2D"/>
    <w:rsid w:val="4FCB3827"/>
    <w:rsid w:val="5034540E"/>
    <w:rsid w:val="50C75416"/>
    <w:rsid w:val="51556865"/>
    <w:rsid w:val="51880741"/>
    <w:rsid w:val="5214246E"/>
    <w:rsid w:val="52383445"/>
    <w:rsid w:val="52460BB4"/>
    <w:rsid w:val="532042F0"/>
    <w:rsid w:val="5376376E"/>
    <w:rsid w:val="539F2640"/>
    <w:rsid w:val="53DB2B84"/>
    <w:rsid w:val="554219EC"/>
    <w:rsid w:val="561C571A"/>
    <w:rsid w:val="5697154C"/>
    <w:rsid w:val="56C854A7"/>
    <w:rsid w:val="576C1709"/>
    <w:rsid w:val="58381A4A"/>
    <w:rsid w:val="58AD704A"/>
    <w:rsid w:val="58D11E1B"/>
    <w:rsid w:val="59366316"/>
    <w:rsid w:val="5A3D10A8"/>
    <w:rsid w:val="5A4E69E7"/>
    <w:rsid w:val="5A7D2A4C"/>
    <w:rsid w:val="5B6A4361"/>
    <w:rsid w:val="5BC47A1C"/>
    <w:rsid w:val="5C7A6246"/>
    <w:rsid w:val="5D0F94B6"/>
    <w:rsid w:val="5DC33D0A"/>
    <w:rsid w:val="5DDA7107"/>
    <w:rsid w:val="5DF179D9"/>
    <w:rsid w:val="5E127261"/>
    <w:rsid w:val="5E486FF4"/>
    <w:rsid w:val="5E8B4796"/>
    <w:rsid w:val="5F4F24EC"/>
    <w:rsid w:val="5FB44A6C"/>
    <w:rsid w:val="5FDC2E34"/>
    <w:rsid w:val="6008225A"/>
    <w:rsid w:val="60211961"/>
    <w:rsid w:val="606C7440"/>
    <w:rsid w:val="6078146D"/>
    <w:rsid w:val="60CA19D8"/>
    <w:rsid w:val="60DF4ABA"/>
    <w:rsid w:val="60FF6717"/>
    <w:rsid w:val="61AC401C"/>
    <w:rsid w:val="62130A76"/>
    <w:rsid w:val="62483D95"/>
    <w:rsid w:val="62724313"/>
    <w:rsid w:val="63BD624B"/>
    <w:rsid w:val="63F158CF"/>
    <w:rsid w:val="640544A8"/>
    <w:rsid w:val="640E399E"/>
    <w:rsid w:val="64321F4E"/>
    <w:rsid w:val="64432EDB"/>
    <w:rsid w:val="644832D6"/>
    <w:rsid w:val="645529D7"/>
    <w:rsid w:val="645F7296"/>
    <w:rsid w:val="64697EE3"/>
    <w:rsid w:val="65033284"/>
    <w:rsid w:val="65113350"/>
    <w:rsid w:val="651C01C7"/>
    <w:rsid w:val="65FD6DE2"/>
    <w:rsid w:val="664839DE"/>
    <w:rsid w:val="66E13593"/>
    <w:rsid w:val="670B14E0"/>
    <w:rsid w:val="678C42CF"/>
    <w:rsid w:val="67B75C50"/>
    <w:rsid w:val="68290671"/>
    <w:rsid w:val="68810207"/>
    <w:rsid w:val="688C563E"/>
    <w:rsid w:val="68D81AEF"/>
    <w:rsid w:val="693B684B"/>
    <w:rsid w:val="696C56EB"/>
    <w:rsid w:val="697451AE"/>
    <w:rsid w:val="69790842"/>
    <w:rsid w:val="6A077F06"/>
    <w:rsid w:val="6A16037D"/>
    <w:rsid w:val="6A38671D"/>
    <w:rsid w:val="6ABC062A"/>
    <w:rsid w:val="6AC91050"/>
    <w:rsid w:val="6B7E2906"/>
    <w:rsid w:val="6BBC5049"/>
    <w:rsid w:val="6C2F1560"/>
    <w:rsid w:val="6C2F29FB"/>
    <w:rsid w:val="6D05506C"/>
    <w:rsid w:val="6D370D3E"/>
    <w:rsid w:val="6D50338F"/>
    <w:rsid w:val="6DAF0686"/>
    <w:rsid w:val="6DB53C75"/>
    <w:rsid w:val="6DDD0AD4"/>
    <w:rsid w:val="6DF3098D"/>
    <w:rsid w:val="6F771D08"/>
    <w:rsid w:val="6F894289"/>
    <w:rsid w:val="6FBF4EF3"/>
    <w:rsid w:val="6FD9207B"/>
    <w:rsid w:val="70282ACE"/>
    <w:rsid w:val="70286C91"/>
    <w:rsid w:val="70500265"/>
    <w:rsid w:val="70547956"/>
    <w:rsid w:val="706A1AFA"/>
    <w:rsid w:val="70902CF3"/>
    <w:rsid w:val="709A5ECC"/>
    <w:rsid w:val="70A67761"/>
    <w:rsid w:val="70ED02E7"/>
    <w:rsid w:val="714814E7"/>
    <w:rsid w:val="71684278"/>
    <w:rsid w:val="71AA5D09"/>
    <w:rsid w:val="71DC6EFB"/>
    <w:rsid w:val="72324521"/>
    <w:rsid w:val="72723FF6"/>
    <w:rsid w:val="728978F6"/>
    <w:rsid w:val="72924AA6"/>
    <w:rsid w:val="733E031E"/>
    <w:rsid w:val="73665F22"/>
    <w:rsid w:val="73ED2EBE"/>
    <w:rsid w:val="74483A47"/>
    <w:rsid w:val="74637FB5"/>
    <w:rsid w:val="749873D1"/>
    <w:rsid w:val="74B2192B"/>
    <w:rsid w:val="75124DA1"/>
    <w:rsid w:val="75A51D92"/>
    <w:rsid w:val="75C03C40"/>
    <w:rsid w:val="76393874"/>
    <w:rsid w:val="76910718"/>
    <w:rsid w:val="77330B57"/>
    <w:rsid w:val="775E4FA2"/>
    <w:rsid w:val="77CC2A1C"/>
    <w:rsid w:val="77D82FAB"/>
    <w:rsid w:val="77F925B5"/>
    <w:rsid w:val="78191B58"/>
    <w:rsid w:val="783436C5"/>
    <w:rsid w:val="792C25D8"/>
    <w:rsid w:val="79B00633"/>
    <w:rsid w:val="7A2F2B07"/>
    <w:rsid w:val="7B883294"/>
    <w:rsid w:val="7D0E6DBB"/>
    <w:rsid w:val="7D1B284D"/>
    <w:rsid w:val="7D3149F1"/>
    <w:rsid w:val="7D6342C7"/>
    <w:rsid w:val="7DBD375A"/>
    <w:rsid w:val="7DC10D1E"/>
    <w:rsid w:val="7E254385"/>
    <w:rsid w:val="7E502C4A"/>
    <w:rsid w:val="7E580057"/>
    <w:rsid w:val="7E5C45A3"/>
    <w:rsid w:val="7EB32957"/>
    <w:rsid w:val="7EB85AF2"/>
    <w:rsid w:val="7EC63350"/>
    <w:rsid w:val="7EC73B8E"/>
    <w:rsid w:val="7ECB1729"/>
    <w:rsid w:val="7F3311E1"/>
    <w:rsid w:val="7F6F30A2"/>
    <w:rsid w:val="7F9C3A63"/>
    <w:rsid w:val="7F9E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annotation text" w:semiHidden="1" w:qFormat="1"/>
    <w:lsdException w:name="header" w:qFormat="1"/>
    <w:lsdException w:name="footer" w:qFormat="1"/>
    <w:lsdException w:name="caption" w:semiHidden="1" w:unhideWhenUsed="1" w:qFormat="1"/>
    <w:lsdException w:name="annotation reference" w:semiHidden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6"/>
    <w:next w:val="a6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6"/>
    <w:next w:val="a6"/>
    <w:qFormat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3">
    <w:name w:val="heading 3"/>
    <w:basedOn w:val="a6"/>
    <w:next w:val="a6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6"/>
    <w:next w:val="a6"/>
    <w:qFormat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6"/>
    <w:next w:val="a6"/>
    <w:qFormat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6"/>
    <w:next w:val="a6"/>
    <w:qFormat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 w:val="24"/>
    </w:rPr>
  </w:style>
  <w:style w:type="paragraph" w:styleId="7">
    <w:name w:val="heading 7"/>
    <w:basedOn w:val="a6"/>
    <w:next w:val="a6"/>
    <w:qFormat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8">
    <w:name w:val="heading 8"/>
    <w:basedOn w:val="a6"/>
    <w:next w:val="a6"/>
    <w:qFormat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eastAsia="黑体" w:hAnsi="Arial"/>
      <w:kern w:val="0"/>
      <w:sz w:val="24"/>
    </w:rPr>
  </w:style>
  <w:style w:type="paragraph" w:styleId="9">
    <w:name w:val="heading 9"/>
    <w:basedOn w:val="a6"/>
    <w:next w:val="a6"/>
    <w:qFormat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annotation text"/>
    <w:basedOn w:val="a6"/>
    <w:link w:val="Char"/>
    <w:semiHidden/>
    <w:qFormat/>
    <w:pPr>
      <w:jc w:val="left"/>
    </w:pPr>
  </w:style>
  <w:style w:type="paragraph" w:styleId="ab">
    <w:name w:val="Body Text"/>
    <w:basedOn w:val="a6"/>
    <w:next w:val="ac"/>
    <w:qFormat/>
    <w:pPr>
      <w:spacing w:after="120"/>
    </w:pPr>
  </w:style>
  <w:style w:type="paragraph" w:styleId="ac">
    <w:name w:val="Title"/>
    <w:basedOn w:val="a6"/>
    <w:next w:val="a6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d">
    <w:name w:val="Plain Text"/>
    <w:basedOn w:val="a6"/>
    <w:qFormat/>
    <w:rPr>
      <w:rFonts w:ascii="宋体" w:hAnsi="Courier New"/>
      <w:szCs w:val="20"/>
    </w:rPr>
  </w:style>
  <w:style w:type="paragraph" w:styleId="ae">
    <w:name w:val="Balloon Text"/>
    <w:basedOn w:val="a6"/>
    <w:semiHidden/>
    <w:qFormat/>
    <w:rPr>
      <w:sz w:val="18"/>
      <w:szCs w:val="18"/>
    </w:rPr>
  </w:style>
  <w:style w:type="paragraph" w:styleId="af">
    <w:name w:val="footer"/>
    <w:basedOn w:val="a6"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0">
    <w:name w:val="header"/>
    <w:basedOn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6"/>
    <w:next w:val="a6"/>
    <w:uiPriority w:val="39"/>
    <w:qFormat/>
  </w:style>
  <w:style w:type="paragraph" w:styleId="af1">
    <w:name w:val="annotation subject"/>
    <w:basedOn w:val="aa"/>
    <w:next w:val="aa"/>
    <w:link w:val="Char0"/>
    <w:qFormat/>
    <w:rPr>
      <w:b/>
      <w:bCs/>
    </w:rPr>
  </w:style>
  <w:style w:type="character" w:styleId="af2">
    <w:name w:val="Strong"/>
    <w:qFormat/>
    <w:rPr>
      <w:b/>
      <w:bCs/>
    </w:rPr>
  </w:style>
  <w:style w:type="character" w:styleId="af3">
    <w:name w:val="page number"/>
    <w:qFormat/>
    <w:rPr>
      <w:rFonts w:ascii="Times New Roman" w:eastAsia="宋体" w:hAnsi="Times New Roman"/>
      <w:sz w:val="18"/>
    </w:rPr>
  </w:style>
  <w:style w:type="character" w:styleId="af4">
    <w:name w:val="Hyperlink"/>
    <w:uiPriority w:val="99"/>
    <w:qFormat/>
    <w:rPr>
      <w:rFonts w:ascii="Arial" w:hAnsi="Arial" w:cs="Arial" w:hint="default"/>
      <w:color w:val="0000AA"/>
      <w:u w:val="single"/>
    </w:rPr>
  </w:style>
  <w:style w:type="character" w:styleId="af5">
    <w:name w:val="annotation reference"/>
    <w:semiHidden/>
    <w:qFormat/>
    <w:rPr>
      <w:sz w:val="21"/>
      <w:szCs w:val="21"/>
    </w:rPr>
  </w:style>
  <w:style w:type="character" w:customStyle="1" w:styleId="Char">
    <w:name w:val="批注文字 Char"/>
    <w:link w:val="aa"/>
    <w:semiHidden/>
    <w:qFormat/>
    <w:rPr>
      <w:kern w:val="2"/>
      <w:sz w:val="21"/>
      <w:szCs w:val="24"/>
    </w:rPr>
  </w:style>
  <w:style w:type="character" w:customStyle="1" w:styleId="Char0">
    <w:name w:val="批注主题 Char"/>
    <w:link w:val="af1"/>
    <w:qFormat/>
    <w:rPr>
      <w:b/>
      <w:bCs/>
      <w:kern w:val="2"/>
      <w:sz w:val="21"/>
      <w:szCs w:val="24"/>
    </w:rPr>
  </w:style>
  <w:style w:type="character" w:customStyle="1" w:styleId="font01">
    <w:name w:val="font01"/>
    <w:qFormat/>
    <w:rPr>
      <w:rFonts w:ascii="微软雅黑" w:eastAsia="微软雅黑" w:hAnsi="微软雅黑" w:cs="微软雅黑" w:hint="eastAsia"/>
      <w:color w:val="FF0000"/>
      <w:sz w:val="18"/>
      <w:szCs w:val="18"/>
      <w:u w:val="none"/>
    </w:rPr>
  </w:style>
  <w:style w:type="character" w:customStyle="1" w:styleId="font31">
    <w:name w:val="font31"/>
    <w:qFormat/>
    <w:rPr>
      <w:rFonts w:ascii="微软雅黑" w:eastAsia="微软雅黑" w:hAnsi="微软雅黑" w:cs="微软雅黑" w:hint="eastAsia"/>
      <w:color w:val="000000"/>
      <w:sz w:val="21"/>
      <w:szCs w:val="21"/>
      <w:u w:val="none"/>
    </w:rPr>
  </w:style>
  <w:style w:type="paragraph" w:customStyle="1" w:styleId="a3">
    <w:name w:val="其他发布部门"/>
    <w:basedOn w:val="a6"/>
    <w:pPr>
      <w:framePr w:w="7433" w:h="585" w:hRule="exact" w:hSpace="180" w:vSpace="180" w:wrap="around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af6">
    <w:name w:val="封面标准名称"/>
    <w:qFormat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7">
    <w:name w:val="表格文字"/>
    <w:basedOn w:val="a6"/>
    <w:qFormat/>
    <w:pPr>
      <w:spacing w:before="25" w:after="25"/>
    </w:pPr>
    <w:rPr>
      <w:bCs/>
      <w:spacing w:val="10"/>
      <w:sz w:val="24"/>
    </w:rPr>
  </w:style>
  <w:style w:type="paragraph" w:customStyle="1" w:styleId="zi">
    <w:name w:val="zi"/>
    <w:basedOn w:val="a6"/>
    <w:qFormat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a0">
    <w:name w:val="章标题"/>
    <w:next w:val="a6"/>
    <w:qFormat/>
    <w:pPr>
      <w:numPr>
        <w:ilvl w:val="1"/>
        <w:numId w:val="1"/>
      </w:numPr>
      <w:tabs>
        <w:tab w:val="left" w:pos="360"/>
      </w:tabs>
      <w:spacing w:beforeLines="50" w:before="50" w:afterLines="50" w:after="50"/>
      <w:jc w:val="both"/>
      <w:outlineLvl w:val="1"/>
    </w:pPr>
    <w:rPr>
      <w:rFonts w:ascii="黑体" w:eastAsia="黑体"/>
      <w:sz w:val="21"/>
    </w:rPr>
  </w:style>
  <w:style w:type="paragraph" w:customStyle="1" w:styleId="af8">
    <w:name w:val="标准书眉_奇数页"/>
    <w:next w:val="a6"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4">
    <w:name w:val="数字编号列项（二级）"/>
    <w:pPr>
      <w:numPr>
        <w:ilvl w:val="5"/>
        <w:numId w:val="1"/>
      </w:numPr>
      <w:ind w:leftChars="400" w:left="1260" w:hangingChars="200" w:hanging="420"/>
      <w:jc w:val="both"/>
    </w:pPr>
    <w:rPr>
      <w:rFonts w:ascii="宋体"/>
      <w:sz w:val="21"/>
    </w:rPr>
  </w:style>
  <w:style w:type="paragraph" w:customStyle="1" w:styleId="a5">
    <w:name w:val="图表脚注"/>
    <w:next w:val="a6"/>
    <w:qFormat/>
    <w:pPr>
      <w:numPr>
        <w:ilvl w:val="6"/>
        <w:numId w:val="1"/>
      </w:num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9">
    <w:name w:val="封面一致性程度标识"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a">
    <w:name w:val="标准书脚_偶数页"/>
    <w:qFormat/>
    <w:pPr>
      <w:spacing w:before="120"/>
    </w:pPr>
    <w:rPr>
      <w:sz w:val="18"/>
    </w:rPr>
  </w:style>
  <w:style w:type="paragraph" w:customStyle="1" w:styleId="afb">
    <w:name w:val="标准书脚_奇数页"/>
    <w:pPr>
      <w:spacing w:before="120"/>
      <w:jc w:val="right"/>
    </w:pPr>
    <w:rPr>
      <w:sz w:val="18"/>
    </w:rPr>
  </w:style>
  <w:style w:type="paragraph" w:customStyle="1" w:styleId="a1">
    <w:name w:val="一级条标题"/>
    <w:basedOn w:val="a0"/>
    <w:next w:val="a6"/>
    <w:qFormat/>
    <w:pPr>
      <w:numPr>
        <w:ilvl w:val="2"/>
      </w:numPr>
      <w:spacing w:beforeLines="0" w:before="0" w:afterLines="0" w:after="0"/>
      <w:outlineLvl w:val="2"/>
    </w:pPr>
  </w:style>
  <w:style w:type="paragraph" w:customStyle="1" w:styleId="afc">
    <w:name w:val="发布日期"/>
    <w:pPr>
      <w:framePr w:w="4000" w:h="473" w:hRule="exact" w:hSpace="180" w:vSpace="180" w:wrap="around" w:hAnchor="margin" w:y="13511" w:anchorLock="1"/>
    </w:pPr>
    <w:rPr>
      <w:rFonts w:eastAsia="黑体"/>
      <w:sz w:val="28"/>
    </w:rPr>
  </w:style>
  <w:style w:type="paragraph" w:customStyle="1" w:styleId="afd">
    <w:name w:val="标准称谓"/>
    <w:next w:val="a6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</w:rPr>
  </w:style>
  <w:style w:type="paragraph" w:customStyle="1" w:styleId="afe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">
    <w:name w:val="前言、引言标题"/>
    <w:next w:val="a6"/>
    <w:qFormat/>
    <w:pPr>
      <w:numPr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2">
    <w:name w:val="二级条标题"/>
    <w:basedOn w:val="a1"/>
    <w:next w:val="a6"/>
    <w:qFormat/>
    <w:pPr>
      <w:numPr>
        <w:ilvl w:val="3"/>
      </w:numPr>
      <w:outlineLvl w:val="3"/>
    </w:pPr>
  </w:style>
  <w:style w:type="paragraph" w:customStyle="1" w:styleId="aff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ff0">
    <w:name w:val="标准书眉一"/>
    <w:qFormat/>
    <w:pPr>
      <w:jc w:val="both"/>
    </w:pPr>
  </w:style>
  <w:style w:type="paragraph" w:customStyle="1" w:styleId="11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1">
    <w:name w:val="实施日期"/>
    <w:basedOn w:val="afc"/>
    <w:pPr>
      <w:framePr w:hSpace="0" w:wrap="around" w:xAlign="right"/>
      <w:jc w:val="right"/>
    </w:pPr>
  </w:style>
  <w:style w:type="paragraph" w:customStyle="1" w:styleId="aff2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3">
    <w:name w:val="封面标准英文名称"/>
    <w:pPr>
      <w:widowControl w:val="0"/>
      <w:spacing w:before="370" w:line="400" w:lineRule="exact"/>
      <w:jc w:val="center"/>
    </w:pPr>
    <w:rPr>
      <w:sz w:val="28"/>
    </w:rPr>
  </w:style>
  <w:style w:type="paragraph" w:customStyle="1" w:styleId="aff4">
    <w:name w:val="文献分类号"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5">
    <w:name w:val="封面正文"/>
    <w:pPr>
      <w:jc w:val="both"/>
    </w:pPr>
  </w:style>
  <w:style w:type="paragraph" w:customStyle="1" w:styleId="aff6">
    <w:name w:val="标准标志"/>
    <w:next w:val="a6"/>
    <w:pPr>
      <w:framePr w:w="2268" w:h="1392" w:hRule="exact" w:wrap="around" w:hAnchor="margin" w:x="6748" w:y="171" w:anchorLock="1"/>
      <w:shd w:val="solid" w:color="FFFFFF" w:fill="FFFFFF"/>
      <w:spacing w:line="0" w:lineRule="atLeast"/>
      <w:jc w:val="right"/>
    </w:pPr>
    <w:rPr>
      <w:b/>
      <w:w w:val="130"/>
      <w:sz w:val="9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annotation text" w:semiHidden="1" w:qFormat="1"/>
    <w:lsdException w:name="header" w:qFormat="1"/>
    <w:lsdException w:name="footer" w:qFormat="1"/>
    <w:lsdException w:name="caption" w:semiHidden="1" w:unhideWhenUsed="1" w:qFormat="1"/>
    <w:lsdException w:name="annotation reference" w:semiHidden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6"/>
    <w:next w:val="a6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6"/>
    <w:next w:val="a6"/>
    <w:qFormat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3">
    <w:name w:val="heading 3"/>
    <w:basedOn w:val="a6"/>
    <w:next w:val="a6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6"/>
    <w:next w:val="a6"/>
    <w:qFormat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6"/>
    <w:next w:val="a6"/>
    <w:qFormat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6"/>
    <w:next w:val="a6"/>
    <w:qFormat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 w:val="24"/>
    </w:rPr>
  </w:style>
  <w:style w:type="paragraph" w:styleId="7">
    <w:name w:val="heading 7"/>
    <w:basedOn w:val="a6"/>
    <w:next w:val="a6"/>
    <w:qFormat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8">
    <w:name w:val="heading 8"/>
    <w:basedOn w:val="a6"/>
    <w:next w:val="a6"/>
    <w:qFormat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eastAsia="黑体" w:hAnsi="Arial"/>
      <w:kern w:val="0"/>
      <w:sz w:val="24"/>
    </w:rPr>
  </w:style>
  <w:style w:type="paragraph" w:styleId="9">
    <w:name w:val="heading 9"/>
    <w:basedOn w:val="a6"/>
    <w:next w:val="a6"/>
    <w:qFormat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annotation text"/>
    <w:basedOn w:val="a6"/>
    <w:link w:val="Char"/>
    <w:semiHidden/>
    <w:qFormat/>
    <w:pPr>
      <w:jc w:val="left"/>
    </w:pPr>
  </w:style>
  <w:style w:type="paragraph" w:styleId="ab">
    <w:name w:val="Body Text"/>
    <w:basedOn w:val="a6"/>
    <w:next w:val="ac"/>
    <w:qFormat/>
    <w:pPr>
      <w:spacing w:after="120"/>
    </w:pPr>
  </w:style>
  <w:style w:type="paragraph" w:styleId="ac">
    <w:name w:val="Title"/>
    <w:basedOn w:val="a6"/>
    <w:next w:val="a6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d">
    <w:name w:val="Plain Text"/>
    <w:basedOn w:val="a6"/>
    <w:qFormat/>
    <w:rPr>
      <w:rFonts w:ascii="宋体" w:hAnsi="Courier New"/>
      <w:szCs w:val="20"/>
    </w:rPr>
  </w:style>
  <w:style w:type="paragraph" w:styleId="ae">
    <w:name w:val="Balloon Text"/>
    <w:basedOn w:val="a6"/>
    <w:semiHidden/>
    <w:qFormat/>
    <w:rPr>
      <w:sz w:val="18"/>
      <w:szCs w:val="18"/>
    </w:rPr>
  </w:style>
  <w:style w:type="paragraph" w:styleId="af">
    <w:name w:val="footer"/>
    <w:basedOn w:val="a6"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0">
    <w:name w:val="header"/>
    <w:basedOn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6"/>
    <w:next w:val="a6"/>
    <w:uiPriority w:val="39"/>
    <w:qFormat/>
  </w:style>
  <w:style w:type="paragraph" w:styleId="af1">
    <w:name w:val="annotation subject"/>
    <w:basedOn w:val="aa"/>
    <w:next w:val="aa"/>
    <w:link w:val="Char0"/>
    <w:qFormat/>
    <w:rPr>
      <w:b/>
      <w:bCs/>
    </w:rPr>
  </w:style>
  <w:style w:type="character" w:styleId="af2">
    <w:name w:val="Strong"/>
    <w:qFormat/>
    <w:rPr>
      <w:b/>
      <w:bCs/>
    </w:rPr>
  </w:style>
  <w:style w:type="character" w:styleId="af3">
    <w:name w:val="page number"/>
    <w:qFormat/>
    <w:rPr>
      <w:rFonts w:ascii="Times New Roman" w:eastAsia="宋体" w:hAnsi="Times New Roman"/>
      <w:sz w:val="18"/>
    </w:rPr>
  </w:style>
  <w:style w:type="character" w:styleId="af4">
    <w:name w:val="Hyperlink"/>
    <w:uiPriority w:val="99"/>
    <w:qFormat/>
    <w:rPr>
      <w:rFonts w:ascii="Arial" w:hAnsi="Arial" w:cs="Arial" w:hint="default"/>
      <w:color w:val="0000AA"/>
      <w:u w:val="single"/>
    </w:rPr>
  </w:style>
  <w:style w:type="character" w:styleId="af5">
    <w:name w:val="annotation reference"/>
    <w:semiHidden/>
    <w:qFormat/>
    <w:rPr>
      <w:sz w:val="21"/>
      <w:szCs w:val="21"/>
    </w:rPr>
  </w:style>
  <w:style w:type="character" w:customStyle="1" w:styleId="Char">
    <w:name w:val="批注文字 Char"/>
    <w:link w:val="aa"/>
    <w:semiHidden/>
    <w:qFormat/>
    <w:rPr>
      <w:kern w:val="2"/>
      <w:sz w:val="21"/>
      <w:szCs w:val="24"/>
    </w:rPr>
  </w:style>
  <w:style w:type="character" w:customStyle="1" w:styleId="Char0">
    <w:name w:val="批注主题 Char"/>
    <w:link w:val="af1"/>
    <w:qFormat/>
    <w:rPr>
      <w:b/>
      <w:bCs/>
      <w:kern w:val="2"/>
      <w:sz w:val="21"/>
      <w:szCs w:val="24"/>
    </w:rPr>
  </w:style>
  <w:style w:type="character" w:customStyle="1" w:styleId="font01">
    <w:name w:val="font01"/>
    <w:qFormat/>
    <w:rPr>
      <w:rFonts w:ascii="微软雅黑" w:eastAsia="微软雅黑" w:hAnsi="微软雅黑" w:cs="微软雅黑" w:hint="eastAsia"/>
      <w:color w:val="FF0000"/>
      <w:sz w:val="18"/>
      <w:szCs w:val="18"/>
      <w:u w:val="none"/>
    </w:rPr>
  </w:style>
  <w:style w:type="character" w:customStyle="1" w:styleId="font31">
    <w:name w:val="font31"/>
    <w:qFormat/>
    <w:rPr>
      <w:rFonts w:ascii="微软雅黑" w:eastAsia="微软雅黑" w:hAnsi="微软雅黑" w:cs="微软雅黑" w:hint="eastAsia"/>
      <w:color w:val="000000"/>
      <w:sz w:val="21"/>
      <w:szCs w:val="21"/>
      <w:u w:val="none"/>
    </w:rPr>
  </w:style>
  <w:style w:type="paragraph" w:customStyle="1" w:styleId="a3">
    <w:name w:val="其他发布部门"/>
    <w:basedOn w:val="a6"/>
    <w:pPr>
      <w:framePr w:w="7433" w:h="585" w:hRule="exact" w:hSpace="180" w:vSpace="180" w:wrap="around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af6">
    <w:name w:val="封面标准名称"/>
    <w:qFormat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7">
    <w:name w:val="表格文字"/>
    <w:basedOn w:val="a6"/>
    <w:qFormat/>
    <w:pPr>
      <w:spacing w:before="25" w:after="25"/>
    </w:pPr>
    <w:rPr>
      <w:bCs/>
      <w:spacing w:val="10"/>
      <w:sz w:val="24"/>
    </w:rPr>
  </w:style>
  <w:style w:type="paragraph" w:customStyle="1" w:styleId="zi">
    <w:name w:val="zi"/>
    <w:basedOn w:val="a6"/>
    <w:qFormat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a0">
    <w:name w:val="章标题"/>
    <w:next w:val="a6"/>
    <w:qFormat/>
    <w:pPr>
      <w:numPr>
        <w:ilvl w:val="1"/>
        <w:numId w:val="1"/>
      </w:numPr>
      <w:tabs>
        <w:tab w:val="left" w:pos="360"/>
      </w:tabs>
      <w:spacing w:beforeLines="50" w:before="50" w:afterLines="50" w:after="50"/>
      <w:jc w:val="both"/>
      <w:outlineLvl w:val="1"/>
    </w:pPr>
    <w:rPr>
      <w:rFonts w:ascii="黑体" w:eastAsia="黑体"/>
      <w:sz w:val="21"/>
    </w:rPr>
  </w:style>
  <w:style w:type="paragraph" w:customStyle="1" w:styleId="af8">
    <w:name w:val="标准书眉_奇数页"/>
    <w:next w:val="a6"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4">
    <w:name w:val="数字编号列项（二级）"/>
    <w:pPr>
      <w:numPr>
        <w:ilvl w:val="5"/>
        <w:numId w:val="1"/>
      </w:numPr>
      <w:ind w:leftChars="400" w:left="1260" w:hangingChars="200" w:hanging="420"/>
      <w:jc w:val="both"/>
    </w:pPr>
    <w:rPr>
      <w:rFonts w:ascii="宋体"/>
      <w:sz w:val="21"/>
    </w:rPr>
  </w:style>
  <w:style w:type="paragraph" w:customStyle="1" w:styleId="a5">
    <w:name w:val="图表脚注"/>
    <w:next w:val="a6"/>
    <w:qFormat/>
    <w:pPr>
      <w:numPr>
        <w:ilvl w:val="6"/>
        <w:numId w:val="1"/>
      </w:num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9">
    <w:name w:val="封面一致性程度标识"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a">
    <w:name w:val="标准书脚_偶数页"/>
    <w:qFormat/>
    <w:pPr>
      <w:spacing w:before="120"/>
    </w:pPr>
    <w:rPr>
      <w:sz w:val="18"/>
    </w:rPr>
  </w:style>
  <w:style w:type="paragraph" w:customStyle="1" w:styleId="afb">
    <w:name w:val="标准书脚_奇数页"/>
    <w:pPr>
      <w:spacing w:before="120"/>
      <w:jc w:val="right"/>
    </w:pPr>
    <w:rPr>
      <w:sz w:val="18"/>
    </w:rPr>
  </w:style>
  <w:style w:type="paragraph" w:customStyle="1" w:styleId="a1">
    <w:name w:val="一级条标题"/>
    <w:basedOn w:val="a0"/>
    <w:next w:val="a6"/>
    <w:qFormat/>
    <w:pPr>
      <w:numPr>
        <w:ilvl w:val="2"/>
      </w:numPr>
      <w:spacing w:beforeLines="0" w:before="0" w:afterLines="0" w:after="0"/>
      <w:outlineLvl w:val="2"/>
    </w:pPr>
  </w:style>
  <w:style w:type="paragraph" w:customStyle="1" w:styleId="afc">
    <w:name w:val="发布日期"/>
    <w:pPr>
      <w:framePr w:w="4000" w:h="473" w:hRule="exact" w:hSpace="180" w:vSpace="180" w:wrap="around" w:hAnchor="margin" w:y="13511" w:anchorLock="1"/>
    </w:pPr>
    <w:rPr>
      <w:rFonts w:eastAsia="黑体"/>
      <w:sz w:val="28"/>
    </w:rPr>
  </w:style>
  <w:style w:type="paragraph" w:customStyle="1" w:styleId="afd">
    <w:name w:val="标准称谓"/>
    <w:next w:val="a6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</w:rPr>
  </w:style>
  <w:style w:type="paragraph" w:customStyle="1" w:styleId="afe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">
    <w:name w:val="前言、引言标题"/>
    <w:next w:val="a6"/>
    <w:qFormat/>
    <w:pPr>
      <w:numPr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2">
    <w:name w:val="二级条标题"/>
    <w:basedOn w:val="a1"/>
    <w:next w:val="a6"/>
    <w:qFormat/>
    <w:pPr>
      <w:numPr>
        <w:ilvl w:val="3"/>
      </w:numPr>
      <w:outlineLvl w:val="3"/>
    </w:pPr>
  </w:style>
  <w:style w:type="paragraph" w:customStyle="1" w:styleId="aff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ff0">
    <w:name w:val="标准书眉一"/>
    <w:qFormat/>
    <w:pPr>
      <w:jc w:val="both"/>
    </w:pPr>
  </w:style>
  <w:style w:type="paragraph" w:customStyle="1" w:styleId="11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1">
    <w:name w:val="实施日期"/>
    <w:basedOn w:val="afc"/>
    <w:pPr>
      <w:framePr w:hSpace="0" w:wrap="around" w:xAlign="right"/>
      <w:jc w:val="right"/>
    </w:pPr>
  </w:style>
  <w:style w:type="paragraph" w:customStyle="1" w:styleId="aff2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3">
    <w:name w:val="封面标准英文名称"/>
    <w:pPr>
      <w:widowControl w:val="0"/>
      <w:spacing w:before="370" w:line="400" w:lineRule="exact"/>
      <w:jc w:val="center"/>
    </w:pPr>
    <w:rPr>
      <w:sz w:val="28"/>
    </w:rPr>
  </w:style>
  <w:style w:type="paragraph" w:customStyle="1" w:styleId="aff4">
    <w:name w:val="文献分类号"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5">
    <w:name w:val="封面正文"/>
    <w:pPr>
      <w:jc w:val="both"/>
    </w:pPr>
  </w:style>
  <w:style w:type="paragraph" w:customStyle="1" w:styleId="aff6">
    <w:name w:val="标准标志"/>
    <w:next w:val="a6"/>
    <w:pPr>
      <w:framePr w:w="2268" w:h="1392" w:hRule="exact" w:wrap="around" w:hAnchor="margin" w:x="6748" w:y="171" w:anchorLock="1"/>
      <w:shd w:val="solid" w:color="FFFFFF" w:fill="FFFFFF"/>
      <w:spacing w:line="0" w:lineRule="atLeast"/>
      <w:jc w:val="right"/>
    </w:pPr>
    <w:rPr>
      <w:b/>
      <w:w w:val="130"/>
      <w:sz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285</Words>
  <Characters>1631</Characters>
  <Application>Microsoft Office Word</Application>
  <DocSecurity>0</DocSecurity>
  <Lines>13</Lines>
  <Paragraphs>3</Paragraphs>
  <ScaleCrop>false</ScaleCrop>
  <Company>szpsb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二次系统安全防护</dc:title>
  <dc:creator>李曼</dc:creator>
  <cp:lastModifiedBy>liang</cp:lastModifiedBy>
  <cp:revision>5</cp:revision>
  <cp:lastPrinted>2020-07-31T10:54:00Z</cp:lastPrinted>
  <dcterms:created xsi:type="dcterms:W3CDTF">2022-04-01T11:20:00Z</dcterms:created>
  <dcterms:modified xsi:type="dcterms:W3CDTF">2026-02-25T02:26:00Z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C9CC46D79FBC49C0961167EA8A71A74F_13</vt:lpwstr>
  </property>
  <property fmtid="{D5CDD505-2E9C-101B-9397-08002B2CF9AE}" pid="4" name="WondersoftTag">
    <vt:lpwstr>B908F679-35DC-444E-A6EF-D8051CA3743F#2#86579A68-73BD4F29-828628F3-FC6E5362##0</vt:lpwstr>
  </property>
  <property fmtid="{D5CDD505-2E9C-101B-9397-08002B2CF9AE}" pid="5" name="KSOTemplateDocerSaveRecord">
    <vt:lpwstr>eyJoZGlkIjoiMjM0OWJjNGI5ZmU4NGFlYTYxM2YyYmY0ZGJiMTczZDIiLCJ1c2VySWQiOiI0NTg3ODQ5NDkifQ==</vt:lpwstr>
  </property>
</Properties>
</file>