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23F40">
      <w:pPr>
        <w:pStyle w:val="6"/>
        <w:ind w:left="0" w:leftChars="0" w:firstLine="0" w:firstLineChars="0"/>
        <w:rPr>
          <w:rFonts w:hint="eastAsia"/>
          <w:highlight w:val="none"/>
          <w:lang w:val="en-US" w:eastAsia="zh-CN"/>
        </w:rPr>
      </w:pPr>
    </w:p>
    <w:p w14:paraId="73F6B392">
      <w:pPr>
        <w:pStyle w:val="6"/>
        <w:ind w:left="0" w:leftChars="0" w:firstLine="0" w:firstLineChars="0"/>
        <w:rPr>
          <w:rFonts w:hint="eastAsia"/>
          <w:highlight w:val="none"/>
          <w:lang w:val="en-US" w:eastAsia="zh-CN"/>
        </w:rPr>
      </w:pPr>
    </w:p>
    <w:p w14:paraId="5F7501E1">
      <w:pPr>
        <w:spacing w:before="156"/>
        <w:jc w:val="center"/>
        <w:rPr>
          <w:rFonts w:hint="eastAsia" w:ascii="黑体" w:hAnsi="黑体" w:eastAsia="黑体" w:cs="宋体"/>
          <w:b/>
          <w:color w:val="auto"/>
          <w:sz w:val="40"/>
          <w:szCs w:val="48"/>
          <w:highlight w:val="none"/>
          <w:u w:val="none"/>
          <w:lang w:val="zh-CN" w:eastAsia="zh-CN"/>
        </w:rPr>
      </w:pPr>
      <w:r>
        <w:rPr>
          <w:rFonts w:hint="eastAsia" w:ascii="黑体" w:hAnsi="黑体" w:eastAsia="黑体" w:cs="宋体"/>
          <w:b/>
          <w:color w:val="000000"/>
          <w:sz w:val="40"/>
          <w:szCs w:val="48"/>
          <w:highlight w:val="none"/>
          <w:u w:val="none"/>
          <w:lang w:val="en-US" w:eastAsia="zh-CN"/>
        </w:rPr>
        <w:t>2026年云南电力建设监理咨询有限责任公司光纤租赁服务采购项目</w:t>
      </w:r>
    </w:p>
    <w:p w14:paraId="5C2F747E">
      <w:pPr>
        <w:spacing w:before="100" w:beforeAutospacing="1" w:after="100" w:afterAutospacing="1"/>
        <w:jc w:val="center"/>
        <w:rPr>
          <w:rFonts w:ascii="仿宋_GB2312" w:hAnsi="仿宋" w:eastAsia="仿宋_GB2312"/>
          <w:b/>
          <w:sz w:val="44"/>
          <w:szCs w:val="72"/>
          <w:highlight w:val="none"/>
        </w:rPr>
      </w:pPr>
      <w:r>
        <w:rPr>
          <w:rFonts w:hint="eastAsia" w:ascii="仿宋_GB2312" w:hAnsi="仿宋" w:eastAsia="仿宋_GB2312"/>
          <w:b/>
          <w:sz w:val="44"/>
          <w:szCs w:val="72"/>
          <w:highlight w:val="none"/>
          <w:lang w:eastAsia="zh-CN"/>
        </w:rPr>
        <w:t>（</w:t>
      </w:r>
      <w:r>
        <w:rPr>
          <w:rFonts w:hint="eastAsia" w:ascii="仿宋_GB2312" w:hAnsi="仿宋" w:eastAsia="仿宋_GB2312"/>
          <w:b/>
          <w:sz w:val="44"/>
          <w:szCs w:val="72"/>
          <w:highlight w:val="none"/>
          <w:lang w:val="en-US" w:eastAsia="zh-CN"/>
        </w:rPr>
        <w:t>服务类</w:t>
      </w:r>
      <w:r>
        <w:rPr>
          <w:rFonts w:hint="eastAsia" w:ascii="仿宋_GB2312" w:hAnsi="仿宋" w:eastAsia="仿宋_GB2312"/>
          <w:b/>
          <w:sz w:val="44"/>
          <w:szCs w:val="72"/>
          <w:highlight w:val="none"/>
          <w:lang w:eastAsia="zh-CN"/>
        </w:rPr>
        <w:t>）</w:t>
      </w:r>
    </w:p>
    <w:p w14:paraId="1B8B6F95">
      <w:pPr>
        <w:jc w:val="center"/>
        <w:rPr>
          <w:rFonts w:ascii="仿宋_GB2312" w:hAnsi="仿宋" w:eastAsia="仿宋_GB2312"/>
          <w:b/>
          <w:color w:val="000000"/>
          <w:sz w:val="44"/>
          <w:highlight w:val="none"/>
        </w:rPr>
      </w:pPr>
    </w:p>
    <w:p w14:paraId="43E1E17E">
      <w:pPr>
        <w:jc w:val="center"/>
        <w:rPr>
          <w:rFonts w:hint="eastAsia" w:ascii="仿宋_GB2312" w:hAnsi="仿宋" w:eastAsia="仿宋_GB2312"/>
          <w:b/>
          <w:color w:val="000000"/>
          <w:sz w:val="44"/>
          <w:highlight w:val="none"/>
        </w:rPr>
      </w:pPr>
      <w:r>
        <w:rPr>
          <w:rFonts w:hint="eastAsia" w:ascii="仿宋_GB2312" w:hAnsi="仿宋" w:eastAsia="仿宋_GB2312"/>
          <w:b/>
          <w:color w:val="000000"/>
          <w:sz w:val="44"/>
          <w:highlight w:val="none"/>
        </w:rPr>
        <w:t>技术规范书</w:t>
      </w:r>
    </w:p>
    <w:p w14:paraId="6CDA204B"/>
    <w:p w14:paraId="60223F1D">
      <w:pPr>
        <w:pStyle w:val="3"/>
      </w:pPr>
    </w:p>
    <w:p w14:paraId="53E22D73">
      <w:pPr>
        <w:pStyle w:val="4"/>
      </w:pPr>
    </w:p>
    <w:p w14:paraId="48789B92"/>
    <w:p w14:paraId="59021504">
      <w:pPr>
        <w:pStyle w:val="3"/>
      </w:pPr>
    </w:p>
    <w:p w14:paraId="7033DE6B">
      <w:pPr>
        <w:pStyle w:val="4"/>
      </w:pPr>
    </w:p>
    <w:p w14:paraId="71C58410">
      <w:pPr>
        <w:jc w:val="center"/>
        <w:rPr>
          <w:rFonts w:ascii="黑体" w:eastAsia="黑体"/>
          <w:b/>
          <w:color w:val="000000"/>
          <w:sz w:val="52"/>
          <w:highlight w:val="none"/>
        </w:rPr>
      </w:pPr>
    </w:p>
    <w:p w14:paraId="39781330">
      <w:pPr>
        <w:jc w:val="center"/>
        <w:rPr>
          <w:rFonts w:hint="eastAsia" w:ascii="仿宋_GB2312" w:hAnsi="仿宋_GB2312" w:eastAsia="仿宋_GB2312" w:cs="仿宋_GB2312"/>
          <w:color w:val="000000"/>
          <w:sz w:val="28"/>
          <w:highlight w:val="none"/>
          <w:lang w:val="en-US" w:eastAsia="zh-CN"/>
        </w:rPr>
      </w:pPr>
      <w:r>
        <w:rPr>
          <w:rFonts w:hint="eastAsia" w:ascii="仿宋_GB2312" w:hAnsi="仿宋_GB2312" w:eastAsia="仿宋_GB2312" w:cs="仿宋_GB2312"/>
          <w:color w:val="000000"/>
          <w:sz w:val="28"/>
          <w:highlight w:val="none"/>
          <w:lang w:val="en-US" w:eastAsia="zh-CN"/>
        </w:rPr>
        <w:t>云南电力建设监理咨询有限责任公司</w:t>
      </w:r>
    </w:p>
    <w:p w14:paraId="448EE177">
      <w:pPr>
        <w:jc w:val="center"/>
        <w:rPr>
          <w:rFonts w:ascii="仿宋_GB2312" w:hAnsi="仿宋" w:eastAsia="仿宋_GB2312"/>
          <w:color w:val="000000"/>
          <w:sz w:val="28"/>
          <w:highlight w:val="none"/>
        </w:rPr>
      </w:pPr>
      <w:r>
        <w:rPr>
          <w:rFonts w:hint="eastAsia" w:ascii="仿宋_GB2312" w:hAnsi="仿宋_GB2312" w:eastAsia="仿宋_GB2312" w:cs="仿宋_GB2312"/>
          <w:color w:val="000000"/>
          <w:sz w:val="28"/>
          <w:highlight w:val="none"/>
          <w:lang w:val="en-US" w:eastAsia="zh-CN"/>
        </w:rPr>
        <w:t>2026</w:t>
      </w:r>
      <w:r>
        <w:rPr>
          <w:rFonts w:hint="eastAsia" w:ascii="仿宋_GB2312" w:hAnsi="仿宋_GB2312" w:eastAsia="仿宋_GB2312" w:cs="仿宋_GB2312"/>
          <w:color w:val="000000"/>
          <w:sz w:val="28"/>
          <w:highlight w:val="none"/>
        </w:rPr>
        <w:t>年</w:t>
      </w:r>
      <w:r>
        <w:rPr>
          <w:rFonts w:hint="eastAsia" w:ascii="仿宋_GB2312" w:hAnsi="仿宋_GB2312" w:eastAsia="仿宋_GB2312" w:cs="仿宋_GB2312"/>
          <w:color w:val="000000"/>
          <w:sz w:val="28"/>
          <w:highlight w:val="none"/>
          <w:lang w:val="en-US" w:eastAsia="zh-CN"/>
        </w:rPr>
        <w:t>3</w:t>
      </w:r>
      <w:r>
        <w:rPr>
          <w:rFonts w:hint="eastAsia" w:ascii="仿宋_GB2312" w:hAnsi="仿宋_GB2312" w:eastAsia="仿宋_GB2312" w:cs="仿宋_GB2312"/>
          <w:color w:val="000000"/>
          <w:sz w:val="28"/>
          <w:highlight w:val="none"/>
        </w:rPr>
        <w:t>月</w:t>
      </w:r>
    </w:p>
    <w:p w14:paraId="58724CAA">
      <w:r>
        <w:br w:type="page"/>
      </w:r>
    </w:p>
    <w:p w14:paraId="7B35C7E7">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kern w:val="0"/>
          <w:sz w:val="28"/>
          <w:szCs w:val="28"/>
          <w:highlight w:val="none"/>
        </w:rPr>
      </w:pPr>
      <w:bookmarkStart w:id="0" w:name="_Toc15546"/>
      <w:bookmarkStart w:id="1" w:name="_Toc29354801"/>
      <w:bookmarkStart w:id="2" w:name="_Toc29354406"/>
      <w:bookmarkStart w:id="3" w:name="_Toc115252921"/>
      <w:bookmarkStart w:id="4" w:name="_Toc115253160"/>
      <w:bookmarkStart w:id="5" w:name="_Toc29354672"/>
      <w:bookmarkStart w:id="6" w:name="_Toc29353883"/>
      <w:r>
        <w:rPr>
          <w:rFonts w:hint="eastAsia" w:ascii="新宋体" w:hAnsi="新宋体" w:eastAsia="新宋体" w:cs="新宋体"/>
          <w:b/>
          <w:caps/>
          <w:kern w:val="0"/>
          <w:sz w:val="28"/>
          <w:szCs w:val="28"/>
          <w:highlight w:val="none"/>
        </w:rPr>
        <w:t>1总则</w:t>
      </w:r>
      <w:bookmarkEnd w:id="0"/>
    </w:p>
    <w:p w14:paraId="1E588EB4">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7" w:name="_Toc29294"/>
      <w:r>
        <w:rPr>
          <w:rFonts w:hint="eastAsia" w:ascii="新宋体" w:hAnsi="新宋体" w:eastAsia="新宋体" w:cs="新宋体"/>
          <w:b/>
          <w:caps/>
          <w:kern w:val="0"/>
          <w:sz w:val="28"/>
          <w:szCs w:val="28"/>
          <w:highlight w:val="none"/>
        </w:rPr>
        <w:t>1.1概述</w:t>
      </w:r>
      <w:bookmarkEnd w:id="7"/>
      <w:r>
        <w:rPr>
          <w:rFonts w:hint="eastAsia" w:ascii="新宋体" w:hAnsi="新宋体" w:eastAsia="新宋体" w:cs="新宋体"/>
          <w:b/>
          <w:caps/>
          <w:kern w:val="0"/>
          <w:sz w:val="28"/>
          <w:szCs w:val="28"/>
          <w:highlight w:val="none"/>
        </w:rPr>
        <w:tab/>
      </w:r>
    </w:p>
    <w:p w14:paraId="34A5EDB6">
      <w:pPr>
        <w:keepNext w:val="0"/>
        <w:keepLines w:val="0"/>
        <w:pageBreakBefore w:val="0"/>
        <w:widowControl w:val="0"/>
        <w:kinsoku/>
        <w:wordWrap/>
        <w:overflowPunct/>
        <w:topLinePunct w:val="0"/>
        <w:autoSpaceDE/>
        <w:autoSpaceDN/>
        <w:bidi w:val="0"/>
        <w:adjustRightInd/>
        <w:snapToGrid/>
        <w:spacing w:before="156" w:line="360" w:lineRule="auto"/>
        <w:ind w:firstLine="560" w:firstLineChars="200"/>
        <w:jc w:val="left"/>
        <w:textAlignment w:val="auto"/>
        <w:rPr>
          <w:rFonts w:hint="eastAsia" w:ascii="新宋体" w:hAnsi="新宋体" w:eastAsia="新宋体" w:cs="新宋体"/>
          <w:caps/>
          <w:kern w:val="0"/>
          <w:sz w:val="28"/>
          <w:szCs w:val="28"/>
          <w:highlight w:val="none"/>
        </w:rPr>
      </w:pPr>
      <w:r>
        <w:rPr>
          <w:rFonts w:hint="eastAsia" w:ascii="新宋体" w:hAnsi="新宋体" w:eastAsia="新宋体" w:cs="新宋体"/>
          <w:caps/>
          <w:kern w:val="0"/>
          <w:sz w:val="28"/>
          <w:szCs w:val="28"/>
          <w:highlight w:val="none"/>
        </w:rPr>
        <w:t>本技术规范书为</w:t>
      </w:r>
      <w:r>
        <w:rPr>
          <w:rFonts w:hint="eastAsia" w:ascii="新宋体" w:hAnsi="新宋体" w:eastAsia="新宋体" w:cs="新宋体"/>
          <w:caps/>
          <w:kern w:val="0"/>
          <w:sz w:val="28"/>
          <w:szCs w:val="28"/>
          <w:highlight w:val="none"/>
          <w:lang w:eastAsia="zh-CN"/>
        </w:rPr>
        <w:t>采购</w:t>
      </w:r>
      <w:r>
        <w:rPr>
          <w:rFonts w:hint="eastAsia" w:ascii="新宋体" w:hAnsi="新宋体" w:eastAsia="新宋体" w:cs="新宋体"/>
          <w:caps/>
          <w:kern w:val="0"/>
          <w:sz w:val="28"/>
          <w:szCs w:val="28"/>
          <w:highlight w:val="none"/>
          <w:lang w:val="en-US" w:eastAsia="zh-CN"/>
        </w:rPr>
        <w:t>方对“2026年云南电力建设监理咨询有限责任公司光纤租赁服务采购项目”的报价方提出的技术规范书，本规范书将作为响应文件技术部分评议的</w:t>
      </w:r>
      <w:r>
        <w:rPr>
          <w:rFonts w:hint="eastAsia" w:ascii="新宋体" w:hAnsi="新宋体" w:eastAsia="新宋体" w:cs="新宋体"/>
          <w:caps/>
          <w:kern w:val="0"/>
          <w:sz w:val="28"/>
          <w:szCs w:val="28"/>
          <w:highlight w:val="none"/>
        </w:rPr>
        <w:t>基础。</w:t>
      </w:r>
      <w:bookmarkEnd w:id="1"/>
      <w:bookmarkEnd w:id="2"/>
      <w:bookmarkEnd w:id="3"/>
      <w:bookmarkEnd w:id="4"/>
      <w:bookmarkEnd w:id="5"/>
      <w:bookmarkEnd w:id="6"/>
    </w:p>
    <w:p w14:paraId="3A1494CB">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rPr>
      </w:pPr>
      <w:bookmarkStart w:id="8" w:name="_Toc214288827"/>
      <w:bookmarkStart w:id="9" w:name="_Toc381022433"/>
      <w:bookmarkStart w:id="10" w:name="_Toc1034"/>
      <w:r>
        <w:rPr>
          <w:rFonts w:hint="eastAsia" w:ascii="新宋体" w:hAnsi="新宋体" w:eastAsia="新宋体" w:cs="新宋体"/>
          <w:caps/>
          <w:kern w:val="0"/>
          <w:sz w:val="28"/>
          <w:szCs w:val="28"/>
          <w:highlight w:val="none"/>
          <w:lang w:val="en-US" w:eastAsia="zh-CN"/>
        </w:rPr>
        <w:t>1.1.1报价方在其响应文件中，要求对本文件中所提各项要求能否实现与满足，逐项诚实地予以答复、说明和解释，首先对实现或</w:t>
      </w:r>
      <w:r>
        <w:rPr>
          <w:rFonts w:hint="eastAsia" w:ascii="新宋体" w:hAnsi="新宋体" w:eastAsia="新宋体" w:cs="新宋体"/>
          <w:caps/>
          <w:kern w:val="0"/>
          <w:sz w:val="28"/>
          <w:szCs w:val="28"/>
          <w:highlight w:val="none"/>
        </w:rPr>
        <w:t>满足程度明确做出“满足”、“不满足”、“部分满足”等应答，然后做出具体、详细的说明。对本次技术规范书中答满足项视为对该需求全部无条件满足。</w:t>
      </w:r>
    </w:p>
    <w:p w14:paraId="1249E0C3">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rPr>
      </w:pPr>
      <w:r>
        <w:rPr>
          <w:rFonts w:hint="eastAsia" w:ascii="新宋体" w:hAnsi="新宋体" w:eastAsia="新宋体" w:cs="新宋体"/>
          <w:caps/>
          <w:kern w:val="0"/>
          <w:sz w:val="28"/>
          <w:szCs w:val="28"/>
          <w:highlight w:val="none"/>
        </w:rPr>
        <w:t>1.1.</w:t>
      </w:r>
      <w:r>
        <w:rPr>
          <w:rFonts w:hint="eastAsia" w:ascii="新宋体" w:hAnsi="新宋体" w:eastAsia="新宋体" w:cs="新宋体"/>
          <w:caps/>
          <w:kern w:val="0"/>
          <w:sz w:val="28"/>
          <w:szCs w:val="28"/>
          <w:highlight w:val="none"/>
          <w:lang w:val="en-US" w:eastAsia="zh-CN"/>
        </w:rPr>
        <w:t>2</w:t>
      </w:r>
      <w:r>
        <w:rPr>
          <w:rFonts w:hint="eastAsia" w:ascii="新宋体" w:hAnsi="新宋体" w:eastAsia="新宋体" w:cs="新宋体"/>
          <w:caps/>
          <w:kern w:val="0"/>
          <w:sz w:val="28"/>
          <w:szCs w:val="28"/>
          <w:highlight w:val="none"/>
          <w:lang w:eastAsia="zh-CN"/>
        </w:rPr>
        <w:t>报价</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aps/>
          <w:kern w:val="0"/>
          <w:sz w:val="28"/>
          <w:szCs w:val="28"/>
          <w:highlight w:val="none"/>
        </w:rPr>
        <w:t>可根据自己的产品技术性能具体情况，在技术方案中提出建议，并附详细资料和说明。</w:t>
      </w:r>
      <w:r>
        <w:rPr>
          <w:rFonts w:hint="eastAsia" w:ascii="新宋体" w:hAnsi="新宋体" w:eastAsia="新宋体" w:cs="新宋体"/>
          <w:caps/>
          <w:kern w:val="0"/>
          <w:sz w:val="28"/>
          <w:szCs w:val="28"/>
          <w:highlight w:val="none"/>
          <w:lang w:eastAsia="zh-CN"/>
        </w:rPr>
        <w:t>报价</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aps/>
          <w:kern w:val="0"/>
          <w:sz w:val="28"/>
          <w:szCs w:val="28"/>
          <w:highlight w:val="none"/>
        </w:rPr>
        <w:t>应在技术规范点对点应答中把“不满足”和“部分满足”项作单独列举清单。</w:t>
      </w:r>
    </w:p>
    <w:p w14:paraId="76728FEB">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r>
        <w:rPr>
          <w:rFonts w:hint="eastAsia" w:ascii="新宋体" w:hAnsi="新宋体" w:eastAsia="新宋体" w:cs="新宋体"/>
          <w:b/>
          <w:caps/>
          <w:kern w:val="0"/>
          <w:sz w:val="28"/>
          <w:szCs w:val="28"/>
          <w:highlight w:val="none"/>
        </w:rPr>
        <w:t>1.2</w:t>
      </w:r>
      <w:r>
        <w:rPr>
          <w:rFonts w:hint="eastAsia" w:ascii="新宋体" w:hAnsi="新宋体" w:eastAsia="新宋体" w:cs="新宋体"/>
          <w:b/>
          <w:caps/>
          <w:kern w:val="0"/>
          <w:sz w:val="28"/>
          <w:szCs w:val="28"/>
          <w:highlight w:val="none"/>
          <w:lang w:eastAsia="zh-CN"/>
        </w:rPr>
        <w:t>响应文件</w:t>
      </w:r>
      <w:r>
        <w:rPr>
          <w:rFonts w:hint="eastAsia" w:ascii="新宋体" w:hAnsi="新宋体" w:eastAsia="新宋体" w:cs="新宋体"/>
          <w:b/>
          <w:caps/>
          <w:kern w:val="0"/>
          <w:sz w:val="28"/>
          <w:szCs w:val="28"/>
          <w:highlight w:val="none"/>
        </w:rPr>
        <w:t>技术部分要求</w:t>
      </w:r>
      <w:bookmarkEnd w:id="8"/>
      <w:bookmarkEnd w:id="9"/>
      <w:bookmarkEnd w:id="10"/>
    </w:p>
    <w:p w14:paraId="58300D61">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rPr>
      </w:pPr>
      <w:r>
        <w:rPr>
          <w:rFonts w:hint="eastAsia" w:ascii="新宋体" w:hAnsi="新宋体" w:eastAsia="新宋体" w:cs="新宋体"/>
          <w:caps/>
          <w:sz w:val="28"/>
          <w:szCs w:val="28"/>
          <w:highlight w:val="none"/>
          <w:lang w:eastAsia="zh-CN"/>
        </w:rPr>
        <w:t>报价</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aps/>
          <w:sz w:val="28"/>
          <w:szCs w:val="28"/>
          <w:highlight w:val="none"/>
        </w:rPr>
        <w:t>提交的</w:t>
      </w:r>
      <w:r>
        <w:rPr>
          <w:rFonts w:hint="eastAsia" w:ascii="新宋体" w:hAnsi="新宋体" w:eastAsia="新宋体" w:cs="新宋体"/>
          <w:caps/>
          <w:kern w:val="0"/>
          <w:sz w:val="28"/>
          <w:szCs w:val="28"/>
          <w:highlight w:val="none"/>
          <w:lang w:eastAsia="zh-CN"/>
        </w:rPr>
        <w:t>响应文件</w:t>
      </w:r>
      <w:r>
        <w:rPr>
          <w:rFonts w:hint="eastAsia" w:ascii="新宋体" w:hAnsi="新宋体" w:eastAsia="新宋体" w:cs="新宋体"/>
          <w:caps/>
          <w:kern w:val="0"/>
          <w:sz w:val="28"/>
          <w:szCs w:val="28"/>
          <w:highlight w:val="none"/>
        </w:rPr>
        <w:t xml:space="preserve">技术部分必须包括（但不限于）以下内容（技术服务要求点对点应答）。 </w:t>
      </w:r>
    </w:p>
    <w:p w14:paraId="1A787D49">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kern w:val="0"/>
          <w:sz w:val="28"/>
          <w:szCs w:val="28"/>
          <w:highlight w:val="none"/>
        </w:rPr>
      </w:pPr>
      <w:bookmarkStart w:id="11" w:name="_Toc18619"/>
      <w:r>
        <w:rPr>
          <w:rFonts w:hint="eastAsia" w:ascii="新宋体" w:hAnsi="新宋体" w:eastAsia="新宋体" w:cs="新宋体"/>
          <w:b/>
          <w:caps/>
          <w:kern w:val="0"/>
          <w:sz w:val="28"/>
          <w:szCs w:val="28"/>
          <w:highlight w:val="none"/>
        </w:rPr>
        <w:t>2 项目概况</w:t>
      </w:r>
      <w:bookmarkEnd w:id="11"/>
    </w:p>
    <w:p w14:paraId="3B97C8B3">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12" w:name="_Toc6406"/>
      <w:r>
        <w:rPr>
          <w:rFonts w:hint="eastAsia" w:ascii="新宋体" w:hAnsi="新宋体" w:eastAsia="新宋体" w:cs="新宋体"/>
          <w:b/>
          <w:caps/>
          <w:kern w:val="0"/>
          <w:sz w:val="28"/>
          <w:szCs w:val="28"/>
          <w:highlight w:val="none"/>
        </w:rPr>
        <w:t>2.1项目背景</w:t>
      </w:r>
      <w:bookmarkEnd w:id="12"/>
    </w:p>
    <w:p w14:paraId="2826EAC8">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rPr>
      </w:pPr>
      <w:r>
        <w:rPr>
          <w:rFonts w:hint="eastAsia" w:ascii="新宋体" w:hAnsi="新宋体" w:eastAsia="新宋体" w:cs="新宋体"/>
          <w:caps/>
          <w:kern w:val="0"/>
          <w:sz w:val="28"/>
          <w:szCs w:val="28"/>
          <w:highlight w:val="none"/>
          <w:lang w:val="en-US" w:eastAsia="zh-CN"/>
        </w:rPr>
        <w:t>为规范2026年云南电力建设监理咨询有限责任公司光纤租赁服务采购项目的采购工作，保证项目如期完成，按照《云南电力建设监理咨询有限责任公司采购业务管理实施细则》等相关规定，制订本技术规范书。</w:t>
      </w:r>
    </w:p>
    <w:p w14:paraId="45F66690">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lang w:val="en-US" w:eastAsia="zh-CN"/>
        </w:rPr>
      </w:pPr>
      <w:bookmarkStart w:id="13" w:name="_Toc27707"/>
      <w:r>
        <w:rPr>
          <w:rFonts w:hint="eastAsia" w:ascii="新宋体" w:hAnsi="新宋体" w:eastAsia="新宋体" w:cs="新宋体"/>
          <w:b/>
          <w:caps/>
          <w:kern w:val="0"/>
          <w:sz w:val="28"/>
          <w:szCs w:val="28"/>
          <w:highlight w:val="none"/>
          <w:lang w:val="en-US" w:eastAsia="zh-CN"/>
        </w:rPr>
        <w:t>2.2 项目目标</w:t>
      </w:r>
      <w:bookmarkEnd w:id="13"/>
    </w:p>
    <w:p w14:paraId="4FD02E2A">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完成2026年云南电力建设监理咨询有限责任公司一对纤芯接入及一年的线路租赁服务。</w:t>
      </w:r>
    </w:p>
    <w:p w14:paraId="58949B1B">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14" w:name="_Toc2251"/>
      <w:r>
        <w:rPr>
          <w:rFonts w:hint="eastAsia" w:ascii="新宋体" w:hAnsi="新宋体" w:eastAsia="新宋体" w:cs="新宋体"/>
          <w:b/>
          <w:caps/>
          <w:kern w:val="0"/>
          <w:sz w:val="28"/>
          <w:szCs w:val="28"/>
          <w:highlight w:val="none"/>
        </w:rPr>
        <w:t>2.3 外委工作内容</w:t>
      </w:r>
      <w:bookmarkEnd w:id="14"/>
    </w:p>
    <w:p w14:paraId="6D2783B2">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自租赁纤芯正常投用并经过验收之日起</w:t>
      </w:r>
      <w:r>
        <w:rPr>
          <w:rFonts w:hint="eastAsia" w:ascii="新宋体" w:hAnsi="新宋体" w:eastAsia="新宋体" w:cs="新宋体"/>
          <w:b/>
          <w:bCs/>
          <w:caps/>
          <w:kern w:val="0"/>
          <w:sz w:val="28"/>
          <w:szCs w:val="28"/>
          <w:highlight w:val="none"/>
          <w:lang w:val="en-US" w:eastAsia="zh-CN"/>
        </w:rPr>
        <w:t>，</w:t>
      </w:r>
      <w:r>
        <w:rPr>
          <w:rFonts w:hint="eastAsia" w:ascii="新宋体" w:hAnsi="新宋体" w:eastAsia="新宋体" w:cs="新宋体"/>
          <w:caps/>
          <w:kern w:val="0"/>
          <w:sz w:val="28"/>
          <w:szCs w:val="28"/>
          <w:highlight w:val="none"/>
          <w:lang w:val="en-US" w:eastAsia="zh-CN"/>
        </w:rPr>
        <w:t>云南电力建设监理咨询有限责任公司一对纤芯接入及一年的线路租赁服务。光纤从云南电力建设监理咨询有限责任公司昆明五华区丽江路65号1号楼507设备间机柜至云南电网公司昆明市官渡区拓东路73号电力大楼四楼信息机房（避开现用的光纤路由），预估10.55公里。</w:t>
      </w:r>
    </w:p>
    <w:p w14:paraId="5E2DC220">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kern w:val="0"/>
          <w:sz w:val="28"/>
          <w:szCs w:val="28"/>
          <w:highlight w:val="none"/>
        </w:rPr>
      </w:pPr>
      <w:bookmarkStart w:id="15" w:name="_Toc31584"/>
      <w:r>
        <w:rPr>
          <w:rFonts w:hint="eastAsia" w:ascii="新宋体" w:hAnsi="新宋体" w:eastAsia="新宋体" w:cs="新宋体"/>
          <w:b/>
          <w:caps/>
          <w:kern w:val="0"/>
          <w:sz w:val="28"/>
          <w:szCs w:val="28"/>
          <w:highlight w:val="none"/>
        </w:rPr>
        <w:t>3要求</w:t>
      </w:r>
      <w:bookmarkEnd w:id="15"/>
    </w:p>
    <w:p w14:paraId="35A2B04B">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16" w:name="_Toc10415"/>
      <w:r>
        <w:rPr>
          <w:rFonts w:hint="eastAsia" w:ascii="新宋体" w:hAnsi="新宋体" w:eastAsia="新宋体" w:cs="新宋体"/>
          <w:b/>
          <w:caps/>
          <w:kern w:val="0"/>
          <w:sz w:val="28"/>
          <w:szCs w:val="28"/>
          <w:highlight w:val="none"/>
        </w:rPr>
        <w:t>3.1技术方案及指标</w:t>
      </w:r>
      <w:bookmarkEnd w:id="16"/>
    </w:p>
    <w:p w14:paraId="69D7979E">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3.1.1、报价方租用的纤芯资源应为裸光纤接入，使用不劣于ITU-T、IEC建议、我国国家标准（GB）、通信行业标准（YD、YD/T）等规范的 G.652D单模光纤。</w:t>
      </w:r>
    </w:p>
    <w:p w14:paraId="282C483A">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3.1.2、光纤衰减系数满足电网安全性、可靠性需求。</w:t>
      </w:r>
    </w:p>
    <w:p w14:paraId="155B6148">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(1) 在1310nm波长上的平均衰减系数不超过0.35dB/km；最大衰减系数为：0.36dB／km。</w:t>
      </w:r>
    </w:p>
    <w:p w14:paraId="0EDAAFFF">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在1550nm波长上的平均衰减系数不超过0.21dB/km；最大衰减值不大于0.22dB／km。</w:t>
      </w:r>
    </w:p>
    <w:p w14:paraId="31FEC00B">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在1310～1625nm波长范围内的最大衰减值为：0.35dB／km。</w:t>
      </w:r>
    </w:p>
    <w:p w14:paraId="223318F4">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(2) 光纤衰减曲线应有良好的线性并且无明显台阶。用OTDR检测光纤时，在1310nm和1550nm处500ｍ光纤的衰减值应不大于( mean +0.10dB)/2, mean 是光纤的平均衰减系数。</w:t>
      </w:r>
    </w:p>
    <w:p w14:paraId="45061CC1">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3.1.3、色散</w:t>
      </w:r>
    </w:p>
    <w:p w14:paraId="4CD3E0EC">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(1) 零色散波长范围为1302～1322nm。</w:t>
      </w:r>
    </w:p>
    <w:p w14:paraId="016C9752">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(2) 最大零色散点斜率不大于0.092ps／（nm2 ·km）。</w:t>
      </w:r>
    </w:p>
    <w:p w14:paraId="30656DE5">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 1288～1399nm范围内色散系数不大于3.5ps／nm·km。</w:t>
      </w:r>
    </w:p>
    <w:p w14:paraId="68F25A5E">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 1550nm波长色散系数不大于18ps／nm·km。</w:t>
      </w:r>
    </w:p>
    <w:p w14:paraId="334F4CB6">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3.1.4、 偏振模色散</w:t>
      </w:r>
    </w:p>
    <w:p w14:paraId="746DB88F">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在1550nm波长光缆单盘偏振模色散系数：≤0.20ps／√km；光缆链路（光缆数M为20、Q为0.01%）偏振模色散系数：≤0.15ps／√km。</w:t>
      </w:r>
    </w:p>
    <w:p w14:paraId="65B63E7E">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3.1.5、光纤接头损耗</w:t>
      </w:r>
    </w:p>
    <w:p w14:paraId="4E6B0A41">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 xml:space="preserve">    所供光缆中的任意两根光纤在工厂条件下1310nm和1550nm波长的熔接损耗应满足：</w:t>
      </w:r>
    </w:p>
    <w:p w14:paraId="3DE769A4">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ab/>
      </w:r>
      <w:r>
        <w:rPr>
          <w:rFonts w:hint="eastAsia" w:ascii="新宋体" w:hAnsi="新宋体" w:eastAsia="新宋体" w:cs="新宋体"/>
          <w:caps/>
          <w:kern w:val="0"/>
          <w:sz w:val="28"/>
          <w:szCs w:val="28"/>
          <w:highlight w:val="none"/>
          <w:lang w:val="en-US" w:eastAsia="zh-CN"/>
        </w:rPr>
        <w:t>双向平均值≤0.05dB。</w:t>
      </w:r>
    </w:p>
    <w:p w14:paraId="0CC29DB3">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kern w:val="0"/>
          <w:sz w:val="28"/>
          <w:szCs w:val="28"/>
          <w:highlight w:val="none"/>
        </w:rPr>
      </w:pPr>
      <w:bookmarkStart w:id="17" w:name="_Toc1036"/>
      <w:r>
        <w:rPr>
          <w:rFonts w:hint="eastAsia" w:ascii="新宋体" w:hAnsi="新宋体" w:eastAsia="新宋体" w:cs="新宋体"/>
          <w:b/>
          <w:caps/>
          <w:kern w:val="0"/>
          <w:sz w:val="28"/>
          <w:szCs w:val="28"/>
          <w:highlight w:val="none"/>
        </w:rPr>
        <w:t>4 项目实施保证</w:t>
      </w:r>
      <w:bookmarkEnd w:id="17"/>
    </w:p>
    <w:p w14:paraId="6125D6DE">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kern w:val="0"/>
          <w:sz w:val="28"/>
          <w:szCs w:val="28"/>
          <w:highlight w:val="none"/>
        </w:rPr>
      </w:pPr>
      <w:bookmarkStart w:id="18" w:name="_Toc31050"/>
      <w:r>
        <w:rPr>
          <w:rFonts w:hint="eastAsia" w:ascii="新宋体" w:hAnsi="新宋体" w:eastAsia="新宋体" w:cs="新宋体"/>
          <w:b/>
          <w:caps/>
          <w:kern w:val="0"/>
          <w:sz w:val="28"/>
          <w:szCs w:val="28"/>
          <w:highlight w:val="none"/>
        </w:rPr>
        <w:t>4.1组织保证</w:t>
      </w:r>
      <w:bookmarkEnd w:id="18"/>
    </w:p>
    <w:p w14:paraId="2EACD7E5">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bookmarkStart w:id="19" w:name="_Toc30539"/>
      <w:r>
        <w:rPr>
          <w:rFonts w:hint="eastAsia" w:ascii="新宋体" w:hAnsi="新宋体" w:eastAsia="新宋体" w:cs="新宋体"/>
          <w:caps/>
          <w:kern w:val="0"/>
          <w:sz w:val="28"/>
          <w:szCs w:val="28"/>
          <w:highlight w:val="none"/>
          <w:lang w:val="en-US" w:eastAsia="zh-CN"/>
        </w:rPr>
        <w:t>4.1.1、拟任项目负责人：拟任项目负责人应具备通信类专业工程师或以上职称，并至少承担过相关项目；</w:t>
      </w:r>
    </w:p>
    <w:p w14:paraId="75E40A0C">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4.1.2、项目类似业绩（类似业绩：指单项合同金额≥5万元的通信光缆技术服务（租用）项目，业绩证明可为中标通知书或合同协议书或业主证明)；</w:t>
      </w:r>
    </w:p>
    <w:p w14:paraId="532C863B">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4.1.3、项目实施、调测、运维保障人员资格应满足云南电网公司承包商作业人员资格。</w:t>
      </w:r>
    </w:p>
    <w:bookmarkEnd w:id="19"/>
    <w:p w14:paraId="52AA274E">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rPr>
      </w:pPr>
      <w:bookmarkStart w:id="20" w:name="_Toc26060"/>
      <w:r>
        <w:rPr>
          <w:rFonts w:hint="eastAsia" w:ascii="新宋体" w:hAnsi="新宋体" w:eastAsia="新宋体" w:cs="新宋体"/>
          <w:b/>
          <w:caps/>
          <w:color w:val="auto"/>
          <w:kern w:val="0"/>
          <w:sz w:val="28"/>
          <w:szCs w:val="28"/>
          <w:highlight w:val="none"/>
        </w:rPr>
        <w:t>4.</w:t>
      </w:r>
      <w:r>
        <w:rPr>
          <w:rFonts w:hint="eastAsia" w:ascii="新宋体" w:hAnsi="新宋体" w:eastAsia="新宋体" w:cs="新宋体"/>
          <w:b/>
          <w:caps/>
          <w:color w:val="auto"/>
          <w:kern w:val="0"/>
          <w:sz w:val="28"/>
          <w:szCs w:val="28"/>
          <w:highlight w:val="none"/>
          <w:lang w:val="en-US" w:eastAsia="zh-CN"/>
        </w:rPr>
        <w:t>2</w:t>
      </w:r>
      <w:r>
        <w:rPr>
          <w:rFonts w:hint="eastAsia" w:ascii="新宋体" w:hAnsi="新宋体" w:eastAsia="新宋体" w:cs="新宋体"/>
          <w:b/>
          <w:caps/>
          <w:color w:val="auto"/>
          <w:kern w:val="0"/>
          <w:sz w:val="28"/>
          <w:szCs w:val="28"/>
          <w:highlight w:val="none"/>
        </w:rPr>
        <w:t>服务承诺</w:t>
      </w:r>
      <w:bookmarkEnd w:id="20"/>
    </w:p>
    <w:p w14:paraId="1D199AEB">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bookmarkStart w:id="21" w:name="_Toc6921"/>
      <w:r>
        <w:rPr>
          <w:rFonts w:hint="eastAsia" w:ascii="新宋体" w:hAnsi="新宋体" w:eastAsia="新宋体" w:cs="新宋体"/>
          <w:caps/>
          <w:kern w:val="0"/>
          <w:sz w:val="28"/>
          <w:szCs w:val="28"/>
          <w:highlight w:val="none"/>
          <w:lang w:val="en-US" w:eastAsia="zh-CN"/>
        </w:rPr>
        <w:t>4.2.1、本次通信接入光纤，拟使用部署于电力基础设施资源（沟、管、杆、塔）的纯介质电力光纤接入（不含任何中继、或传输设备的裸纤），满足电力通信系统运行要求；</w:t>
      </w:r>
    </w:p>
    <w:p w14:paraId="04479C4F">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4.2.2、报价方应能提供电力光缆基于电力基础设施资源（沟、管、杆、塔）经营使用的唯一合法合规证明文件，报价方应满足电力设施场所实施的所有实施手续，包括不限于报价方实施资质及人员资质。</w:t>
      </w:r>
    </w:p>
    <w:p w14:paraId="76C03612">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4.2.3、报价方应提供资源合规合法的电力通信光缆，确保其接入的完整性、实用性、安全性、可靠性，保证全部系统及时投入正常运行。否则若出现因报价方提供的线路不满足要求、不合理，或者其所提供的技术支持和服务不全面，而导致系统无法实现或不能完全实现的状况，报价方负全部责任。</w:t>
      </w:r>
    </w:p>
    <w:p w14:paraId="51E6CA5D">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4.2.4、报价方应对整个线路服务质量负责，在使用期内发生的网络、线路故障，报价方应在24小时内予以恢复，若提供服务纤芯不可用，纤芯等资源服务方应按照上述时限将其调整至同缆或同路由其它纤芯。</w:t>
      </w:r>
    </w:p>
    <w:p w14:paraId="043344DF">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4.2.5、使用光缆中断，若在48小时之内不能够恢复，则需临时组织光缆纤芯，并满足设备指标要求，或者组织临时电路，进行临时恢复。因施工、网络割接等原因影响租用光缆纤芯的正常使用，纤芯等资源报价方应提前48小时与采购方协商，共同商定处理时间，并尽快恢复通信线路。中断时间超过48小时，纤芯等资源服务方应组织临时光通道。</w:t>
      </w:r>
    </w:p>
    <w:p w14:paraId="3C93812E">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4.2.6、纤芯等资源报价方临时光缆纤芯等资源的沟通和还原应在工作前通知采购方。</w:t>
      </w:r>
    </w:p>
    <w:p w14:paraId="53863398">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4.2.7、出现自然灾害等情况导致报价方光缆出现重大故障从而引起本方租用的光缆纤芯故障的，报价方在处置时应同时兼顾采购方租用的光缆。</w:t>
      </w:r>
    </w:p>
    <w:p w14:paraId="215E907A">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4.2.8、纤芯等资源服务方提供的设备、配件供电电源应满足《南方电网通信电源技术规范》（Q/CSG1203011—2016）。</w:t>
      </w:r>
    </w:p>
    <w:p w14:paraId="65749D8F">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4.2.9、报价方负责对其提供的线路（配套设备）进行维修，不收取额外费用。</w:t>
      </w:r>
    </w:p>
    <w:p w14:paraId="13367529">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4.2.10、报价方有责任提供相关维护资料和相关维护责任人部门、名单、联系方式。</w:t>
      </w:r>
    </w:p>
    <w:p w14:paraId="61A4953D">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r>
        <w:rPr>
          <w:rFonts w:hint="eastAsia" w:ascii="新宋体" w:hAnsi="新宋体" w:eastAsia="新宋体" w:cs="新宋体"/>
          <w:caps/>
          <w:kern w:val="0"/>
          <w:sz w:val="28"/>
          <w:szCs w:val="28"/>
          <w:highlight w:val="none"/>
          <w:lang w:val="en-US" w:eastAsia="zh-CN"/>
        </w:rPr>
        <w:t>4.2.11、报价方必须具备障碍受理职能</w:t>
      </w:r>
    </w:p>
    <w:p w14:paraId="4FBF36C5">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rPr>
      </w:pPr>
      <w:r>
        <w:rPr>
          <w:rFonts w:hint="eastAsia" w:ascii="新宋体" w:hAnsi="新宋体" w:eastAsia="新宋体" w:cs="新宋体"/>
          <w:b/>
          <w:caps/>
          <w:color w:val="auto"/>
          <w:kern w:val="0"/>
          <w:sz w:val="28"/>
          <w:szCs w:val="28"/>
          <w:highlight w:val="none"/>
        </w:rPr>
        <w:t>4.</w:t>
      </w:r>
      <w:r>
        <w:rPr>
          <w:rFonts w:hint="eastAsia" w:ascii="新宋体" w:hAnsi="新宋体" w:eastAsia="新宋体" w:cs="新宋体"/>
          <w:b/>
          <w:caps/>
          <w:color w:val="auto"/>
          <w:kern w:val="0"/>
          <w:sz w:val="28"/>
          <w:szCs w:val="28"/>
          <w:highlight w:val="none"/>
          <w:lang w:val="en-US" w:eastAsia="zh-CN"/>
        </w:rPr>
        <w:t>3</w:t>
      </w:r>
      <w:r>
        <w:rPr>
          <w:rFonts w:hint="eastAsia" w:ascii="新宋体" w:hAnsi="新宋体" w:eastAsia="新宋体" w:cs="新宋体"/>
          <w:b/>
          <w:caps/>
          <w:color w:val="auto"/>
          <w:kern w:val="0"/>
          <w:sz w:val="28"/>
          <w:szCs w:val="28"/>
          <w:highlight w:val="none"/>
        </w:rPr>
        <w:t>服务期限</w:t>
      </w:r>
      <w:bookmarkEnd w:id="21"/>
    </w:p>
    <w:p w14:paraId="1FC12792">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新宋体" w:hAnsi="新宋体" w:eastAsia="新宋体" w:cs="新宋体"/>
          <w:caps/>
          <w:kern w:val="0"/>
          <w:sz w:val="28"/>
          <w:szCs w:val="28"/>
          <w:highlight w:val="none"/>
          <w:lang w:val="en-US" w:eastAsia="zh-CN"/>
        </w:rPr>
      </w:pPr>
      <w:bookmarkStart w:id="22" w:name="_Toc21594"/>
      <w:r>
        <w:rPr>
          <w:rFonts w:hint="eastAsia" w:ascii="新宋体" w:hAnsi="新宋体" w:eastAsia="新宋体" w:cs="新宋体"/>
          <w:caps/>
          <w:kern w:val="0"/>
          <w:sz w:val="28"/>
          <w:szCs w:val="28"/>
          <w:highlight w:val="none"/>
          <w:lang w:val="en-US" w:eastAsia="zh-CN"/>
        </w:rPr>
        <w:t>合同签订后，租赁纤芯正常投用并经过验收之日起1年。</w:t>
      </w:r>
    </w:p>
    <w:p w14:paraId="319C60DA">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新宋体" w:hAnsi="新宋体" w:eastAsia="新宋体" w:cs="新宋体"/>
          <w:b/>
          <w:caps/>
          <w:color w:val="auto"/>
          <w:kern w:val="0"/>
          <w:sz w:val="28"/>
          <w:szCs w:val="28"/>
          <w:highlight w:val="none"/>
        </w:rPr>
      </w:pPr>
      <w:r>
        <w:rPr>
          <w:rFonts w:hint="eastAsia" w:ascii="新宋体" w:hAnsi="新宋体" w:eastAsia="新宋体" w:cs="新宋体"/>
          <w:b/>
          <w:caps/>
          <w:color w:val="auto"/>
          <w:kern w:val="0"/>
          <w:sz w:val="28"/>
          <w:szCs w:val="28"/>
          <w:highlight w:val="none"/>
        </w:rPr>
        <w:t>5验收</w:t>
      </w:r>
      <w:bookmarkEnd w:id="22"/>
    </w:p>
    <w:p w14:paraId="49BEB1F0">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rPr>
      </w:pPr>
      <w:bookmarkStart w:id="23" w:name="_Toc6334"/>
      <w:r>
        <w:rPr>
          <w:rFonts w:hint="eastAsia" w:ascii="新宋体" w:hAnsi="新宋体" w:eastAsia="新宋体" w:cs="新宋体"/>
          <w:b/>
          <w:caps/>
          <w:color w:val="auto"/>
          <w:kern w:val="0"/>
          <w:sz w:val="28"/>
          <w:szCs w:val="28"/>
          <w:highlight w:val="none"/>
        </w:rPr>
        <w:t>5.1验收标准</w:t>
      </w:r>
      <w:bookmarkEnd w:id="23"/>
    </w:p>
    <w:p w14:paraId="0C941AE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在要求服务周期内，完成以上</w:t>
      </w:r>
      <w:r>
        <w:rPr>
          <w:rFonts w:hint="eastAsia" w:ascii="新宋体" w:hAnsi="新宋体" w:eastAsia="新宋体" w:cs="新宋体"/>
          <w:color w:val="auto"/>
          <w:sz w:val="28"/>
          <w:szCs w:val="28"/>
          <w:highlight w:val="none"/>
          <w:lang w:val="en-US" w:eastAsia="zh-CN"/>
        </w:rPr>
        <w:t>工作</w:t>
      </w:r>
      <w:r>
        <w:rPr>
          <w:rFonts w:hint="eastAsia" w:ascii="新宋体" w:hAnsi="新宋体" w:eastAsia="新宋体" w:cs="新宋体"/>
          <w:color w:val="auto"/>
          <w:sz w:val="28"/>
          <w:szCs w:val="28"/>
          <w:highlight w:val="none"/>
        </w:rPr>
        <w:t>内容，提交满足本技术约定的</w:t>
      </w:r>
      <w:r>
        <w:rPr>
          <w:rFonts w:hint="eastAsia" w:ascii="新宋体" w:hAnsi="新宋体" w:eastAsia="新宋体" w:cs="新宋体"/>
          <w:color w:val="auto"/>
          <w:sz w:val="28"/>
          <w:szCs w:val="28"/>
          <w:highlight w:val="none"/>
          <w:lang w:val="en-US" w:eastAsia="zh-CN"/>
        </w:rPr>
        <w:t>电力内网专线的网络服务</w:t>
      </w:r>
      <w:r>
        <w:rPr>
          <w:rFonts w:hint="eastAsia" w:ascii="新宋体" w:hAnsi="新宋体" w:eastAsia="新宋体" w:cs="新宋体"/>
          <w:color w:val="auto"/>
          <w:sz w:val="28"/>
          <w:szCs w:val="28"/>
          <w:highlight w:val="none"/>
        </w:rPr>
        <w:t>。</w:t>
      </w:r>
    </w:p>
    <w:p w14:paraId="0204E8BC">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rPr>
      </w:pPr>
      <w:bookmarkStart w:id="24" w:name="_Toc18489"/>
      <w:r>
        <w:rPr>
          <w:rFonts w:hint="eastAsia" w:ascii="新宋体" w:hAnsi="新宋体" w:eastAsia="新宋体" w:cs="新宋体"/>
          <w:b/>
          <w:caps/>
          <w:color w:val="auto"/>
          <w:kern w:val="0"/>
          <w:sz w:val="28"/>
          <w:szCs w:val="28"/>
          <w:highlight w:val="none"/>
        </w:rPr>
        <w:t>5.2验收方法及时间</w:t>
      </w:r>
      <w:bookmarkEnd w:id="24"/>
    </w:p>
    <w:p w14:paraId="6D886D9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成交</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应在</w:t>
      </w:r>
      <w:r>
        <w:rPr>
          <w:rFonts w:hint="eastAsia" w:ascii="新宋体" w:hAnsi="新宋体" w:eastAsia="新宋体" w:cs="新宋体"/>
          <w:color w:val="auto"/>
          <w:sz w:val="28"/>
          <w:szCs w:val="28"/>
          <w:highlight w:val="none"/>
          <w:lang w:val="en-US" w:eastAsia="zh-CN"/>
        </w:rPr>
        <w:t>网线接入且</w:t>
      </w:r>
      <w:r>
        <w:rPr>
          <w:rFonts w:hint="eastAsia" w:ascii="新宋体" w:hAnsi="新宋体" w:eastAsia="新宋体" w:cs="新宋体"/>
          <w:color w:val="auto"/>
          <w:sz w:val="28"/>
          <w:szCs w:val="28"/>
          <w:highlight w:val="none"/>
        </w:rPr>
        <w:t>具备验收条件后向</w:t>
      </w:r>
      <w:r>
        <w:rPr>
          <w:rFonts w:hint="eastAsia" w:ascii="新宋体" w:hAnsi="新宋体" w:eastAsia="新宋体" w:cs="新宋体"/>
          <w:color w:val="auto"/>
          <w:sz w:val="28"/>
          <w:szCs w:val="28"/>
          <w:highlight w:val="none"/>
          <w:lang w:eastAsia="zh-CN"/>
        </w:rPr>
        <w:t>采购</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提供</w:t>
      </w:r>
      <w:r>
        <w:rPr>
          <w:rFonts w:hint="eastAsia" w:ascii="新宋体" w:hAnsi="新宋体" w:eastAsia="新宋体" w:cs="新宋体"/>
          <w:color w:val="auto"/>
          <w:sz w:val="28"/>
          <w:szCs w:val="28"/>
          <w:highlight w:val="none"/>
          <w:lang w:val="en-US" w:eastAsia="zh-CN"/>
        </w:rPr>
        <w:t>书面验收申请</w:t>
      </w:r>
      <w:r>
        <w:rPr>
          <w:rFonts w:hint="eastAsia" w:ascii="新宋体" w:hAnsi="新宋体" w:eastAsia="新宋体" w:cs="新宋体"/>
          <w:color w:val="auto"/>
          <w:sz w:val="28"/>
          <w:szCs w:val="28"/>
          <w:highlight w:val="none"/>
        </w:rPr>
        <w:t>，</w:t>
      </w:r>
      <w:r>
        <w:rPr>
          <w:rFonts w:hint="eastAsia" w:ascii="新宋体" w:hAnsi="新宋体" w:eastAsia="新宋体" w:cs="新宋体"/>
          <w:color w:val="auto"/>
          <w:sz w:val="28"/>
          <w:szCs w:val="28"/>
          <w:highlight w:val="none"/>
          <w:lang w:eastAsia="zh-CN"/>
        </w:rPr>
        <w:t>采购</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应在收到</w:t>
      </w:r>
      <w:r>
        <w:rPr>
          <w:rFonts w:hint="eastAsia" w:ascii="新宋体" w:hAnsi="新宋体" w:eastAsia="新宋体" w:cs="新宋体"/>
          <w:color w:val="auto"/>
          <w:sz w:val="28"/>
          <w:szCs w:val="28"/>
          <w:highlight w:val="none"/>
          <w:lang w:eastAsia="zh-CN"/>
        </w:rPr>
        <w:t>成交</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验收申请后1</w:t>
      </w:r>
      <w:r>
        <w:rPr>
          <w:rFonts w:hint="eastAsia" w:ascii="新宋体" w:hAnsi="新宋体" w:eastAsia="新宋体" w:cs="新宋体"/>
          <w:color w:val="auto"/>
          <w:sz w:val="28"/>
          <w:szCs w:val="28"/>
          <w:highlight w:val="none"/>
          <w:lang w:val="en-US" w:eastAsia="zh-CN"/>
        </w:rPr>
        <w:t>5</w:t>
      </w:r>
      <w:r>
        <w:rPr>
          <w:rFonts w:hint="eastAsia" w:ascii="新宋体" w:hAnsi="新宋体" w:eastAsia="新宋体" w:cs="新宋体"/>
          <w:color w:val="auto"/>
          <w:sz w:val="28"/>
          <w:szCs w:val="28"/>
          <w:highlight w:val="none"/>
        </w:rPr>
        <w:t>个工作日内答复</w:t>
      </w:r>
      <w:r>
        <w:rPr>
          <w:rFonts w:hint="eastAsia" w:ascii="新宋体" w:hAnsi="新宋体" w:eastAsia="新宋体" w:cs="新宋体"/>
          <w:color w:val="auto"/>
          <w:sz w:val="28"/>
          <w:szCs w:val="28"/>
          <w:highlight w:val="none"/>
          <w:lang w:eastAsia="zh-CN"/>
        </w:rPr>
        <w:t>成交</w:t>
      </w:r>
      <w:r>
        <w:rPr>
          <w:rFonts w:hint="eastAsia" w:ascii="新宋体" w:hAnsi="新宋体" w:eastAsia="新宋体" w:cs="新宋体"/>
          <w:caps/>
          <w:kern w:val="0"/>
          <w:sz w:val="28"/>
          <w:szCs w:val="28"/>
          <w:highlight w:val="none"/>
          <w:lang w:val="en-US" w:eastAsia="zh-CN"/>
        </w:rPr>
        <w:t>方</w:t>
      </w:r>
      <w:r>
        <w:rPr>
          <w:rFonts w:hint="eastAsia" w:ascii="新宋体" w:hAnsi="新宋体" w:eastAsia="新宋体" w:cs="新宋体"/>
          <w:color w:val="auto"/>
          <w:sz w:val="28"/>
          <w:szCs w:val="28"/>
          <w:highlight w:val="none"/>
        </w:rPr>
        <w:t>并组织相关人员开展</w:t>
      </w:r>
      <w:r>
        <w:rPr>
          <w:rFonts w:hint="eastAsia" w:ascii="新宋体" w:hAnsi="新宋体" w:eastAsia="新宋体" w:cs="新宋体"/>
          <w:color w:val="auto"/>
          <w:sz w:val="28"/>
          <w:szCs w:val="28"/>
          <w:highlight w:val="none"/>
          <w:lang w:val="en-US" w:eastAsia="zh-CN"/>
        </w:rPr>
        <w:t>网络接入的</w:t>
      </w:r>
      <w:r>
        <w:rPr>
          <w:rFonts w:hint="eastAsia" w:ascii="新宋体" w:hAnsi="新宋体" w:eastAsia="新宋体" w:cs="新宋体"/>
          <w:color w:val="auto"/>
          <w:sz w:val="28"/>
          <w:szCs w:val="28"/>
          <w:highlight w:val="none"/>
        </w:rPr>
        <w:t>验收工作。</w:t>
      </w:r>
    </w:p>
    <w:p w14:paraId="5E6DB57A">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新宋体" w:hAnsi="新宋体" w:eastAsia="新宋体" w:cs="新宋体"/>
          <w:b/>
          <w:caps/>
          <w:color w:val="auto"/>
          <w:kern w:val="0"/>
          <w:sz w:val="28"/>
          <w:szCs w:val="28"/>
          <w:highlight w:val="none"/>
          <w:u w:val="none"/>
        </w:rPr>
      </w:pPr>
      <w:bookmarkStart w:id="25" w:name="_Toc6846"/>
      <w:r>
        <w:rPr>
          <w:rFonts w:hint="eastAsia" w:ascii="新宋体" w:hAnsi="新宋体" w:eastAsia="新宋体" w:cs="新宋体"/>
          <w:b/>
          <w:caps/>
          <w:color w:val="auto"/>
          <w:kern w:val="0"/>
          <w:sz w:val="28"/>
          <w:szCs w:val="28"/>
          <w:highlight w:val="none"/>
        </w:rPr>
        <w:t>5.3验收地点</w:t>
      </w:r>
      <w:bookmarkEnd w:id="25"/>
    </w:p>
    <w:p w14:paraId="296C6A7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新宋体" w:hAnsi="新宋体" w:eastAsia="新宋体" w:cs="新宋体"/>
          <w:color w:val="auto"/>
          <w:sz w:val="28"/>
          <w:szCs w:val="28"/>
          <w:highlight w:val="none"/>
          <w:lang w:val="en-US" w:eastAsia="zh-CN"/>
        </w:rPr>
      </w:pPr>
      <w:r>
        <w:rPr>
          <w:rFonts w:hint="eastAsia" w:ascii="新宋体" w:hAnsi="新宋体" w:eastAsia="新宋体" w:cs="新宋体"/>
          <w:color w:val="auto"/>
          <w:sz w:val="28"/>
          <w:szCs w:val="28"/>
          <w:highlight w:val="none"/>
          <w:u w:val="none"/>
        </w:rPr>
        <w:tab/>
      </w:r>
      <w:r>
        <w:rPr>
          <w:rFonts w:hint="eastAsia" w:ascii="新宋体" w:hAnsi="新宋体" w:eastAsia="新宋体" w:cs="新宋体"/>
          <w:color w:val="auto"/>
          <w:sz w:val="28"/>
          <w:szCs w:val="28"/>
          <w:highlight w:val="none"/>
          <w:u w:val="none"/>
          <w:lang w:val="en-US" w:eastAsia="zh-CN"/>
        </w:rPr>
        <w:t xml:space="preserve">  </w:t>
      </w:r>
      <w:r>
        <w:rPr>
          <w:rFonts w:hint="eastAsia" w:ascii="新宋体" w:hAnsi="新宋体" w:eastAsia="新宋体" w:cs="新宋体"/>
          <w:color w:val="auto"/>
          <w:sz w:val="28"/>
          <w:szCs w:val="28"/>
          <w:highlight w:val="none"/>
          <w:lang w:val="en-US" w:eastAsia="zh-CN"/>
        </w:rPr>
        <w:t>昆明丽江路65号</w:t>
      </w:r>
    </w:p>
    <w:p w14:paraId="41989EDA">
      <w:pPr>
        <w:rPr>
          <w:rFonts w:hint="eastAsia" w:ascii="新宋体" w:hAnsi="新宋体" w:eastAsia="新宋体" w:cs="新宋体"/>
          <w:sz w:val="28"/>
          <w:szCs w:val="28"/>
          <w:highlight w:val="none"/>
        </w:rPr>
      </w:pPr>
    </w:p>
    <w:p w14:paraId="70E05AA9">
      <w:pPr>
        <w:pStyle w:val="9"/>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云南电力建设监理咨询有限责任公司</w:t>
      </w:r>
    </w:p>
    <w:p w14:paraId="2ACF93FA">
      <w:pPr>
        <w:pStyle w:val="9"/>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2026</w:t>
      </w:r>
      <w:bookmarkStart w:id="26" w:name="_GoBack"/>
      <w:bookmarkEnd w:id="26"/>
      <w:r>
        <w:rPr>
          <w:rFonts w:hint="eastAsia" w:ascii="仿宋" w:hAnsi="仿宋" w:eastAsia="仿宋" w:cs="仿宋"/>
          <w:kern w:val="2"/>
          <w:sz w:val="28"/>
          <w:szCs w:val="28"/>
          <w:lang w:val="en-US" w:eastAsia="zh-CN" w:bidi="ar-SA"/>
        </w:rPr>
        <w:t>年03月06日</w:t>
      </w:r>
    </w:p>
    <w:p w14:paraId="6FC1610A">
      <w:pPr>
        <w:pStyle w:val="6"/>
        <w:rPr>
          <w:rFonts w:hint="eastAsia" w:ascii="宋体" w:hAnsi="宋体" w:eastAsia="宋体" w:cs="宋体"/>
          <w:b/>
          <w:color w:val="000000"/>
          <w:sz w:val="21"/>
          <w:szCs w:val="21"/>
          <w:highlight w:val="none"/>
        </w:rPr>
      </w:pPr>
    </w:p>
    <w:p w14:paraId="44E39C09">
      <w:pPr>
        <w:pStyle w:val="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8DB"/>
    <w:rsid w:val="002C69B7"/>
    <w:rsid w:val="003832DE"/>
    <w:rsid w:val="003C48DA"/>
    <w:rsid w:val="004C2875"/>
    <w:rsid w:val="004F10C8"/>
    <w:rsid w:val="00714974"/>
    <w:rsid w:val="007E718F"/>
    <w:rsid w:val="00835627"/>
    <w:rsid w:val="00B33158"/>
    <w:rsid w:val="00D84E32"/>
    <w:rsid w:val="00FC0D97"/>
    <w:rsid w:val="01220AB8"/>
    <w:rsid w:val="01492FEF"/>
    <w:rsid w:val="01710862"/>
    <w:rsid w:val="0171373F"/>
    <w:rsid w:val="018C0437"/>
    <w:rsid w:val="01975BF1"/>
    <w:rsid w:val="01CF3DD9"/>
    <w:rsid w:val="01D522AC"/>
    <w:rsid w:val="01F43D2F"/>
    <w:rsid w:val="0201269B"/>
    <w:rsid w:val="02071B06"/>
    <w:rsid w:val="02235C89"/>
    <w:rsid w:val="022D35C8"/>
    <w:rsid w:val="022F242D"/>
    <w:rsid w:val="023E1C2A"/>
    <w:rsid w:val="02621DD2"/>
    <w:rsid w:val="02667114"/>
    <w:rsid w:val="0267148F"/>
    <w:rsid w:val="026C7207"/>
    <w:rsid w:val="0288572B"/>
    <w:rsid w:val="02E766E0"/>
    <w:rsid w:val="038A6CC7"/>
    <w:rsid w:val="03A04787"/>
    <w:rsid w:val="03A37CD5"/>
    <w:rsid w:val="03CA1DD0"/>
    <w:rsid w:val="03D50A39"/>
    <w:rsid w:val="03E12121"/>
    <w:rsid w:val="03F52DBF"/>
    <w:rsid w:val="03F7009F"/>
    <w:rsid w:val="042D0B6E"/>
    <w:rsid w:val="04421F1B"/>
    <w:rsid w:val="046107D8"/>
    <w:rsid w:val="04BE1F78"/>
    <w:rsid w:val="05210A8A"/>
    <w:rsid w:val="0544612A"/>
    <w:rsid w:val="058D3BE1"/>
    <w:rsid w:val="05B2325A"/>
    <w:rsid w:val="05BA29E8"/>
    <w:rsid w:val="06192789"/>
    <w:rsid w:val="06197197"/>
    <w:rsid w:val="061D52B1"/>
    <w:rsid w:val="062C65C9"/>
    <w:rsid w:val="06334A73"/>
    <w:rsid w:val="064F373B"/>
    <w:rsid w:val="06B260DD"/>
    <w:rsid w:val="06E018C7"/>
    <w:rsid w:val="07300224"/>
    <w:rsid w:val="078221C9"/>
    <w:rsid w:val="07A977DD"/>
    <w:rsid w:val="07C0068F"/>
    <w:rsid w:val="08135E93"/>
    <w:rsid w:val="081B7FD2"/>
    <w:rsid w:val="08285EAD"/>
    <w:rsid w:val="082B36B5"/>
    <w:rsid w:val="08540FB9"/>
    <w:rsid w:val="086B5458"/>
    <w:rsid w:val="086E7F2A"/>
    <w:rsid w:val="08960389"/>
    <w:rsid w:val="08FE3376"/>
    <w:rsid w:val="09046DB4"/>
    <w:rsid w:val="090D6122"/>
    <w:rsid w:val="091546DD"/>
    <w:rsid w:val="0927633B"/>
    <w:rsid w:val="09504F08"/>
    <w:rsid w:val="0977395B"/>
    <w:rsid w:val="09796AC5"/>
    <w:rsid w:val="099475E5"/>
    <w:rsid w:val="099F4DF1"/>
    <w:rsid w:val="09A569C6"/>
    <w:rsid w:val="09AB7341"/>
    <w:rsid w:val="09FB67B5"/>
    <w:rsid w:val="0A8A4663"/>
    <w:rsid w:val="0AD83E80"/>
    <w:rsid w:val="0AE40B0D"/>
    <w:rsid w:val="0AFF6595"/>
    <w:rsid w:val="0B063341"/>
    <w:rsid w:val="0B090173"/>
    <w:rsid w:val="0B396695"/>
    <w:rsid w:val="0B516379"/>
    <w:rsid w:val="0B75051B"/>
    <w:rsid w:val="0B9A39C2"/>
    <w:rsid w:val="0BAC5A1E"/>
    <w:rsid w:val="0BBE4BF6"/>
    <w:rsid w:val="0BE06EE5"/>
    <w:rsid w:val="0BEC5C7E"/>
    <w:rsid w:val="0C1A67AD"/>
    <w:rsid w:val="0C3F47E5"/>
    <w:rsid w:val="0C723939"/>
    <w:rsid w:val="0C81543D"/>
    <w:rsid w:val="0C9142BF"/>
    <w:rsid w:val="0CC43062"/>
    <w:rsid w:val="0CD24CED"/>
    <w:rsid w:val="0CE866EE"/>
    <w:rsid w:val="0D0B0063"/>
    <w:rsid w:val="0D1539A3"/>
    <w:rsid w:val="0D2D3E18"/>
    <w:rsid w:val="0D2D6187"/>
    <w:rsid w:val="0D510785"/>
    <w:rsid w:val="0D6F1F2C"/>
    <w:rsid w:val="0D8453A2"/>
    <w:rsid w:val="0D8A1064"/>
    <w:rsid w:val="0DB63D66"/>
    <w:rsid w:val="0DBF5775"/>
    <w:rsid w:val="0DED2C25"/>
    <w:rsid w:val="0DF5673F"/>
    <w:rsid w:val="0DF65747"/>
    <w:rsid w:val="0E0038CF"/>
    <w:rsid w:val="0E040FA3"/>
    <w:rsid w:val="0EB633C0"/>
    <w:rsid w:val="0EC47D93"/>
    <w:rsid w:val="0EF6020C"/>
    <w:rsid w:val="0F004256"/>
    <w:rsid w:val="0F041FD9"/>
    <w:rsid w:val="0F1A1410"/>
    <w:rsid w:val="0F60082C"/>
    <w:rsid w:val="0F61263C"/>
    <w:rsid w:val="0FB947DF"/>
    <w:rsid w:val="0FCA20B5"/>
    <w:rsid w:val="0FD2114D"/>
    <w:rsid w:val="0FEE6FAE"/>
    <w:rsid w:val="0FF60677"/>
    <w:rsid w:val="101806E9"/>
    <w:rsid w:val="101D61EB"/>
    <w:rsid w:val="1022225A"/>
    <w:rsid w:val="103D7516"/>
    <w:rsid w:val="106D5A5F"/>
    <w:rsid w:val="10856EF6"/>
    <w:rsid w:val="10D0342F"/>
    <w:rsid w:val="11310E1B"/>
    <w:rsid w:val="11475794"/>
    <w:rsid w:val="114C7D7F"/>
    <w:rsid w:val="115077C9"/>
    <w:rsid w:val="117B431B"/>
    <w:rsid w:val="11975CCD"/>
    <w:rsid w:val="11A14519"/>
    <w:rsid w:val="11A4421D"/>
    <w:rsid w:val="11AE1E5E"/>
    <w:rsid w:val="11F743D7"/>
    <w:rsid w:val="12262C23"/>
    <w:rsid w:val="129C5E30"/>
    <w:rsid w:val="12AE7CD0"/>
    <w:rsid w:val="12CE3E91"/>
    <w:rsid w:val="12DD32D0"/>
    <w:rsid w:val="1333145D"/>
    <w:rsid w:val="13337D05"/>
    <w:rsid w:val="134F1D94"/>
    <w:rsid w:val="1356235E"/>
    <w:rsid w:val="13971551"/>
    <w:rsid w:val="13CC0BD5"/>
    <w:rsid w:val="14452841"/>
    <w:rsid w:val="1464013D"/>
    <w:rsid w:val="1470373D"/>
    <w:rsid w:val="147779FD"/>
    <w:rsid w:val="147F0441"/>
    <w:rsid w:val="148267D5"/>
    <w:rsid w:val="14E96BB4"/>
    <w:rsid w:val="14FE2999"/>
    <w:rsid w:val="150D46BE"/>
    <w:rsid w:val="1584413E"/>
    <w:rsid w:val="158C6C32"/>
    <w:rsid w:val="159A6D45"/>
    <w:rsid w:val="15A0035C"/>
    <w:rsid w:val="15B85087"/>
    <w:rsid w:val="15B85DB0"/>
    <w:rsid w:val="15C17F64"/>
    <w:rsid w:val="15DC7867"/>
    <w:rsid w:val="15E23DF5"/>
    <w:rsid w:val="15EA1BC9"/>
    <w:rsid w:val="161D5ABA"/>
    <w:rsid w:val="16987450"/>
    <w:rsid w:val="16BE1213"/>
    <w:rsid w:val="16CC75F2"/>
    <w:rsid w:val="16D26E8E"/>
    <w:rsid w:val="16D67410"/>
    <w:rsid w:val="16F720D7"/>
    <w:rsid w:val="170311B9"/>
    <w:rsid w:val="170E7C27"/>
    <w:rsid w:val="17204285"/>
    <w:rsid w:val="172E1CB0"/>
    <w:rsid w:val="173D0186"/>
    <w:rsid w:val="178A3E80"/>
    <w:rsid w:val="17E104E8"/>
    <w:rsid w:val="181A48EC"/>
    <w:rsid w:val="181A5BAC"/>
    <w:rsid w:val="18211246"/>
    <w:rsid w:val="185155C7"/>
    <w:rsid w:val="18B86961"/>
    <w:rsid w:val="18C530F3"/>
    <w:rsid w:val="190F502D"/>
    <w:rsid w:val="1927184E"/>
    <w:rsid w:val="196179DC"/>
    <w:rsid w:val="198A7300"/>
    <w:rsid w:val="19D54971"/>
    <w:rsid w:val="1A005D8B"/>
    <w:rsid w:val="1A0302CC"/>
    <w:rsid w:val="1A286624"/>
    <w:rsid w:val="1A3D3907"/>
    <w:rsid w:val="1A4035EA"/>
    <w:rsid w:val="1A46445E"/>
    <w:rsid w:val="1A811CAB"/>
    <w:rsid w:val="1A8F2902"/>
    <w:rsid w:val="1A900305"/>
    <w:rsid w:val="1AD6226F"/>
    <w:rsid w:val="1AF97DDC"/>
    <w:rsid w:val="1B270679"/>
    <w:rsid w:val="1B4E436B"/>
    <w:rsid w:val="1B6025CD"/>
    <w:rsid w:val="1B6158B5"/>
    <w:rsid w:val="1B807061"/>
    <w:rsid w:val="1B9D20FB"/>
    <w:rsid w:val="1BA25098"/>
    <w:rsid w:val="1BB0269B"/>
    <w:rsid w:val="1BC41B73"/>
    <w:rsid w:val="1BEC1E36"/>
    <w:rsid w:val="1BF33B66"/>
    <w:rsid w:val="1C0526E1"/>
    <w:rsid w:val="1C584CAC"/>
    <w:rsid w:val="1C7D45CA"/>
    <w:rsid w:val="1C845384"/>
    <w:rsid w:val="1C9564B1"/>
    <w:rsid w:val="1CAC77B0"/>
    <w:rsid w:val="1CD21B40"/>
    <w:rsid w:val="1CF46400"/>
    <w:rsid w:val="1D467193"/>
    <w:rsid w:val="1D506512"/>
    <w:rsid w:val="1D5E3E7A"/>
    <w:rsid w:val="1D6072F5"/>
    <w:rsid w:val="1D8C1661"/>
    <w:rsid w:val="1DB314E7"/>
    <w:rsid w:val="1DF56A1C"/>
    <w:rsid w:val="1E0353CB"/>
    <w:rsid w:val="1E1172A6"/>
    <w:rsid w:val="1E380CAD"/>
    <w:rsid w:val="1E6219B4"/>
    <w:rsid w:val="1E8F3887"/>
    <w:rsid w:val="1EB216C5"/>
    <w:rsid w:val="1EDA5632"/>
    <w:rsid w:val="1EE42C63"/>
    <w:rsid w:val="1F044E01"/>
    <w:rsid w:val="1F206B98"/>
    <w:rsid w:val="1F304A34"/>
    <w:rsid w:val="1FBA3AF4"/>
    <w:rsid w:val="1FD5016D"/>
    <w:rsid w:val="1FD57B90"/>
    <w:rsid w:val="1FED6D2E"/>
    <w:rsid w:val="2023746A"/>
    <w:rsid w:val="203A5D47"/>
    <w:rsid w:val="20607159"/>
    <w:rsid w:val="20945A6B"/>
    <w:rsid w:val="20CE0F69"/>
    <w:rsid w:val="20F05D48"/>
    <w:rsid w:val="20FA17A1"/>
    <w:rsid w:val="21587406"/>
    <w:rsid w:val="21BA43D8"/>
    <w:rsid w:val="21DF3012"/>
    <w:rsid w:val="220F5C5A"/>
    <w:rsid w:val="222039B6"/>
    <w:rsid w:val="22411297"/>
    <w:rsid w:val="2252706B"/>
    <w:rsid w:val="22691002"/>
    <w:rsid w:val="22A50CDE"/>
    <w:rsid w:val="22BF4733"/>
    <w:rsid w:val="22D9717A"/>
    <w:rsid w:val="22FF01A8"/>
    <w:rsid w:val="23502053"/>
    <w:rsid w:val="239365A5"/>
    <w:rsid w:val="239F6D98"/>
    <w:rsid w:val="23C81893"/>
    <w:rsid w:val="23DD0048"/>
    <w:rsid w:val="23E1560C"/>
    <w:rsid w:val="23F37364"/>
    <w:rsid w:val="24273B69"/>
    <w:rsid w:val="242A5C1D"/>
    <w:rsid w:val="243C0D50"/>
    <w:rsid w:val="24743D0B"/>
    <w:rsid w:val="247724D4"/>
    <w:rsid w:val="248D6461"/>
    <w:rsid w:val="24964445"/>
    <w:rsid w:val="24DA3D55"/>
    <w:rsid w:val="251539D7"/>
    <w:rsid w:val="251B072A"/>
    <w:rsid w:val="255B166C"/>
    <w:rsid w:val="25B96BAE"/>
    <w:rsid w:val="25CE20B1"/>
    <w:rsid w:val="25DE6F51"/>
    <w:rsid w:val="25F976A1"/>
    <w:rsid w:val="26004DFE"/>
    <w:rsid w:val="262A125A"/>
    <w:rsid w:val="264C7816"/>
    <w:rsid w:val="26E3194B"/>
    <w:rsid w:val="26F81EA0"/>
    <w:rsid w:val="273E39DE"/>
    <w:rsid w:val="273E6EAC"/>
    <w:rsid w:val="274813E7"/>
    <w:rsid w:val="275F32EC"/>
    <w:rsid w:val="27637B2D"/>
    <w:rsid w:val="277B68BE"/>
    <w:rsid w:val="27913245"/>
    <w:rsid w:val="27AB6332"/>
    <w:rsid w:val="27BD7DC0"/>
    <w:rsid w:val="27C9778A"/>
    <w:rsid w:val="285B053A"/>
    <w:rsid w:val="286858F9"/>
    <w:rsid w:val="28743475"/>
    <w:rsid w:val="28A17943"/>
    <w:rsid w:val="28BD6D29"/>
    <w:rsid w:val="28C065B6"/>
    <w:rsid w:val="28D10EEA"/>
    <w:rsid w:val="28DA03D5"/>
    <w:rsid w:val="291513E8"/>
    <w:rsid w:val="29153692"/>
    <w:rsid w:val="29243B63"/>
    <w:rsid w:val="292B0B57"/>
    <w:rsid w:val="292C27D2"/>
    <w:rsid w:val="29330B4A"/>
    <w:rsid w:val="29500B8C"/>
    <w:rsid w:val="29B84826"/>
    <w:rsid w:val="29DF2CD5"/>
    <w:rsid w:val="29E548CA"/>
    <w:rsid w:val="2A0838C3"/>
    <w:rsid w:val="2A1907CC"/>
    <w:rsid w:val="2A1F32A0"/>
    <w:rsid w:val="2A221E77"/>
    <w:rsid w:val="2A5F29B9"/>
    <w:rsid w:val="2A613433"/>
    <w:rsid w:val="2A6576E0"/>
    <w:rsid w:val="2A7820C7"/>
    <w:rsid w:val="2A812DFF"/>
    <w:rsid w:val="2A814E23"/>
    <w:rsid w:val="2AA76ADA"/>
    <w:rsid w:val="2AAA190D"/>
    <w:rsid w:val="2AE53DEA"/>
    <w:rsid w:val="2B8B4775"/>
    <w:rsid w:val="2B981EFD"/>
    <w:rsid w:val="2BB543F4"/>
    <w:rsid w:val="2BE04587"/>
    <w:rsid w:val="2BFB6435"/>
    <w:rsid w:val="2C0874E3"/>
    <w:rsid w:val="2C18001A"/>
    <w:rsid w:val="2C26408D"/>
    <w:rsid w:val="2C5320A7"/>
    <w:rsid w:val="2CA82F3D"/>
    <w:rsid w:val="2CC176FC"/>
    <w:rsid w:val="2CE35079"/>
    <w:rsid w:val="2CEE560B"/>
    <w:rsid w:val="2D305E93"/>
    <w:rsid w:val="2D36570D"/>
    <w:rsid w:val="2D7104A0"/>
    <w:rsid w:val="2D8745AA"/>
    <w:rsid w:val="2D9705AE"/>
    <w:rsid w:val="2E0F770D"/>
    <w:rsid w:val="2E1F72F1"/>
    <w:rsid w:val="2E277F02"/>
    <w:rsid w:val="2E500430"/>
    <w:rsid w:val="2E5F7A32"/>
    <w:rsid w:val="2E643484"/>
    <w:rsid w:val="2E6E6F1B"/>
    <w:rsid w:val="2E7C3C29"/>
    <w:rsid w:val="2E8350A6"/>
    <w:rsid w:val="2E960457"/>
    <w:rsid w:val="2E9647EE"/>
    <w:rsid w:val="2EC6725B"/>
    <w:rsid w:val="2ED556AF"/>
    <w:rsid w:val="2EDC0287"/>
    <w:rsid w:val="2F6763AE"/>
    <w:rsid w:val="300938FF"/>
    <w:rsid w:val="301815C1"/>
    <w:rsid w:val="301C4C0A"/>
    <w:rsid w:val="3023678A"/>
    <w:rsid w:val="304E78E6"/>
    <w:rsid w:val="308525FA"/>
    <w:rsid w:val="308A7684"/>
    <w:rsid w:val="30D92A3A"/>
    <w:rsid w:val="30E20630"/>
    <w:rsid w:val="30F44065"/>
    <w:rsid w:val="30FB2014"/>
    <w:rsid w:val="31007926"/>
    <w:rsid w:val="310B1326"/>
    <w:rsid w:val="312071D1"/>
    <w:rsid w:val="312F2A64"/>
    <w:rsid w:val="315F4F82"/>
    <w:rsid w:val="319B41AD"/>
    <w:rsid w:val="31AA2A3C"/>
    <w:rsid w:val="31B8143F"/>
    <w:rsid w:val="325A3E89"/>
    <w:rsid w:val="326F7E1A"/>
    <w:rsid w:val="32713C49"/>
    <w:rsid w:val="32B32B36"/>
    <w:rsid w:val="32E934C9"/>
    <w:rsid w:val="3328431E"/>
    <w:rsid w:val="336436B7"/>
    <w:rsid w:val="33663F5E"/>
    <w:rsid w:val="336D77E8"/>
    <w:rsid w:val="339D4524"/>
    <w:rsid w:val="33BF481C"/>
    <w:rsid w:val="33E36348"/>
    <w:rsid w:val="3404536D"/>
    <w:rsid w:val="340F159B"/>
    <w:rsid w:val="341661D8"/>
    <w:rsid w:val="343B2A95"/>
    <w:rsid w:val="34693BC6"/>
    <w:rsid w:val="347C4C06"/>
    <w:rsid w:val="349556BD"/>
    <w:rsid w:val="34C2772C"/>
    <w:rsid w:val="34CF5343"/>
    <w:rsid w:val="34E339FF"/>
    <w:rsid w:val="34F004F9"/>
    <w:rsid w:val="35384A63"/>
    <w:rsid w:val="35397C9D"/>
    <w:rsid w:val="354C47F5"/>
    <w:rsid w:val="355429A7"/>
    <w:rsid w:val="35704244"/>
    <w:rsid w:val="35842477"/>
    <w:rsid w:val="35C62520"/>
    <w:rsid w:val="35C85838"/>
    <w:rsid w:val="35CC1C01"/>
    <w:rsid w:val="35D9766C"/>
    <w:rsid w:val="360407DC"/>
    <w:rsid w:val="3634349B"/>
    <w:rsid w:val="36440ABC"/>
    <w:rsid w:val="36780179"/>
    <w:rsid w:val="369C431B"/>
    <w:rsid w:val="37032063"/>
    <w:rsid w:val="37152754"/>
    <w:rsid w:val="37171BC6"/>
    <w:rsid w:val="37227682"/>
    <w:rsid w:val="373B491D"/>
    <w:rsid w:val="37617499"/>
    <w:rsid w:val="377223E2"/>
    <w:rsid w:val="379E4064"/>
    <w:rsid w:val="37C476FC"/>
    <w:rsid w:val="37C74373"/>
    <w:rsid w:val="37CE29B9"/>
    <w:rsid w:val="37F42349"/>
    <w:rsid w:val="38033A8B"/>
    <w:rsid w:val="38114C87"/>
    <w:rsid w:val="383F0FBF"/>
    <w:rsid w:val="38427082"/>
    <w:rsid w:val="3859020E"/>
    <w:rsid w:val="38755602"/>
    <w:rsid w:val="3897247B"/>
    <w:rsid w:val="38CA0488"/>
    <w:rsid w:val="38D754BD"/>
    <w:rsid w:val="38F86E85"/>
    <w:rsid w:val="392A7738"/>
    <w:rsid w:val="392C30DA"/>
    <w:rsid w:val="39316CCA"/>
    <w:rsid w:val="393F6BEC"/>
    <w:rsid w:val="394125B7"/>
    <w:rsid w:val="394327DD"/>
    <w:rsid w:val="397E10D2"/>
    <w:rsid w:val="399F7EA0"/>
    <w:rsid w:val="3A1F4774"/>
    <w:rsid w:val="3A32301C"/>
    <w:rsid w:val="3A596CCB"/>
    <w:rsid w:val="3A5B2A26"/>
    <w:rsid w:val="3A5C25B5"/>
    <w:rsid w:val="3A6C02E9"/>
    <w:rsid w:val="3A7937AA"/>
    <w:rsid w:val="3A80576F"/>
    <w:rsid w:val="3A856A78"/>
    <w:rsid w:val="3A974E83"/>
    <w:rsid w:val="3AA122AA"/>
    <w:rsid w:val="3AC43615"/>
    <w:rsid w:val="3B600FC9"/>
    <w:rsid w:val="3B842451"/>
    <w:rsid w:val="3B907723"/>
    <w:rsid w:val="3BB83E17"/>
    <w:rsid w:val="3C065E53"/>
    <w:rsid w:val="3C2032E6"/>
    <w:rsid w:val="3C7A69AD"/>
    <w:rsid w:val="3C960CEA"/>
    <w:rsid w:val="3CA4386B"/>
    <w:rsid w:val="3CAF6733"/>
    <w:rsid w:val="3CD6487E"/>
    <w:rsid w:val="3CE0682F"/>
    <w:rsid w:val="3CEA17B5"/>
    <w:rsid w:val="3D0005E0"/>
    <w:rsid w:val="3D0301F6"/>
    <w:rsid w:val="3D1619F9"/>
    <w:rsid w:val="3D1A32A7"/>
    <w:rsid w:val="3D285D0F"/>
    <w:rsid w:val="3D2C34F4"/>
    <w:rsid w:val="3D5367D3"/>
    <w:rsid w:val="3D7F7216"/>
    <w:rsid w:val="3D890384"/>
    <w:rsid w:val="3DAC4809"/>
    <w:rsid w:val="3DBB4E59"/>
    <w:rsid w:val="3DBD4A4B"/>
    <w:rsid w:val="3DDF064B"/>
    <w:rsid w:val="3DF81B8E"/>
    <w:rsid w:val="3E263E8D"/>
    <w:rsid w:val="3E337A21"/>
    <w:rsid w:val="3E585584"/>
    <w:rsid w:val="3E7F33DC"/>
    <w:rsid w:val="3EB604D2"/>
    <w:rsid w:val="3F283ED9"/>
    <w:rsid w:val="3FAB2D32"/>
    <w:rsid w:val="3FBE55E3"/>
    <w:rsid w:val="3FC3663E"/>
    <w:rsid w:val="3FC65716"/>
    <w:rsid w:val="3FD2414F"/>
    <w:rsid w:val="400F6F81"/>
    <w:rsid w:val="40122E19"/>
    <w:rsid w:val="40297532"/>
    <w:rsid w:val="406C6BEA"/>
    <w:rsid w:val="406D2CAB"/>
    <w:rsid w:val="40C55B7C"/>
    <w:rsid w:val="40D37A87"/>
    <w:rsid w:val="40FE673F"/>
    <w:rsid w:val="41681AF3"/>
    <w:rsid w:val="41704C8B"/>
    <w:rsid w:val="41C93BBD"/>
    <w:rsid w:val="41DB48A9"/>
    <w:rsid w:val="41EB5A61"/>
    <w:rsid w:val="41F00071"/>
    <w:rsid w:val="4213073D"/>
    <w:rsid w:val="42414923"/>
    <w:rsid w:val="426F3CE2"/>
    <w:rsid w:val="42702571"/>
    <w:rsid w:val="42ED4F91"/>
    <w:rsid w:val="42F03957"/>
    <w:rsid w:val="430F21A6"/>
    <w:rsid w:val="433502BF"/>
    <w:rsid w:val="433D62C4"/>
    <w:rsid w:val="43664959"/>
    <w:rsid w:val="43B54CB9"/>
    <w:rsid w:val="43DE37E9"/>
    <w:rsid w:val="43E17826"/>
    <w:rsid w:val="43EE641D"/>
    <w:rsid w:val="44367F76"/>
    <w:rsid w:val="44397EB5"/>
    <w:rsid w:val="444C408A"/>
    <w:rsid w:val="44585FB9"/>
    <w:rsid w:val="44610E1D"/>
    <w:rsid w:val="44755B53"/>
    <w:rsid w:val="44823B67"/>
    <w:rsid w:val="44D80857"/>
    <w:rsid w:val="44EA571A"/>
    <w:rsid w:val="44F11CEF"/>
    <w:rsid w:val="45116470"/>
    <w:rsid w:val="45685336"/>
    <w:rsid w:val="45944D0E"/>
    <w:rsid w:val="45F973C0"/>
    <w:rsid w:val="46125E6A"/>
    <w:rsid w:val="462C4FE3"/>
    <w:rsid w:val="465D57AC"/>
    <w:rsid w:val="46641A7F"/>
    <w:rsid w:val="46790BE3"/>
    <w:rsid w:val="46965AE1"/>
    <w:rsid w:val="469C68C4"/>
    <w:rsid w:val="46B53DC0"/>
    <w:rsid w:val="46BD4531"/>
    <w:rsid w:val="46DA36B4"/>
    <w:rsid w:val="46E801AA"/>
    <w:rsid w:val="470F5B9E"/>
    <w:rsid w:val="476621D3"/>
    <w:rsid w:val="4788256C"/>
    <w:rsid w:val="47C75882"/>
    <w:rsid w:val="47E153DA"/>
    <w:rsid w:val="47F53084"/>
    <w:rsid w:val="47F72F5E"/>
    <w:rsid w:val="48014E3F"/>
    <w:rsid w:val="48037586"/>
    <w:rsid w:val="480F0ABE"/>
    <w:rsid w:val="48156E8E"/>
    <w:rsid w:val="483B0D57"/>
    <w:rsid w:val="48671C10"/>
    <w:rsid w:val="48947ED7"/>
    <w:rsid w:val="48B56ED3"/>
    <w:rsid w:val="48D03F4D"/>
    <w:rsid w:val="4900392C"/>
    <w:rsid w:val="49062C49"/>
    <w:rsid w:val="492E1FF9"/>
    <w:rsid w:val="49485362"/>
    <w:rsid w:val="49512DAB"/>
    <w:rsid w:val="49517938"/>
    <w:rsid w:val="49810DB9"/>
    <w:rsid w:val="49896726"/>
    <w:rsid w:val="49BF702E"/>
    <w:rsid w:val="49D64B5B"/>
    <w:rsid w:val="49EE089D"/>
    <w:rsid w:val="4A060F30"/>
    <w:rsid w:val="4A0E205C"/>
    <w:rsid w:val="4A3D07DA"/>
    <w:rsid w:val="4A5547D7"/>
    <w:rsid w:val="4A8669E7"/>
    <w:rsid w:val="4A89497C"/>
    <w:rsid w:val="4AA84AB9"/>
    <w:rsid w:val="4ABB429D"/>
    <w:rsid w:val="4AE52403"/>
    <w:rsid w:val="4AFA2E49"/>
    <w:rsid w:val="4B0C2FF3"/>
    <w:rsid w:val="4B3745AE"/>
    <w:rsid w:val="4B415A1E"/>
    <w:rsid w:val="4B511F7F"/>
    <w:rsid w:val="4B5424CB"/>
    <w:rsid w:val="4B5E4BEA"/>
    <w:rsid w:val="4B76208E"/>
    <w:rsid w:val="4B873A7C"/>
    <w:rsid w:val="4B981447"/>
    <w:rsid w:val="4B9D15B0"/>
    <w:rsid w:val="4BDC3EBD"/>
    <w:rsid w:val="4C023A6F"/>
    <w:rsid w:val="4C1743A1"/>
    <w:rsid w:val="4C232E39"/>
    <w:rsid w:val="4C2A1D93"/>
    <w:rsid w:val="4C661251"/>
    <w:rsid w:val="4C6E2452"/>
    <w:rsid w:val="4C7E5497"/>
    <w:rsid w:val="4C997EE1"/>
    <w:rsid w:val="4CD664F4"/>
    <w:rsid w:val="4D064BEC"/>
    <w:rsid w:val="4D1578F6"/>
    <w:rsid w:val="4D345D68"/>
    <w:rsid w:val="4D382B4D"/>
    <w:rsid w:val="4D4664EF"/>
    <w:rsid w:val="4D467180"/>
    <w:rsid w:val="4D481B51"/>
    <w:rsid w:val="4D7B0064"/>
    <w:rsid w:val="4DC94FD3"/>
    <w:rsid w:val="4DE22FCA"/>
    <w:rsid w:val="4DF42479"/>
    <w:rsid w:val="4DFE3CC9"/>
    <w:rsid w:val="4E026CE1"/>
    <w:rsid w:val="4E2371B9"/>
    <w:rsid w:val="4E5A1020"/>
    <w:rsid w:val="4E6142F4"/>
    <w:rsid w:val="4EDE677D"/>
    <w:rsid w:val="4EEB1381"/>
    <w:rsid w:val="4EF20AEA"/>
    <w:rsid w:val="4EF45D80"/>
    <w:rsid w:val="4F046769"/>
    <w:rsid w:val="4F6072D8"/>
    <w:rsid w:val="4F920295"/>
    <w:rsid w:val="4FF534A5"/>
    <w:rsid w:val="4FF83141"/>
    <w:rsid w:val="4FFC6346"/>
    <w:rsid w:val="50051FFA"/>
    <w:rsid w:val="50064486"/>
    <w:rsid w:val="5030518C"/>
    <w:rsid w:val="50734E89"/>
    <w:rsid w:val="50B307C0"/>
    <w:rsid w:val="50C01AE8"/>
    <w:rsid w:val="51304B18"/>
    <w:rsid w:val="515D2483"/>
    <w:rsid w:val="51750ED1"/>
    <w:rsid w:val="51991192"/>
    <w:rsid w:val="51A05FA2"/>
    <w:rsid w:val="51B74B10"/>
    <w:rsid w:val="51C83C13"/>
    <w:rsid w:val="51DC2FCC"/>
    <w:rsid w:val="51F939EF"/>
    <w:rsid w:val="52021246"/>
    <w:rsid w:val="52072721"/>
    <w:rsid w:val="522D6421"/>
    <w:rsid w:val="523530B9"/>
    <w:rsid w:val="52413478"/>
    <w:rsid w:val="52572B5A"/>
    <w:rsid w:val="52794E36"/>
    <w:rsid w:val="5298061D"/>
    <w:rsid w:val="529D371E"/>
    <w:rsid w:val="52B34532"/>
    <w:rsid w:val="52E24593"/>
    <w:rsid w:val="52EE5BD8"/>
    <w:rsid w:val="52F665D7"/>
    <w:rsid w:val="53097A66"/>
    <w:rsid w:val="530A69E4"/>
    <w:rsid w:val="5323419C"/>
    <w:rsid w:val="53256087"/>
    <w:rsid w:val="53274538"/>
    <w:rsid w:val="536D5F86"/>
    <w:rsid w:val="537716E2"/>
    <w:rsid w:val="53B21BD5"/>
    <w:rsid w:val="53C164A2"/>
    <w:rsid w:val="53F576FE"/>
    <w:rsid w:val="54285A19"/>
    <w:rsid w:val="542E5FD4"/>
    <w:rsid w:val="543D5F9A"/>
    <w:rsid w:val="546B7217"/>
    <w:rsid w:val="54F40346"/>
    <w:rsid w:val="54F93665"/>
    <w:rsid w:val="55343CEE"/>
    <w:rsid w:val="553E7748"/>
    <w:rsid w:val="5545421D"/>
    <w:rsid w:val="5577087F"/>
    <w:rsid w:val="559E3123"/>
    <w:rsid w:val="55D36E40"/>
    <w:rsid w:val="55E4114A"/>
    <w:rsid w:val="55ED2DE8"/>
    <w:rsid w:val="562B2940"/>
    <w:rsid w:val="567966D4"/>
    <w:rsid w:val="569C18C3"/>
    <w:rsid w:val="569F7622"/>
    <w:rsid w:val="56AE7AE0"/>
    <w:rsid w:val="56B04153"/>
    <w:rsid w:val="56BA121A"/>
    <w:rsid w:val="56CA19AD"/>
    <w:rsid w:val="56F25457"/>
    <w:rsid w:val="57024E6C"/>
    <w:rsid w:val="57231E1C"/>
    <w:rsid w:val="57415BE5"/>
    <w:rsid w:val="574778ED"/>
    <w:rsid w:val="574E5B52"/>
    <w:rsid w:val="57771850"/>
    <w:rsid w:val="57A040F1"/>
    <w:rsid w:val="57B60644"/>
    <w:rsid w:val="57BF34EA"/>
    <w:rsid w:val="57C64894"/>
    <w:rsid w:val="57E64CFF"/>
    <w:rsid w:val="58087EB6"/>
    <w:rsid w:val="58124E84"/>
    <w:rsid w:val="581B2A6E"/>
    <w:rsid w:val="583649CC"/>
    <w:rsid w:val="58CC2176"/>
    <w:rsid w:val="58D42144"/>
    <w:rsid w:val="58FB57EF"/>
    <w:rsid w:val="59286829"/>
    <w:rsid w:val="59657EC8"/>
    <w:rsid w:val="5973734E"/>
    <w:rsid w:val="59D96B6D"/>
    <w:rsid w:val="5A317EC6"/>
    <w:rsid w:val="5A5C68B1"/>
    <w:rsid w:val="5A6654BD"/>
    <w:rsid w:val="5AA71CD9"/>
    <w:rsid w:val="5B326CF5"/>
    <w:rsid w:val="5B554A75"/>
    <w:rsid w:val="5B64289E"/>
    <w:rsid w:val="5B6A5BD6"/>
    <w:rsid w:val="5B6E37CA"/>
    <w:rsid w:val="5B9B5088"/>
    <w:rsid w:val="5BC170DA"/>
    <w:rsid w:val="5BCC7313"/>
    <w:rsid w:val="5BD74989"/>
    <w:rsid w:val="5BE6577E"/>
    <w:rsid w:val="5BFF21EE"/>
    <w:rsid w:val="5C150FD1"/>
    <w:rsid w:val="5C180C48"/>
    <w:rsid w:val="5C810CD2"/>
    <w:rsid w:val="5C8250F9"/>
    <w:rsid w:val="5C8A3326"/>
    <w:rsid w:val="5CD92038"/>
    <w:rsid w:val="5D0A46D1"/>
    <w:rsid w:val="5D1D2103"/>
    <w:rsid w:val="5D340A5F"/>
    <w:rsid w:val="5D477C03"/>
    <w:rsid w:val="5D6737FF"/>
    <w:rsid w:val="5D9F3867"/>
    <w:rsid w:val="5DA539AE"/>
    <w:rsid w:val="5DBC0F2E"/>
    <w:rsid w:val="5DD74850"/>
    <w:rsid w:val="5E085E20"/>
    <w:rsid w:val="5E0F54CC"/>
    <w:rsid w:val="5E16412F"/>
    <w:rsid w:val="5E811DAD"/>
    <w:rsid w:val="5EC75148"/>
    <w:rsid w:val="5F0F0A7C"/>
    <w:rsid w:val="5F2160FA"/>
    <w:rsid w:val="5F45223F"/>
    <w:rsid w:val="5F603E77"/>
    <w:rsid w:val="5F651247"/>
    <w:rsid w:val="5F68782D"/>
    <w:rsid w:val="5F766A60"/>
    <w:rsid w:val="5FA20B32"/>
    <w:rsid w:val="5FC505EA"/>
    <w:rsid w:val="6027219A"/>
    <w:rsid w:val="60464857"/>
    <w:rsid w:val="604A727B"/>
    <w:rsid w:val="60E261BB"/>
    <w:rsid w:val="60F40DB6"/>
    <w:rsid w:val="61054326"/>
    <w:rsid w:val="61434C68"/>
    <w:rsid w:val="617B49EC"/>
    <w:rsid w:val="618E557B"/>
    <w:rsid w:val="61980ACF"/>
    <w:rsid w:val="61B20D01"/>
    <w:rsid w:val="61BB33DE"/>
    <w:rsid w:val="61CE79FF"/>
    <w:rsid w:val="61D22FE6"/>
    <w:rsid w:val="62081B22"/>
    <w:rsid w:val="62156C91"/>
    <w:rsid w:val="623F2A1D"/>
    <w:rsid w:val="62440FCD"/>
    <w:rsid w:val="625C5790"/>
    <w:rsid w:val="628319E0"/>
    <w:rsid w:val="62842E07"/>
    <w:rsid w:val="6289631C"/>
    <w:rsid w:val="62B16A86"/>
    <w:rsid w:val="62E112C9"/>
    <w:rsid w:val="63051EA2"/>
    <w:rsid w:val="63413018"/>
    <w:rsid w:val="63524764"/>
    <w:rsid w:val="63555B41"/>
    <w:rsid w:val="63651D3B"/>
    <w:rsid w:val="6381361A"/>
    <w:rsid w:val="63973785"/>
    <w:rsid w:val="63AA35E5"/>
    <w:rsid w:val="640500B1"/>
    <w:rsid w:val="64256E76"/>
    <w:rsid w:val="64295FB2"/>
    <w:rsid w:val="6448570B"/>
    <w:rsid w:val="64EC03D0"/>
    <w:rsid w:val="65254322"/>
    <w:rsid w:val="6555183F"/>
    <w:rsid w:val="65685298"/>
    <w:rsid w:val="657C72E0"/>
    <w:rsid w:val="65B17977"/>
    <w:rsid w:val="65CE55FB"/>
    <w:rsid w:val="65EC1EDD"/>
    <w:rsid w:val="65F245CE"/>
    <w:rsid w:val="661655F2"/>
    <w:rsid w:val="664F0BAA"/>
    <w:rsid w:val="6672233A"/>
    <w:rsid w:val="669754EE"/>
    <w:rsid w:val="66B15644"/>
    <w:rsid w:val="66B86D4F"/>
    <w:rsid w:val="66BB73EA"/>
    <w:rsid w:val="66C27862"/>
    <w:rsid w:val="66EB3C5D"/>
    <w:rsid w:val="670B419A"/>
    <w:rsid w:val="670B7569"/>
    <w:rsid w:val="671C0C07"/>
    <w:rsid w:val="671F1466"/>
    <w:rsid w:val="673636D7"/>
    <w:rsid w:val="67574EA4"/>
    <w:rsid w:val="676B0C3F"/>
    <w:rsid w:val="67885CC3"/>
    <w:rsid w:val="678C044B"/>
    <w:rsid w:val="67902ACC"/>
    <w:rsid w:val="67A314AE"/>
    <w:rsid w:val="67CB19DD"/>
    <w:rsid w:val="67D63480"/>
    <w:rsid w:val="67DF0BDA"/>
    <w:rsid w:val="67F40BE6"/>
    <w:rsid w:val="680B6C37"/>
    <w:rsid w:val="6812398D"/>
    <w:rsid w:val="681E0E53"/>
    <w:rsid w:val="6820356C"/>
    <w:rsid w:val="682602E8"/>
    <w:rsid w:val="68270F19"/>
    <w:rsid w:val="68275527"/>
    <w:rsid w:val="68707262"/>
    <w:rsid w:val="68BF71EB"/>
    <w:rsid w:val="68D57198"/>
    <w:rsid w:val="68D6459E"/>
    <w:rsid w:val="690E42EC"/>
    <w:rsid w:val="690E665F"/>
    <w:rsid w:val="69107616"/>
    <w:rsid w:val="691D77AE"/>
    <w:rsid w:val="69451B58"/>
    <w:rsid w:val="69473741"/>
    <w:rsid w:val="69571946"/>
    <w:rsid w:val="69995094"/>
    <w:rsid w:val="69B266CF"/>
    <w:rsid w:val="69BA11F1"/>
    <w:rsid w:val="69BF475C"/>
    <w:rsid w:val="69F84D7C"/>
    <w:rsid w:val="6A0E7844"/>
    <w:rsid w:val="6A10710A"/>
    <w:rsid w:val="6A4348FA"/>
    <w:rsid w:val="6A4600B8"/>
    <w:rsid w:val="6A7451EF"/>
    <w:rsid w:val="6A7D5FD9"/>
    <w:rsid w:val="6A990BBC"/>
    <w:rsid w:val="6AA46068"/>
    <w:rsid w:val="6AAC6F34"/>
    <w:rsid w:val="6AB0407C"/>
    <w:rsid w:val="6AC01DAA"/>
    <w:rsid w:val="6AD327DE"/>
    <w:rsid w:val="6AD7012E"/>
    <w:rsid w:val="6AE1064D"/>
    <w:rsid w:val="6AF87271"/>
    <w:rsid w:val="6B004859"/>
    <w:rsid w:val="6B205423"/>
    <w:rsid w:val="6B2E47B2"/>
    <w:rsid w:val="6B505D41"/>
    <w:rsid w:val="6B737603"/>
    <w:rsid w:val="6B764F6B"/>
    <w:rsid w:val="6B8B5A5B"/>
    <w:rsid w:val="6B8E5747"/>
    <w:rsid w:val="6B9164B4"/>
    <w:rsid w:val="6BAD0556"/>
    <w:rsid w:val="6BCA19FC"/>
    <w:rsid w:val="6C4479CE"/>
    <w:rsid w:val="6C715E5C"/>
    <w:rsid w:val="6C871AC6"/>
    <w:rsid w:val="6C9526DC"/>
    <w:rsid w:val="6C9E3075"/>
    <w:rsid w:val="6CD77613"/>
    <w:rsid w:val="6D0F3644"/>
    <w:rsid w:val="6D182ED5"/>
    <w:rsid w:val="6D1F0215"/>
    <w:rsid w:val="6D2474DE"/>
    <w:rsid w:val="6D2B791A"/>
    <w:rsid w:val="6D30454A"/>
    <w:rsid w:val="6D456D83"/>
    <w:rsid w:val="6D4E09C0"/>
    <w:rsid w:val="6D4E61DF"/>
    <w:rsid w:val="6D6069A2"/>
    <w:rsid w:val="6D643E85"/>
    <w:rsid w:val="6D9176AA"/>
    <w:rsid w:val="6D9C474C"/>
    <w:rsid w:val="6DBE2870"/>
    <w:rsid w:val="6DE53009"/>
    <w:rsid w:val="6E0D003D"/>
    <w:rsid w:val="6E11623F"/>
    <w:rsid w:val="6E17259F"/>
    <w:rsid w:val="6E1D5AA5"/>
    <w:rsid w:val="6E2770E1"/>
    <w:rsid w:val="6E375600"/>
    <w:rsid w:val="6E4B1823"/>
    <w:rsid w:val="6E5311F3"/>
    <w:rsid w:val="6E62197D"/>
    <w:rsid w:val="6E8B63AB"/>
    <w:rsid w:val="6E941F36"/>
    <w:rsid w:val="6EC13E27"/>
    <w:rsid w:val="6EE2594D"/>
    <w:rsid w:val="6F1A58DF"/>
    <w:rsid w:val="6F2C3808"/>
    <w:rsid w:val="6F3605C3"/>
    <w:rsid w:val="6F3F2180"/>
    <w:rsid w:val="6F4C67B8"/>
    <w:rsid w:val="6F9112F7"/>
    <w:rsid w:val="6FB64AA7"/>
    <w:rsid w:val="6FD06242"/>
    <w:rsid w:val="6FDA54C3"/>
    <w:rsid w:val="70031D41"/>
    <w:rsid w:val="70655098"/>
    <w:rsid w:val="706B022D"/>
    <w:rsid w:val="708659D7"/>
    <w:rsid w:val="709A523B"/>
    <w:rsid w:val="70A00082"/>
    <w:rsid w:val="70A215F7"/>
    <w:rsid w:val="70EB19AF"/>
    <w:rsid w:val="710729FF"/>
    <w:rsid w:val="71172C74"/>
    <w:rsid w:val="71701BA8"/>
    <w:rsid w:val="71702C9C"/>
    <w:rsid w:val="7181234E"/>
    <w:rsid w:val="719B65D8"/>
    <w:rsid w:val="71D00435"/>
    <w:rsid w:val="71D27123"/>
    <w:rsid w:val="72124D0C"/>
    <w:rsid w:val="723922F9"/>
    <w:rsid w:val="7247042D"/>
    <w:rsid w:val="725404C4"/>
    <w:rsid w:val="7259056B"/>
    <w:rsid w:val="725A3C46"/>
    <w:rsid w:val="72794EAF"/>
    <w:rsid w:val="72A80491"/>
    <w:rsid w:val="72B21810"/>
    <w:rsid w:val="72D7181E"/>
    <w:rsid w:val="730E4301"/>
    <w:rsid w:val="73187E10"/>
    <w:rsid w:val="73230107"/>
    <w:rsid w:val="732F3AA6"/>
    <w:rsid w:val="734D07F3"/>
    <w:rsid w:val="73590060"/>
    <w:rsid w:val="735B4C45"/>
    <w:rsid w:val="73767BF1"/>
    <w:rsid w:val="73D414DD"/>
    <w:rsid w:val="73D97367"/>
    <w:rsid w:val="74060E57"/>
    <w:rsid w:val="74282A43"/>
    <w:rsid w:val="743F5E6F"/>
    <w:rsid w:val="74562C0A"/>
    <w:rsid w:val="74656696"/>
    <w:rsid w:val="749622EC"/>
    <w:rsid w:val="749F0FC7"/>
    <w:rsid w:val="74A415BD"/>
    <w:rsid w:val="74DD510A"/>
    <w:rsid w:val="74ED66EF"/>
    <w:rsid w:val="74EF2082"/>
    <w:rsid w:val="75052A59"/>
    <w:rsid w:val="75391DF5"/>
    <w:rsid w:val="75412F5B"/>
    <w:rsid w:val="754A624C"/>
    <w:rsid w:val="754F5FFE"/>
    <w:rsid w:val="759B2896"/>
    <w:rsid w:val="75DF6184"/>
    <w:rsid w:val="75F27122"/>
    <w:rsid w:val="7623625A"/>
    <w:rsid w:val="762E3A29"/>
    <w:rsid w:val="763A530F"/>
    <w:rsid w:val="763A5F4A"/>
    <w:rsid w:val="76485460"/>
    <w:rsid w:val="7650442B"/>
    <w:rsid w:val="766761D6"/>
    <w:rsid w:val="76781C97"/>
    <w:rsid w:val="76877526"/>
    <w:rsid w:val="768C0AB9"/>
    <w:rsid w:val="76BC3C33"/>
    <w:rsid w:val="76CB0E14"/>
    <w:rsid w:val="771C2BE2"/>
    <w:rsid w:val="773C5FBB"/>
    <w:rsid w:val="77420964"/>
    <w:rsid w:val="77562A54"/>
    <w:rsid w:val="7783276A"/>
    <w:rsid w:val="77A825C3"/>
    <w:rsid w:val="77B62BD8"/>
    <w:rsid w:val="77D26713"/>
    <w:rsid w:val="77E06596"/>
    <w:rsid w:val="77F57F36"/>
    <w:rsid w:val="782926BD"/>
    <w:rsid w:val="783555C4"/>
    <w:rsid w:val="78441299"/>
    <w:rsid w:val="785775A0"/>
    <w:rsid w:val="788C035B"/>
    <w:rsid w:val="789670BC"/>
    <w:rsid w:val="78A83A78"/>
    <w:rsid w:val="78B93032"/>
    <w:rsid w:val="78CE5032"/>
    <w:rsid w:val="78E05D38"/>
    <w:rsid w:val="78ED2526"/>
    <w:rsid w:val="7904378C"/>
    <w:rsid w:val="790F11E8"/>
    <w:rsid w:val="792317BD"/>
    <w:rsid w:val="794F01F9"/>
    <w:rsid w:val="79591E88"/>
    <w:rsid w:val="79614013"/>
    <w:rsid w:val="796F5654"/>
    <w:rsid w:val="79836928"/>
    <w:rsid w:val="79AA66E2"/>
    <w:rsid w:val="79D73203"/>
    <w:rsid w:val="79D77A6A"/>
    <w:rsid w:val="79DC0C97"/>
    <w:rsid w:val="79F5703E"/>
    <w:rsid w:val="7A240864"/>
    <w:rsid w:val="7A517BDE"/>
    <w:rsid w:val="7A5866A4"/>
    <w:rsid w:val="7A8B4EF0"/>
    <w:rsid w:val="7AC701DC"/>
    <w:rsid w:val="7B031CF6"/>
    <w:rsid w:val="7B0B6456"/>
    <w:rsid w:val="7B1B3E90"/>
    <w:rsid w:val="7B5070E0"/>
    <w:rsid w:val="7B51737A"/>
    <w:rsid w:val="7BB53FD6"/>
    <w:rsid w:val="7BB81A40"/>
    <w:rsid w:val="7BE20172"/>
    <w:rsid w:val="7BE701F0"/>
    <w:rsid w:val="7C274688"/>
    <w:rsid w:val="7C4E6451"/>
    <w:rsid w:val="7C5455C8"/>
    <w:rsid w:val="7C6D77B8"/>
    <w:rsid w:val="7C8C3966"/>
    <w:rsid w:val="7CAF3B1E"/>
    <w:rsid w:val="7CDB3BEB"/>
    <w:rsid w:val="7CDC74F9"/>
    <w:rsid w:val="7D021B31"/>
    <w:rsid w:val="7D272456"/>
    <w:rsid w:val="7D4D4BE0"/>
    <w:rsid w:val="7D5F76B2"/>
    <w:rsid w:val="7D6B01E9"/>
    <w:rsid w:val="7D7957D5"/>
    <w:rsid w:val="7DA63F5D"/>
    <w:rsid w:val="7DAF5324"/>
    <w:rsid w:val="7DC358F3"/>
    <w:rsid w:val="7E1F2A2B"/>
    <w:rsid w:val="7E2443C0"/>
    <w:rsid w:val="7E29630D"/>
    <w:rsid w:val="7E4379D6"/>
    <w:rsid w:val="7E61089B"/>
    <w:rsid w:val="7E962CA6"/>
    <w:rsid w:val="7ED87106"/>
    <w:rsid w:val="7EFA4ADE"/>
    <w:rsid w:val="7F356E86"/>
    <w:rsid w:val="7F4748E0"/>
    <w:rsid w:val="7FA34D64"/>
    <w:rsid w:val="7FFE1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spacing w:after="120"/>
      <w:ind w:left="420" w:leftChars="200"/>
    </w:pPr>
    <w:rPr>
      <w:lang w:val="zh-CN" w:eastAsia="zh-CN"/>
    </w:rPr>
  </w:style>
  <w:style w:type="paragraph" w:styleId="6">
    <w:name w:val="Body Text First Indent 2"/>
    <w:basedOn w:val="5"/>
    <w:qFormat/>
    <w:uiPriority w:val="0"/>
    <w:pPr>
      <w:ind w:firstLine="420" w:firstLineChars="200"/>
    </w:pPr>
  </w:style>
  <w:style w:type="paragraph" w:customStyle="1" w:styleId="9">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2024-04-02T08:31:00Z</dcterms:created>
  <dc:creator>djjladmin</dc:creator>
  <cp:lastModifiedBy>李银康</cp:lastModifiedBy>
  <dcterms:modified xsi:type="dcterms:W3CDTF">2026-02-11T08:17:01Z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7CF0D8391B17428AB74C9AD6A1077A6D</vt:lpwstr>
  </property>
</Properties>
</file>