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5"/>
        <w:ind w:right="0"/>
        <w:jc w:val="left"/>
        <w:rPr>
          <w:b/>
          <w:sz w:val="28"/>
        </w:rPr>
      </w:pPr>
      <w:bookmarkStart w:id="0" w:name="对应合同编号："/>
      <w:bookmarkEnd w:id="0"/>
      <w:r>
        <w:rPr>
          <w:b/>
          <w:sz w:val="28"/>
        </w:rPr>
        <w:t>对应合同编号：</w:t>
      </w:r>
    </w:p>
    <w:p>
      <w:pPr>
        <w:pStyle w:val="2"/>
        <w:rPr>
          <w:b/>
        </w:rPr>
      </w:pPr>
    </w:p>
    <w:p>
      <w:pPr>
        <w:pStyle w:val="2"/>
        <w:rPr>
          <w:b/>
        </w:rPr>
      </w:pPr>
    </w:p>
    <w:p>
      <w:pPr>
        <w:pStyle w:val="2"/>
        <w:rPr>
          <w:b/>
        </w:rPr>
      </w:pPr>
    </w:p>
    <w:p>
      <w:pPr>
        <w:pStyle w:val="2"/>
        <w:rPr>
          <w:b/>
        </w:rPr>
      </w:pPr>
    </w:p>
    <w:p>
      <w:pPr>
        <w:pStyle w:val="4"/>
        <w:spacing w:before="34"/>
        <w:jc w:val="both"/>
        <w:rPr>
          <w:sz w:val="36"/>
          <w:szCs w:val="36"/>
          <w:u w:val="single"/>
        </w:rPr>
      </w:pPr>
    </w:p>
    <w:p>
      <w:pPr>
        <w:pStyle w:val="4"/>
        <w:spacing w:before="34"/>
        <w:ind w:left="0" w:leftChars="0" w:firstLine="0" w:firstLineChars="0"/>
        <w:jc w:val="both"/>
        <w:rPr>
          <w:b/>
          <w:bCs/>
          <w:sz w:val="36"/>
          <w:szCs w:val="36"/>
          <w:highlight w:val="none"/>
          <w:u w:val="none"/>
        </w:rPr>
      </w:pPr>
      <w:r>
        <w:rPr>
          <w:b/>
          <w:bCs/>
          <w:sz w:val="36"/>
          <w:szCs w:val="36"/>
          <w:highlight w:val="none"/>
          <w:u w:val="none"/>
        </w:rPr>
        <w:t>2026-2027 年南方电网新能设计研究院（广东）有限公司员工企业补充医疗保险基金委托管理服务项目</w:t>
      </w:r>
    </w:p>
    <w:p>
      <w:pPr>
        <w:spacing w:before="1"/>
        <w:ind w:left="87" w:leftChars="0" w:right="1671" w:firstLine="0" w:firstLineChars="0"/>
        <w:jc w:val="both"/>
        <w:rPr>
          <w:b/>
          <w:sz w:val="44"/>
        </w:rPr>
      </w:pPr>
    </w:p>
    <w:p>
      <w:pPr>
        <w:spacing w:before="1"/>
        <w:ind w:left="3300" w:leftChars="1500" w:right="1671" w:firstLine="0" w:firstLineChars="0"/>
        <w:jc w:val="both"/>
        <w:rPr>
          <w:b/>
          <w:sz w:val="44"/>
        </w:rPr>
      </w:pPr>
      <w:r>
        <w:rPr>
          <w:b/>
          <w:sz w:val="44"/>
        </w:rPr>
        <w:t>技术规范书</w:t>
      </w:r>
    </w:p>
    <w:p>
      <w:pPr>
        <w:pStyle w:val="2"/>
        <w:rPr>
          <w:b/>
          <w:sz w:val="44"/>
        </w:rPr>
      </w:pPr>
    </w:p>
    <w:p>
      <w:pPr>
        <w:pStyle w:val="2"/>
        <w:rPr>
          <w:b/>
          <w:sz w:val="44"/>
        </w:rPr>
      </w:pPr>
    </w:p>
    <w:p>
      <w:pPr>
        <w:pStyle w:val="2"/>
        <w:rPr>
          <w:b/>
          <w:sz w:val="44"/>
        </w:rPr>
      </w:pPr>
    </w:p>
    <w:p>
      <w:pPr>
        <w:pStyle w:val="2"/>
        <w:rPr>
          <w:b/>
          <w:sz w:val="44"/>
        </w:rPr>
      </w:pPr>
    </w:p>
    <w:p>
      <w:pPr>
        <w:pStyle w:val="2"/>
        <w:rPr>
          <w:b/>
          <w:sz w:val="44"/>
        </w:rPr>
      </w:pPr>
    </w:p>
    <w:p>
      <w:pPr>
        <w:pStyle w:val="2"/>
        <w:rPr>
          <w:b/>
          <w:sz w:val="44"/>
        </w:rPr>
      </w:pPr>
    </w:p>
    <w:p>
      <w:pPr>
        <w:pStyle w:val="2"/>
        <w:rPr>
          <w:b/>
          <w:sz w:val="44"/>
        </w:rPr>
      </w:pPr>
    </w:p>
    <w:p>
      <w:pPr>
        <w:pStyle w:val="2"/>
        <w:rPr>
          <w:b/>
          <w:sz w:val="44"/>
        </w:rPr>
      </w:pPr>
    </w:p>
    <w:p>
      <w:pPr>
        <w:pStyle w:val="2"/>
        <w:spacing w:before="4"/>
        <w:rPr>
          <w:b/>
          <w:sz w:val="36"/>
        </w:rPr>
      </w:pPr>
    </w:p>
    <w:p>
      <w:pPr>
        <w:spacing w:before="0"/>
        <w:ind w:left="510" w:right="690" w:firstLine="0"/>
        <w:jc w:val="center"/>
        <w:rPr>
          <w:rFonts w:hint="eastAsia" w:ascii="黑体" w:eastAsia="黑体"/>
          <w:sz w:val="32"/>
          <w:highlight w:val="none"/>
        </w:rPr>
      </w:pPr>
      <w:r>
        <w:rPr>
          <w:b/>
          <w:bCs/>
          <w:sz w:val="36"/>
          <w:szCs w:val="36"/>
          <w:highlight w:val="none"/>
          <w:u w:val="none"/>
        </w:rPr>
        <w:t>南方电网新能设计研究院（广东）有限公司</w:t>
      </w:r>
    </w:p>
    <w:p>
      <w:pPr>
        <w:pStyle w:val="2"/>
        <w:spacing w:before="3"/>
        <w:rPr>
          <w:rFonts w:ascii="黑体"/>
          <w:sz w:val="32"/>
        </w:rPr>
      </w:pPr>
    </w:p>
    <w:p>
      <w:pPr>
        <w:spacing w:before="0"/>
        <w:ind w:left="510" w:right="915" w:firstLine="0"/>
        <w:jc w:val="center"/>
        <w:rPr>
          <w:rFonts w:hint="eastAsia" w:ascii="黑体" w:eastAsia="黑体"/>
          <w:sz w:val="32"/>
        </w:rPr>
      </w:pPr>
      <w:r>
        <w:rPr>
          <w:rFonts w:hint="eastAsia" w:ascii="黑体" w:eastAsia="黑体"/>
          <w:sz w:val="32"/>
        </w:rPr>
        <w:t>202</w:t>
      </w:r>
      <w:r>
        <w:rPr>
          <w:rFonts w:hint="eastAsia" w:ascii="黑体" w:eastAsia="黑体"/>
          <w:sz w:val="32"/>
          <w:lang w:val="en-US" w:eastAsia="zh-CN"/>
        </w:rPr>
        <w:t>6</w:t>
      </w:r>
      <w:r>
        <w:rPr>
          <w:rFonts w:hint="eastAsia" w:ascii="黑体" w:eastAsia="黑体"/>
          <w:spacing w:val="-54"/>
          <w:sz w:val="32"/>
        </w:rPr>
        <w:t xml:space="preserve"> 年 </w:t>
      </w:r>
      <w:r>
        <w:rPr>
          <w:rFonts w:hint="eastAsia" w:ascii="黑体" w:eastAsia="黑体"/>
          <w:spacing w:val="-54"/>
          <w:sz w:val="32"/>
          <w:lang w:val="en-US" w:eastAsia="zh-CN"/>
        </w:rPr>
        <w:t>2</w:t>
      </w:r>
      <w:r>
        <w:rPr>
          <w:rFonts w:hint="eastAsia" w:ascii="黑体" w:eastAsia="黑体"/>
          <w:spacing w:val="-40"/>
          <w:sz w:val="32"/>
        </w:rPr>
        <w:t xml:space="preserve"> 月</w:t>
      </w:r>
    </w:p>
    <w:p>
      <w:pPr>
        <w:spacing w:after="0"/>
        <w:jc w:val="center"/>
        <w:rPr>
          <w:rFonts w:hint="eastAsia" w:ascii="黑体" w:eastAsia="黑体"/>
          <w:sz w:val="32"/>
        </w:rPr>
        <w:sectPr>
          <w:footerReference r:id="rId5" w:type="default"/>
          <w:type w:val="continuous"/>
          <w:pgSz w:w="11910" w:h="16840"/>
          <w:pgMar w:top="1520" w:right="1400" w:bottom="1160" w:left="1580" w:header="720" w:footer="970" w:gutter="0"/>
          <w:pgNumType w:start="1"/>
          <w:cols w:space="720" w:num="1"/>
        </w:sect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18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" w:after="0" w:line="560" w:lineRule="exact"/>
        <w:ind w:left="1182" w:right="0" w:hanging="322"/>
        <w:jc w:val="left"/>
        <w:textAlignment w:val="auto"/>
        <w:rPr>
          <w:rFonts w:hint="eastAsia" w:ascii="仿宋" w:eastAsia="仿宋"/>
          <w:b/>
          <w:sz w:val="30"/>
        </w:rPr>
      </w:pPr>
      <w:r>
        <w:rPr>
          <w:b/>
          <w:sz w:val="32"/>
        </w:rPr>
        <w:t>总则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1346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7" w:after="0" w:line="560" w:lineRule="exact"/>
        <w:ind w:left="220" w:right="397" w:firstLine="559"/>
        <w:jc w:val="left"/>
        <w:textAlignment w:val="auto"/>
        <w:rPr>
          <w:sz w:val="28"/>
        </w:rPr>
      </w:pPr>
      <w:r>
        <w:rPr>
          <w:spacing w:val="-3"/>
          <w:sz w:val="28"/>
        </w:rPr>
        <w:t>本技术规范书适用于</w:t>
      </w:r>
      <w:r>
        <w:rPr>
          <w:sz w:val="28"/>
          <w:highlight w:val="none"/>
          <w:u w:val="none"/>
        </w:rPr>
        <w:t>南方电网新能设计研究院（广东）有限公司</w:t>
      </w:r>
      <w:r>
        <w:rPr>
          <w:spacing w:val="-3"/>
          <w:sz w:val="28"/>
          <w:highlight w:val="none"/>
        </w:rPr>
        <w:t xml:space="preserve"> </w:t>
      </w:r>
      <w:r>
        <w:rPr>
          <w:sz w:val="28"/>
          <w:highlight w:val="none"/>
        </w:rPr>
        <w:t>2026</w:t>
      </w:r>
      <w:r>
        <w:rPr>
          <w:rFonts w:hint="eastAsia"/>
          <w:sz w:val="28"/>
          <w:highlight w:val="none"/>
          <w:lang w:val="en-US" w:eastAsia="zh-CN"/>
        </w:rPr>
        <w:t>-2027</w:t>
      </w:r>
      <w:r>
        <w:rPr>
          <w:spacing w:val="-11"/>
          <w:sz w:val="28"/>
          <w:highlight w:val="none"/>
        </w:rPr>
        <w:t xml:space="preserve"> 年</w:t>
      </w:r>
      <w:r>
        <w:rPr>
          <w:rFonts w:hint="eastAsia"/>
          <w:spacing w:val="-11"/>
          <w:sz w:val="28"/>
          <w:highlight w:val="none"/>
          <w:lang w:val="en-US" w:eastAsia="zh-CN"/>
        </w:rPr>
        <w:t>员工</w:t>
      </w:r>
      <w:r>
        <w:rPr>
          <w:spacing w:val="-11"/>
          <w:sz w:val="28"/>
        </w:rPr>
        <w:t>企业补</w:t>
      </w:r>
      <w:r>
        <w:rPr>
          <w:spacing w:val="-5"/>
          <w:sz w:val="28"/>
        </w:rPr>
        <w:t>充医疗保险基金委托管理服务采购项目。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134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220" w:right="397" w:firstLine="559"/>
        <w:jc w:val="both"/>
        <w:textAlignment w:val="auto"/>
        <w:rPr>
          <w:sz w:val="28"/>
        </w:rPr>
      </w:pPr>
      <w:r>
        <w:rPr>
          <w:spacing w:val="-8"/>
          <w:sz w:val="28"/>
        </w:rPr>
        <w:t>本技术规范书提出的是最低限度的技术要求。凡本招标技术</w:t>
      </w:r>
      <w:r>
        <w:rPr>
          <w:spacing w:val="-10"/>
          <w:sz w:val="28"/>
        </w:rPr>
        <w:t>规范书中未规定，但在相关的行业标准、国家标准条文，服务方应按相应标准的条文执行。对国家有关安全、环保等强制性标准，必须满</w:t>
      </w:r>
      <w:r>
        <w:rPr>
          <w:spacing w:val="-4"/>
          <w:sz w:val="28"/>
        </w:rPr>
        <w:t>足其要求。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134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220" w:right="303" w:firstLine="559"/>
        <w:jc w:val="left"/>
        <w:textAlignment w:val="auto"/>
        <w:rPr>
          <w:sz w:val="28"/>
        </w:rPr>
      </w:pPr>
      <w:r>
        <w:rPr>
          <w:spacing w:val="3"/>
          <w:sz w:val="28"/>
        </w:rPr>
        <w:t>如果报价单位没有以书面形式对本技术规范书的条文提出</w:t>
      </w:r>
      <w:r>
        <w:rPr>
          <w:spacing w:val="-10"/>
          <w:sz w:val="28"/>
        </w:rPr>
        <w:t>异议，则意味着服务完全符合本技术规范书的要求。如有异议，不管</w:t>
      </w:r>
      <w:r>
        <w:rPr>
          <w:spacing w:val="-3"/>
          <w:sz w:val="28"/>
        </w:rPr>
        <w:t>是多么微小，都应以“对技术规范书的意见和同技术规范书的差异” 为标题的专门章节中加以详细描述。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1482"/>
          <w:tab w:val="left" w:pos="148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220" w:right="397" w:firstLine="559"/>
        <w:jc w:val="left"/>
        <w:textAlignment w:val="auto"/>
        <w:rPr>
          <w:sz w:val="28"/>
        </w:rPr>
      </w:pPr>
      <w:r>
        <w:rPr>
          <w:sz w:val="28"/>
        </w:rPr>
        <w:t>本技术规范书所使用的标准如遇与受委托方所执行的标准</w:t>
      </w:r>
      <w:r>
        <w:rPr>
          <w:spacing w:val="-3"/>
          <w:sz w:val="28"/>
        </w:rPr>
        <w:t>不一致时，按较高标准执行。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134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220" w:right="397" w:firstLine="559"/>
        <w:jc w:val="left"/>
        <w:textAlignment w:val="auto"/>
        <w:rPr>
          <w:sz w:val="28"/>
        </w:rPr>
      </w:pPr>
      <w:r>
        <w:rPr>
          <w:spacing w:val="-7"/>
          <w:sz w:val="28"/>
        </w:rPr>
        <w:t>本技术规范书经双方确认后作为服务合同的技术附件，与合</w:t>
      </w:r>
      <w:r>
        <w:rPr>
          <w:spacing w:val="-3"/>
          <w:sz w:val="28"/>
        </w:rPr>
        <w:t>同正文具有同等的法律效力。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134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1340" w:right="0" w:hanging="561"/>
        <w:jc w:val="left"/>
        <w:textAlignment w:val="auto"/>
        <w:rPr>
          <w:sz w:val="28"/>
        </w:rPr>
      </w:pPr>
      <w:r>
        <w:rPr>
          <w:spacing w:val="-3"/>
          <w:sz w:val="28"/>
        </w:rPr>
        <w:t>本技术规范书未尽事宜，由双方协商确定。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18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1" w:after="0" w:line="560" w:lineRule="exact"/>
        <w:ind w:left="1182" w:right="0" w:hanging="322"/>
        <w:jc w:val="left"/>
        <w:textAlignment w:val="auto"/>
        <w:rPr>
          <w:rFonts w:hint="eastAsia" w:ascii="仿宋" w:eastAsia="仿宋"/>
          <w:sz w:val="30"/>
        </w:rPr>
      </w:pPr>
      <w:r>
        <w:t>项目概况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4" w:line="560" w:lineRule="exact"/>
        <w:ind w:left="220" w:right="116" w:firstLine="559"/>
        <w:jc w:val="left"/>
        <w:textAlignment w:val="auto"/>
      </w:pPr>
      <w:r>
        <w:rPr>
          <w:spacing w:val="-9"/>
        </w:rPr>
        <w:t>为构建公司多层次的医疗保障体系，优化补充医疗保险管理模式， 提升补充医疗保险管理水平，在符合国家相关政策基础上，按照</w:t>
      </w:r>
      <w:r>
        <w:rPr>
          <w:sz w:val="28"/>
          <w:highlight w:val="none"/>
          <w:u w:val="none"/>
        </w:rPr>
        <w:t>南方电网新能设计研究院（广东）有限公司</w:t>
      </w:r>
      <w:r>
        <w:rPr>
          <w:color w:val="auto"/>
          <w:spacing w:val="-10"/>
          <w:highlight w:val="none"/>
        </w:rPr>
        <w:t>企业补充医疗</w:t>
      </w:r>
      <w:r>
        <w:rPr>
          <w:rFonts w:hint="eastAsia"/>
          <w:color w:val="auto"/>
          <w:spacing w:val="-10"/>
          <w:highlight w:val="none"/>
          <w:lang w:eastAsia="zh-CN"/>
        </w:rPr>
        <w:t>保险</w:t>
      </w:r>
      <w:r>
        <w:rPr>
          <w:color w:val="auto"/>
          <w:spacing w:val="-10"/>
          <w:highlight w:val="none"/>
        </w:rPr>
        <w:t>管理制度</w:t>
      </w:r>
      <w:r>
        <w:rPr>
          <w:spacing w:val="-10"/>
        </w:rPr>
        <w:t>，开展公司企业补充医疗保险基金委</w:t>
      </w:r>
      <w:r>
        <w:rPr>
          <w:spacing w:val="-17"/>
        </w:rPr>
        <w:t>托管理工作，由受委托方提供医疗票据收集、</w:t>
      </w:r>
      <w:r>
        <w:rPr>
          <w:rFonts w:hint="eastAsia"/>
          <w:spacing w:val="-17"/>
          <w:lang w:eastAsia="zh-CN"/>
        </w:rPr>
        <w:t>审</w:t>
      </w:r>
      <w:r>
        <w:rPr>
          <w:spacing w:val="-17"/>
        </w:rPr>
        <w:t>核、支付、资料保管、</w:t>
      </w:r>
      <w:r>
        <w:t>在线医疗等一系列服务。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18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7" w:after="0" w:line="560" w:lineRule="exact"/>
        <w:ind w:left="1182" w:right="0" w:hanging="322"/>
        <w:jc w:val="left"/>
        <w:textAlignment w:val="auto"/>
        <w:rPr>
          <w:rFonts w:hint="eastAsia" w:ascii="仿宋" w:eastAsia="仿宋"/>
          <w:sz w:val="30"/>
        </w:rPr>
      </w:pPr>
      <w:r>
        <w:t>采购范围及标的物清单</w:t>
      </w:r>
    </w:p>
    <w:tbl>
      <w:tblPr>
        <w:tblStyle w:val="5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4"/>
        <w:gridCol w:w="2197"/>
        <w:gridCol w:w="4450"/>
        <w:gridCol w:w="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24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60" w:lineRule="exact"/>
              <w:ind w:left="90" w:right="224"/>
              <w:jc w:val="center"/>
              <w:textAlignment w:val="auto"/>
              <w:rPr>
                <w:sz w:val="28"/>
              </w:rPr>
            </w:pPr>
            <w:r>
              <w:rPr>
                <w:sz w:val="28"/>
              </w:rPr>
              <w:t>序号</w:t>
            </w:r>
          </w:p>
        </w:tc>
        <w:tc>
          <w:tcPr>
            <w:tcW w:w="2197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60" w:lineRule="exact"/>
              <w:ind w:firstLine="280" w:firstLineChars="100"/>
              <w:jc w:val="both"/>
              <w:textAlignment w:val="auto"/>
              <w:rPr>
                <w:sz w:val="28"/>
              </w:rPr>
            </w:pPr>
            <w:r>
              <w:rPr>
                <w:sz w:val="28"/>
              </w:rPr>
              <w:t>服务名称</w:t>
            </w:r>
          </w:p>
        </w:tc>
        <w:tc>
          <w:tcPr>
            <w:tcW w:w="445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60" w:lineRule="exact"/>
              <w:ind w:left="1502"/>
              <w:textAlignment w:val="auto"/>
              <w:rPr>
                <w:sz w:val="28"/>
              </w:rPr>
            </w:pPr>
            <w:r>
              <w:rPr>
                <w:sz w:val="28"/>
              </w:rPr>
              <w:t>服务主要内容</w:t>
            </w:r>
          </w:p>
        </w:tc>
        <w:tc>
          <w:tcPr>
            <w:tcW w:w="951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60" w:lineRule="exact"/>
              <w:textAlignment w:val="auto"/>
              <w:rPr>
                <w:sz w:val="28"/>
              </w:rPr>
            </w:pPr>
            <w:r>
              <w:rPr>
                <w:sz w:val="28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8" w:hRule="atLeast"/>
        </w:trPr>
        <w:tc>
          <w:tcPr>
            <w:tcW w:w="924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9" w:line="560" w:lineRule="exact"/>
              <w:ind w:left="0"/>
              <w:textAlignment w:val="auto"/>
              <w:rPr>
                <w:b/>
                <w:sz w:val="34"/>
              </w:rPr>
            </w:pP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560" w:lineRule="exact"/>
              <w:ind w:left="3"/>
              <w:jc w:val="center"/>
              <w:textAlignment w:val="auto"/>
              <w:rPr>
                <w:sz w:val="28"/>
              </w:rPr>
            </w:pPr>
            <w:r>
              <w:rPr>
                <w:w w:val="100"/>
                <w:sz w:val="28"/>
              </w:rPr>
              <w:t>1</w:t>
            </w:r>
          </w:p>
        </w:tc>
        <w:tc>
          <w:tcPr>
            <w:tcW w:w="219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33" w:line="560" w:lineRule="exact"/>
              <w:jc w:val="left"/>
              <w:textAlignment w:val="auto"/>
              <w:rPr>
                <w:sz w:val="22"/>
                <w:highlight w:val="yellow"/>
              </w:rPr>
            </w:pPr>
            <w:r>
              <w:rPr>
                <w:sz w:val="22"/>
                <w:szCs w:val="22"/>
                <w:highlight w:val="none"/>
                <w:u w:val="none"/>
              </w:rPr>
              <w:t>2026-2027 年南方电网新能设计研究院（广东）有限公司员工企业补充医疗保险基金委托管理服务项目</w:t>
            </w:r>
          </w:p>
        </w:tc>
        <w:tc>
          <w:tcPr>
            <w:tcW w:w="445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71" w:line="560" w:lineRule="exact"/>
              <w:ind w:left="0" w:leftChars="0" w:right="-15" w:firstLine="0" w:firstLineChars="0"/>
              <w:jc w:val="left"/>
              <w:textAlignment w:val="auto"/>
              <w:rPr>
                <w:rFonts w:hint="default" w:eastAsia="宋体"/>
                <w:sz w:val="22"/>
                <w:highlight w:val="yellow"/>
                <w:lang w:val="en-US" w:eastAsia="zh-CN"/>
              </w:rPr>
            </w:pPr>
            <w:r>
              <w:rPr>
                <w:color w:val="auto"/>
                <w:spacing w:val="-3"/>
                <w:sz w:val="22"/>
                <w:szCs w:val="22"/>
                <w:highlight w:val="none"/>
              </w:rPr>
              <w:t>按照</w:t>
            </w:r>
            <w:r>
              <w:rPr>
                <w:sz w:val="22"/>
                <w:szCs w:val="22"/>
                <w:highlight w:val="none"/>
                <w:u w:val="none"/>
              </w:rPr>
              <w:t>南方电网新能设计研究院（广东）有限公司</w:t>
            </w:r>
            <w:r>
              <w:rPr>
                <w:color w:val="auto"/>
                <w:sz w:val="22"/>
                <w:szCs w:val="22"/>
                <w:highlight w:val="none"/>
                <w:u w:val="none"/>
              </w:rPr>
              <w:t>企业补充医疗</w:t>
            </w:r>
            <w:r>
              <w:rPr>
                <w:rFonts w:hint="eastAsia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保险</w:t>
            </w:r>
            <w:r>
              <w:rPr>
                <w:rFonts w:hint="eastAsia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管理制度，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color w:val="auto"/>
                <w:sz w:val="22"/>
                <w:szCs w:val="22"/>
                <w:highlight w:val="none"/>
                <w:lang w:val="en-US" w:eastAsia="zh-CN"/>
              </w:rPr>
              <w:t>提供零售药店购药直付、购药医疗票据的审核报销服务；提供线上线下的门诊住院医疗费用报销渠道，对员工医疗费用的合法合规合理性进行审核、报销划账、单证管理等服务，并提供相关报销报表。</w:t>
            </w:r>
          </w:p>
        </w:tc>
        <w:tc>
          <w:tcPr>
            <w:tcW w:w="951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560" w:lineRule="exact"/>
              <w:ind w:left="0"/>
              <w:textAlignment w:val="auto"/>
              <w:rPr>
                <w:rFonts w:ascii="Times New Roman"/>
                <w:sz w:val="26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textAlignment w:val="auto"/>
        <w:rPr>
          <w:b/>
          <w:sz w:val="2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479"/>
          <w:tab w:val="left" w:pos="148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19" w:after="0" w:line="560" w:lineRule="exact"/>
        <w:ind w:left="1480" w:right="0" w:hanging="620"/>
        <w:jc w:val="left"/>
        <w:textAlignment w:val="auto"/>
        <w:rPr>
          <w:b/>
          <w:sz w:val="32"/>
        </w:rPr>
      </w:pPr>
      <w:r>
        <w:rPr>
          <w:b/>
          <w:sz w:val="32"/>
        </w:rPr>
        <w:t>引用标准或执行依据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39" w:line="560" w:lineRule="exact"/>
        <w:ind w:left="220" w:right="397" w:firstLine="559"/>
        <w:jc w:val="both"/>
        <w:textAlignment w:val="auto"/>
        <w:rPr>
          <w:highlight w:val="yellow"/>
        </w:rPr>
      </w:pPr>
      <w:r>
        <w:rPr>
          <w:spacing w:val="-10"/>
        </w:rPr>
        <w:t>本项目技术条款中引用的标准、规程和规范应在本合同执行过程</w:t>
      </w:r>
      <w:r>
        <w:rPr>
          <w:spacing w:val="-11"/>
        </w:rPr>
        <w:t>中均为有效，若其中所列的标准、规程和规范进行了修订，则应执行</w:t>
      </w:r>
      <w:r>
        <w:rPr>
          <w:spacing w:val="-5"/>
        </w:rPr>
        <w:t>其最新版本，包括但不限于以下技术标准：</w:t>
      </w:r>
      <w:r>
        <w:rPr>
          <w:rFonts w:hint="eastAsia" w:ascii="宋体" w:hAnsi="宋体" w:eastAsia="宋体" w:cs="宋体"/>
          <w:spacing w:val="-3"/>
          <w:sz w:val="28"/>
          <w:highlight w:val="none"/>
        </w:rPr>
        <w:t>《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南方电网新能设计研究院（广东）有限公司企业补充医疗保险管理实施细则</w:t>
      </w:r>
      <w:r>
        <w:rPr>
          <w:rFonts w:hint="eastAsia" w:ascii="宋体" w:hAnsi="宋体" w:eastAsia="宋体" w:cs="宋体"/>
          <w:spacing w:val="-3"/>
          <w:sz w:val="28"/>
          <w:highlight w:val="none"/>
        </w:rPr>
        <w:t>》</w:t>
      </w:r>
      <w:r>
        <w:rPr>
          <w:rFonts w:hint="eastAsia" w:ascii="宋体" w:hAnsi="宋体" w:eastAsia="宋体" w:cs="宋体"/>
          <w:highlight w:val="none"/>
        </w:rPr>
        <w:t>（</w:t>
      </w:r>
      <w:bookmarkStart w:id="1" w:name="bh_2"/>
      <w:r>
        <w:rPr>
          <w:rFonts w:hint="eastAsia" w:ascii="宋体" w:hAnsi="宋体" w:eastAsia="宋体" w:cs="宋体"/>
          <w:b w:val="0"/>
          <w:bCs/>
          <w:sz w:val="28"/>
          <w:highlight w:val="none"/>
        </w:rPr>
        <w:t>Q/CSG-IIIG-</w:t>
      </w:r>
      <w:r>
        <w:rPr>
          <w:rFonts w:hint="eastAsia" w:ascii="宋体" w:hAnsi="宋体" w:eastAsia="宋体" w:cs="宋体"/>
          <w:b w:val="0"/>
          <w:bCs/>
          <w:sz w:val="28"/>
          <w:highlight w:val="none"/>
          <w:lang w:eastAsia="zh-CN"/>
        </w:rPr>
        <w:t>NEDRI</w:t>
      </w:r>
      <w:r>
        <w:rPr>
          <w:rFonts w:hint="eastAsia" w:ascii="宋体" w:hAnsi="宋体" w:eastAsia="宋体" w:cs="宋体"/>
          <w:b w:val="0"/>
          <w:bCs/>
          <w:sz w:val="28"/>
          <w:highlight w:val="none"/>
        </w:rPr>
        <w:t>311001-2024</w:t>
      </w:r>
      <w:bookmarkEnd w:id="1"/>
      <w:r>
        <w:rPr>
          <w:rFonts w:hint="eastAsia" w:ascii="宋体" w:hAnsi="宋体" w:eastAsia="宋体" w:cs="宋体"/>
          <w:b w:val="0"/>
          <w:bCs/>
          <w:sz w:val="28"/>
          <w:highlight w:val="none"/>
        </w:rPr>
        <w:t>-IIIGLN</w:t>
      </w:r>
      <w:r>
        <w:rPr>
          <w:highlight w:val="none"/>
        </w:rPr>
        <w:t>）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18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after="0" w:line="560" w:lineRule="exact"/>
        <w:ind w:left="1182" w:right="0" w:hanging="322"/>
        <w:jc w:val="left"/>
        <w:textAlignment w:val="auto"/>
        <w:rPr>
          <w:sz w:val="30"/>
        </w:rPr>
      </w:pPr>
      <w:r>
        <w:t>技术规范和指标要求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3"/>
        </w:numPr>
        <w:tabs>
          <w:tab w:val="left" w:pos="13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39" w:after="0" w:line="560" w:lineRule="exact"/>
        <w:ind w:left="1343" w:right="0" w:hanging="564"/>
        <w:jc w:val="left"/>
        <w:textAlignment w:val="auto"/>
        <w:rPr>
          <w:b/>
          <w:sz w:val="28"/>
        </w:rPr>
      </w:pPr>
      <w:bookmarkStart w:id="2" w:name="5.1 目的及范围"/>
      <w:bookmarkEnd w:id="2"/>
      <w:bookmarkStart w:id="3" w:name="5.1 目的及范围"/>
      <w:bookmarkEnd w:id="3"/>
      <w:r>
        <w:rPr>
          <w:b/>
          <w:sz w:val="28"/>
        </w:rPr>
        <w:t>目的及范围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" w:line="560" w:lineRule="exact"/>
        <w:textAlignment w:val="auto"/>
        <w:rPr>
          <w:b/>
          <w:sz w:val="2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2"/>
          <w:numId w:val="3"/>
        </w:numPr>
        <w:tabs>
          <w:tab w:val="left" w:pos="155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1554" w:right="0" w:hanging="775"/>
        <w:jc w:val="left"/>
        <w:textAlignment w:val="auto"/>
        <w:rPr>
          <w:b/>
          <w:sz w:val="28"/>
        </w:rPr>
      </w:pPr>
      <w:bookmarkStart w:id="4" w:name="5.1.1目的"/>
      <w:bookmarkEnd w:id="4"/>
      <w:bookmarkStart w:id="5" w:name="5.1.1目的"/>
      <w:bookmarkEnd w:id="5"/>
      <w:r>
        <w:rPr>
          <w:b/>
          <w:sz w:val="28"/>
        </w:rPr>
        <w:t>目的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" w:line="560" w:lineRule="exact"/>
        <w:textAlignment w:val="auto"/>
        <w:rPr>
          <w:b/>
          <w:sz w:val="20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220" w:right="116" w:firstLine="559"/>
        <w:jc w:val="left"/>
        <w:textAlignment w:val="auto"/>
      </w:pPr>
      <w:bookmarkStart w:id="6" w:name="为构建公司多层次的医疗保障体系，优化补充医疗保险管理模式，提升补充医疗保险管理水"/>
      <w:bookmarkEnd w:id="6"/>
      <w:r>
        <w:rPr>
          <w:spacing w:val="-9"/>
        </w:rPr>
        <w:t>为构建公司多层次的医疗保障体系，优化补充医疗保险管理模式， 提升补充医疗保险管理水平，在符合国家相关政策基础上，开展公司</w:t>
      </w:r>
      <w:r>
        <w:rPr>
          <w:rFonts w:hint="eastAsia"/>
          <w:spacing w:val="-9"/>
          <w:lang w:val="en-US" w:eastAsia="zh-CN"/>
        </w:rPr>
        <w:t>员工</w:t>
      </w:r>
      <w:r>
        <w:rPr>
          <w:spacing w:val="-3"/>
        </w:rPr>
        <w:t>企业补充医疗保险基金委托管理工作。</w:t>
      </w:r>
    </w:p>
    <w:p>
      <w:pPr>
        <w:pStyle w:val="8"/>
        <w:keepNext w:val="0"/>
        <w:keepLines w:val="0"/>
        <w:pageBreakBefore w:val="0"/>
        <w:widowControl w:val="0"/>
        <w:numPr>
          <w:ilvl w:val="2"/>
          <w:numId w:val="3"/>
        </w:numPr>
        <w:tabs>
          <w:tab w:val="left" w:pos="155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1554" w:right="0" w:hanging="775"/>
        <w:jc w:val="left"/>
        <w:textAlignment w:val="auto"/>
        <w:rPr>
          <w:b/>
          <w:sz w:val="20"/>
        </w:rPr>
      </w:pPr>
      <w:bookmarkStart w:id="7" w:name="5.1.2工作项目及范围"/>
      <w:bookmarkEnd w:id="7"/>
      <w:bookmarkStart w:id="8" w:name="5.1.2工作项目及范围"/>
      <w:bookmarkEnd w:id="8"/>
      <w:r>
        <w:rPr>
          <w:b/>
          <w:sz w:val="28"/>
        </w:rPr>
        <w:t>工作项目及范围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220" w:right="397" w:firstLine="559"/>
        <w:jc w:val="left"/>
        <w:textAlignment w:val="auto"/>
      </w:pPr>
      <w:bookmarkStart w:id="9" w:name="报价单位按照南网储能公司企业补充医疗管理制度，提供医疗票据收集、审核、支付、资料"/>
      <w:bookmarkEnd w:id="9"/>
      <w:r>
        <w:rPr>
          <w:spacing w:val="-8"/>
        </w:rPr>
        <w:t>报价单位</w:t>
      </w:r>
      <w:r>
        <w:rPr>
          <w:spacing w:val="-3"/>
          <w:sz w:val="28"/>
          <w:szCs w:val="28"/>
        </w:rPr>
        <w:t>按照</w:t>
      </w:r>
      <w:r>
        <w:rPr>
          <w:sz w:val="28"/>
          <w:highlight w:val="none"/>
          <w:u w:val="none"/>
        </w:rPr>
        <w:t>南方电网新能设计研究院（广东）有限公司</w:t>
      </w:r>
      <w:r>
        <w:rPr>
          <w:sz w:val="28"/>
          <w:szCs w:val="28"/>
          <w:u w:val="none"/>
        </w:rPr>
        <w:t>企业补充医疗</w:t>
      </w:r>
      <w:r>
        <w:rPr>
          <w:rFonts w:hint="eastAsia"/>
          <w:color w:val="auto"/>
          <w:sz w:val="28"/>
          <w:szCs w:val="28"/>
          <w:u w:val="none"/>
          <w:lang w:eastAsia="zh-CN"/>
        </w:rPr>
        <w:t>保险</w:t>
      </w:r>
      <w:r>
        <w:rPr>
          <w:rFonts w:hint="eastAsia"/>
          <w:sz w:val="28"/>
          <w:szCs w:val="28"/>
          <w:u w:val="none"/>
          <w:lang w:val="en-US" w:eastAsia="zh-CN"/>
        </w:rPr>
        <w:t>管理制度</w:t>
      </w:r>
      <w:r>
        <w:rPr>
          <w:spacing w:val="-8"/>
        </w:rPr>
        <w:t>，提供医疗票</w:t>
      </w:r>
      <w:r>
        <w:rPr>
          <w:spacing w:val="-3"/>
        </w:rPr>
        <w:t>据收集、审核、支付、资料保管、在线医疗等一系列服务。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220" w:right="397" w:firstLine="559"/>
        <w:textAlignment w:val="auto"/>
        <w:rPr>
          <w:sz w:val="28"/>
          <w:highlight w:val="none"/>
          <w:u w:val="none"/>
        </w:rPr>
      </w:pPr>
      <w:bookmarkStart w:id="10" w:name="委托管理服务地点为云南省。服务人员范围为云南储能公司劳动合同制员工及退休人员。"/>
      <w:bookmarkEnd w:id="10"/>
      <w:r>
        <w:rPr>
          <w:spacing w:val="-10"/>
        </w:rPr>
        <w:t>委托管理服务地点为</w:t>
      </w:r>
      <w:r>
        <w:rPr>
          <w:rFonts w:hint="eastAsia"/>
          <w:spacing w:val="-10"/>
          <w:highlight w:val="none"/>
          <w:lang w:val="en-US" w:eastAsia="zh-CN"/>
        </w:rPr>
        <w:t>广东省佛山市</w:t>
      </w:r>
      <w:r>
        <w:rPr>
          <w:spacing w:val="-10"/>
          <w:highlight w:val="none"/>
        </w:rPr>
        <w:t>。服务人员范围为</w:t>
      </w:r>
      <w:r>
        <w:rPr>
          <w:sz w:val="28"/>
          <w:highlight w:val="none"/>
          <w:u w:val="none"/>
        </w:rPr>
        <w:t>南方电网新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right="397"/>
        <w:jc w:val="both"/>
        <w:textAlignment w:val="auto"/>
      </w:pPr>
      <w:r>
        <w:rPr>
          <w:sz w:val="28"/>
          <w:highlight w:val="none"/>
          <w:u w:val="none"/>
        </w:rPr>
        <w:t>能设计研究院（广东）有限公司</w:t>
      </w:r>
      <w:r>
        <w:rPr>
          <w:spacing w:val="-10"/>
        </w:rPr>
        <w:t>劳动</w:t>
      </w:r>
      <w:r>
        <w:rPr>
          <w:spacing w:val="-4"/>
        </w:rPr>
        <w:t>合同制员工及退休人员。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4"/>
        </w:numPr>
        <w:tabs>
          <w:tab w:val="left" w:pos="12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5" w:after="0" w:line="560" w:lineRule="exact"/>
        <w:ind w:left="1273" w:right="0" w:hanging="494"/>
        <w:jc w:val="left"/>
        <w:textAlignment w:val="auto"/>
        <w:rPr>
          <w:b/>
          <w:sz w:val="20"/>
        </w:rPr>
      </w:pPr>
      <w:bookmarkStart w:id="11" w:name="5.2托管理服务要求"/>
      <w:bookmarkEnd w:id="11"/>
      <w:bookmarkStart w:id="12" w:name="5.2托管理服务要求"/>
      <w:bookmarkEnd w:id="12"/>
      <w:r>
        <w:rPr>
          <w:b/>
          <w:sz w:val="28"/>
        </w:rPr>
        <w:t>托管理服务要求</w:t>
      </w:r>
    </w:p>
    <w:p>
      <w:pPr>
        <w:pStyle w:val="8"/>
        <w:keepNext w:val="0"/>
        <w:keepLines w:val="0"/>
        <w:pageBreakBefore w:val="0"/>
        <w:widowControl w:val="0"/>
        <w:numPr>
          <w:ilvl w:val="2"/>
          <w:numId w:val="4"/>
        </w:numPr>
        <w:tabs>
          <w:tab w:val="left" w:pos="155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220" w:right="258" w:firstLine="559"/>
        <w:jc w:val="left"/>
        <w:textAlignment w:val="auto"/>
        <w:rPr>
          <w:sz w:val="28"/>
        </w:rPr>
      </w:pPr>
      <w:bookmarkStart w:id="13" w:name="5.2.1在年度限额内，提供药店购药费用的审核、报销划账服务，并对各业务环节的合"/>
      <w:bookmarkEnd w:id="13"/>
      <w:bookmarkStart w:id="14" w:name="5.2.1在年度限额内，提供药店购药费用的审核、报销划账服务，并对各业务环节的合"/>
      <w:bookmarkEnd w:id="14"/>
      <w:r>
        <w:rPr>
          <w:spacing w:val="-15"/>
          <w:sz w:val="28"/>
        </w:rPr>
        <w:t xml:space="preserve">在年度限额内，提供药店购药费用的审核、报销划账服务， </w:t>
      </w:r>
      <w:r>
        <w:rPr>
          <w:spacing w:val="-5"/>
          <w:sz w:val="28"/>
        </w:rPr>
        <w:t>并对各业务环节的合法性、合规性和真实性提供监管。</w:t>
      </w:r>
    </w:p>
    <w:p>
      <w:pPr>
        <w:pStyle w:val="8"/>
        <w:keepNext w:val="0"/>
        <w:keepLines w:val="0"/>
        <w:pageBreakBefore w:val="0"/>
        <w:widowControl w:val="0"/>
        <w:numPr>
          <w:ilvl w:val="3"/>
          <w:numId w:val="4"/>
        </w:numPr>
        <w:tabs>
          <w:tab w:val="left" w:pos="183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220" w:right="397" w:firstLine="559"/>
        <w:jc w:val="both"/>
        <w:textAlignment w:val="auto"/>
        <w:rPr>
          <w:sz w:val="28"/>
        </w:rPr>
      </w:pPr>
      <w:bookmarkStart w:id="15" w:name="5.2.1.1合作药店：向员工提供线上线下购药渠道服务，并提供购药直付功能和购药"/>
      <w:bookmarkEnd w:id="15"/>
      <w:bookmarkStart w:id="16" w:name="5.2.1.1合作药店：向员工提供线上线下购药渠道服务，并提供购药直付功能和购药"/>
      <w:bookmarkEnd w:id="16"/>
      <w:r>
        <w:rPr>
          <w:spacing w:val="-6"/>
          <w:sz w:val="28"/>
        </w:rPr>
        <w:t>合作药店：向员工提供线上线下购药渠道服务，并提供</w:t>
      </w:r>
      <w:r>
        <w:rPr>
          <w:spacing w:val="-9"/>
          <w:sz w:val="28"/>
        </w:rPr>
        <w:t>购药直付功能和购药费用的审核服务，购药费用由中标人和药店直接</w:t>
      </w:r>
      <w:r>
        <w:rPr>
          <w:spacing w:val="-4"/>
          <w:sz w:val="28"/>
        </w:rPr>
        <w:t>结算。</w:t>
      </w:r>
      <w:bookmarkStart w:id="17" w:name="5.2.1.2非合作药店：负责对员工在非合作药店购药票据的收集、审核、支付服务。"/>
      <w:bookmarkEnd w:id="17"/>
      <w:bookmarkStart w:id="18" w:name="5.2.1.2非合作药店：负责对员工在非合作药店购药票据的收集、审核、支付服务。"/>
      <w:bookmarkEnd w:id="18"/>
    </w:p>
    <w:p>
      <w:pPr>
        <w:pStyle w:val="8"/>
        <w:keepNext w:val="0"/>
        <w:keepLines w:val="0"/>
        <w:pageBreakBefore w:val="0"/>
        <w:widowControl w:val="0"/>
        <w:numPr>
          <w:ilvl w:val="3"/>
          <w:numId w:val="4"/>
        </w:numPr>
        <w:tabs>
          <w:tab w:val="left" w:pos="183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1830" w:right="0" w:hanging="1051"/>
        <w:jc w:val="left"/>
        <w:textAlignment w:val="auto"/>
      </w:pPr>
      <w:bookmarkStart w:id="19" w:name="5.2.1.3提供在线医疗服务"/>
      <w:bookmarkEnd w:id="19"/>
      <w:bookmarkStart w:id="20" w:name="5.2.1.3提供在线医疗服务"/>
      <w:bookmarkEnd w:id="20"/>
      <w:r>
        <w:rPr>
          <w:spacing w:val="-3"/>
          <w:sz w:val="28"/>
        </w:rPr>
        <w:t>提供</w:t>
      </w:r>
      <w:bookmarkStart w:id="21" w:name="提供在线医疗团队：通过APP等方式，员工在家、在办公室、在路上都可以快速咨询医生"/>
      <w:bookmarkEnd w:id="21"/>
      <w:r>
        <w:rPr>
          <w:rFonts w:hint="eastAsia"/>
          <w:spacing w:val="-3"/>
          <w:sz w:val="28"/>
          <w:lang w:eastAsia="zh-CN"/>
        </w:rPr>
        <w:t>在线查询功能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220" w:right="397" w:firstLine="559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kern w:val="2"/>
          <w:sz w:val="28"/>
          <w:szCs w:val="28"/>
          <w:highlight w:val="none"/>
          <w:lang w:val="en-US" w:eastAsia="zh-CN" w:bidi="ar-SA"/>
        </w:rPr>
      </w:pPr>
      <w:bookmarkStart w:id="22" w:name="月度数据报表：每月将汇总月度报销数据和账户信息，向公司提供月度报告。报告包含：单"/>
      <w:bookmarkEnd w:id="22"/>
      <w:bookmarkStart w:id="23" w:name="提供系统查询功能：通过APP等查询方式，随时了解基金剩余额度和员工使用情况。"/>
      <w:bookmarkEnd w:id="23"/>
      <w:r>
        <w:rPr>
          <w:rFonts w:hint="eastAsia" w:asciiTheme="minorEastAsia" w:hAnsiTheme="minorEastAsia" w:eastAsiaTheme="minorEastAsia" w:cstheme="minorEastAsia"/>
          <w:b w:val="0"/>
          <w:kern w:val="2"/>
          <w:sz w:val="28"/>
          <w:szCs w:val="28"/>
          <w:highlight w:val="none"/>
          <w:lang w:val="en-US" w:eastAsia="zh-CN" w:bidi="ar-SA"/>
        </w:rPr>
        <w:t>委托人可通过公众号、小程序、手机APP等方式，随时查询补充医疗基金账户情况，申请人可通过公众号、小程序、手机APP等方式，随时查询本人报销情况；委托人经办人可随时查询员工报销情况。如对报销情况有疑问，受托人须有专人进行复核并解答，并及时给予答复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220" w:right="397" w:firstLine="559"/>
        <w:jc w:val="both"/>
        <w:textAlignment w:val="auto"/>
      </w:pPr>
      <w:r>
        <w:rPr>
          <w:spacing w:val="-11"/>
        </w:rPr>
        <w:t>月度数据报表：每月将汇总月度报销数据和账户信息，向公司提</w:t>
      </w:r>
      <w:r>
        <w:rPr>
          <w:spacing w:val="-12"/>
        </w:rPr>
        <w:t>供月度报告。报告包含：单位报销数量、人次、金额以及团体健康保</w:t>
      </w:r>
      <w:r>
        <w:rPr>
          <w:spacing w:val="-5"/>
        </w:rPr>
        <w:t>额使用情况、团体健康保额累计缴费金额、团体健康保额余额。</w:t>
      </w:r>
    </w:p>
    <w:p>
      <w:pPr>
        <w:pStyle w:val="8"/>
        <w:keepNext w:val="0"/>
        <w:keepLines w:val="0"/>
        <w:pageBreakBefore w:val="0"/>
        <w:widowControl w:val="0"/>
        <w:numPr>
          <w:ilvl w:val="3"/>
          <w:numId w:val="4"/>
        </w:numPr>
        <w:tabs>
          <w:tab w:val="left" w:pos="183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1830" w:right="0" w:hanging="1051"/>
        <w:jc w:val="left"/>
        <w:textAlignment w:val="auto"/>
        <w:rPr>
          <w:sz w:val="20"/>
        </w:rPr>
      </w:pPr>
      <w:bookmarkStart w:id="24" w:name="5.2.1.4报销资料收集及业务咨询服务"/>
      <w:bookmarkEnd w:id="24"/>
      <w:bookmarkStart w:id="25" w:name="5.2.1.4报销资料收集及业务咨询服务"/>
      <w:bookmarkEnd w:id="25"/>
      <w:r>
        <w:rPr>
          <w:spacing w:val="-3"/>
          <w:sz w:val="28"/>
        </w:rPr>
        <w:t>报销资料收集及业务咨询服务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220" w:right="303" w:firstLine="559"/>
        <w:textAlignment w:val="auto"/>
      </w:pPr>
      <w:bookmarkStart w:id="26" w:name="每月由受托人指派服务人员上门收集报销资料并解答员工疑问，每次时间不少于半个工作日"/>
      <w:bookmarkEnd w:id="26"/>
      <w:r>
        <w:t xml:space="preserve">每月由受托人指派服务人员上门收集报销资料并解答员工疑问，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right="303"/>
        <w:jc w:val="both"/>
        <w:textAlignment w:val="auto"/>
      </w:pPr>
      <w:r>
        <w:t>每次时间不少于半个工作日，每次服务人员不少于 1 人。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220" w:right="397" w:firstLine="559"/>
        <w:textAlignment w:val="auto"/>
        <w:rPr>
          <w:spacing w:val="-10"/>
        </w:rPr>
      </w:pPr>
      <w:bookmarkStart w:id="27" w:name="5.2.2负责对门诊、住院医疗费用票据收集、审核、支付，并在约定时间内按要求提供"/>
      <w:bookmarkEnd w:id="27"/>
      <w:r>
        <w:t>5.2.2</w:t>
      </w:r>
      <w:r>
        <w:rPr>
          <w:spacing w:val="-10"/>
        </w:rPr>
        <w:t xml:space="preserve"> 负责对门诊、住院医疗费用票据收集、审核、支付，并在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right="397"/>
        <w:jc w:val="both"/>
        <w:textAlignment w:val="auto"/>
      </w:pPr>
      <w:r>
        <w:rPr>
          <w:spacing w:val="-4"/>
        </w:rPr>
        <w:t>约定时间内按要求提供对应报表。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60" w:lineRule="exact"/>
        <w:ind w:left="779" w:right="0" w:firstLine="0"/>
        <w:jc w:val="left"/>
        <w:textAlignment w:val="auto"/>
        <w:rPr>
          <w:b/>
          <w:sz w:val="28"/>
        </w:rPr>
      </w:pPr>
      <w:bookmarkStart w:id="28" w:name="5.3托管理服务审核及报销标准"/>
      <w:bookmarkEnd w:id="28"/>
      <w:r>
        <w:rPr>
          <w:b/>
          <w:sz w:val="28"/>
        </w:rPr>
        <w:t>5.3 托管理服务审核及报销标准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5" w:line="560" w:lineRule="exact"/>
        <w:ind w:firstLine="560" w:firstLineChars="200"/>
        <w:jc w:val="both"/>
        <w:textAlignment w:val="auto"/>
      </w:pPr>
      <w:bookmarkStart w:id="29" w:name="审核及报销标准在中标后提供。"/>
      <w:bookmarkEnd w:id="29"/>
      <w:r>
        <w:t>审核及报销标准在中标后提供。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3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after="0" w:line="560" w:lineRule="exact"/>
        <w:ind w:left="1343" w:right="0" w:hanging="483"/>
        <w:jc w:val="left"/>
        <w:textAlignment w:val="auto"/>
      </w:pPr>
      <w:r>
        <w:t>安全和质量、进度要求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134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after="0" w:line="560" w:lineRule="exact"/>
        <w:ind w:left="220" w:right="397" w:firstLine="559"/>
        <w:jc w:val="left"/>
        <w:textAlignment w:val="auto"/>
        <w:rPr>
          <w:color w:val="auto"/>
          <w:sz w:val="28"/>
          <w:highlight w:val="none"/>
        </w:rPr>
      </w:pPr>
      <w:r>
        <w:rPr>
          <w:color w:val="auto"/>
          <w:spacing w:val="-11"/>
          <w:sz w:val="28"/>
          <w:highlight w:val="none"/>
        </w:rPr>
        <w:t>工作的质量应当达到国家、行业</w:t>
      </w:r>
      <w:r>
        <w:rPr>
          <w:rFonts w:hint="eastAsia"/>
          <w:color w:val="auto"/>
          <w:spacing w:val="-11"/>
          <w:sz w:val="28"/>
          <w:highlight w:val="none"/>
          <w:lang w:eastAsia="zh-CN"/>
        </w:rPr>
        <w:t>、</w:t>
      </w:r>
      <w:r>
        <w:rPr>
          <w:color w:val="auto"/>
          <w:sz w:val="28"/>
          <w:highlight w:val="none"/>
          <w:u w:val="none"/>
        </w:rPr>
        <w:t>南方电网新能设计研究院（广东）有限公司</w:t>
      </w:r>
      <w:r>
        <w:rPr>
          <w:color w:val="auto"/>
          <w:spacing w:val="-11"/>
          <w:sz w:val="28"/>
          <w:highlight w:val="none"/>
        </w:rPr>
        <w:t>要求的质量</w:t>
      </w:r>
      <w:r>
        <w:rPr>
          <w:color w:val="auto"/>
          <w:spacing w:val="-6"/>
          <w:sz w:val="28"/>
          <w:highlight w:val="none"/>
        </w:rPr>
        <w:t>标准。</w:t>
      </w:r>
    </w:p>
    <w:p>
      <w:pPr>
        <w:pStyle w:val="8"/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134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220" w:right="397" w:firstLine="559"/>
        <w:jc w:val="left"/>
        <w:textAlignment w:val="auto"/>
        <w:rPr>
          <w:sz w:val="28"/>
        </w:rPr>
      </w:pPr>
      <w:r>
        <w:rPr>
          <w:spacing w:val="3"/>
          <w:sz w:val="28"/>
        </w:rPr>
        <w:t>报价单位必须按照国家及行业现行的规范和标准进行评估</w:t>
      </w:r>
      <w:r>
        <w:rPr>
          <w:spacing w:val="-3"/>
          <w:sz w:val="28"/>
        </w:rPr>
        <w:t>服务工作，保证服务的完整性、规范性、安全性满足要求。</w:t>
      </w:r>
      <w:bookmarkStart w:id="30" w:name="_GoBack"/>
      <w:bookmarkEnd w:id="30"/>
    </w:p>
    <w:sectPr>
      <w:pgSz w:w="11910" w:h="16840"/>
      <w:pgMar w:top="1520" w:right="1400" w:bottom="1160" w:left="1580" w:header="0" w:footer="97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3724910</wp:posOffset>
              </wp:positionH>
              <wp:positionV relativeFrom="page">
                <wp:posOffset>9935845</wp:posOffset>
              </wp:positionV>
              <wp:extent cx="109220" cy="1397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2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203" w:lineRule="exact"/>
                            <w:ind w:left="40" w:right="0" w:firstLine="0"/>
                            <w:jc w:val="left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left:293.3pt;margin-top:782.35pt;height:11pt;width:8.6pt;mso-position-horizontal-relative:page;mso-position-vertical-relative:page;z-index:-251657216;mso-width-relative:page;mso-height-relative:page;" filled="f" stroked="f" coordsize="21600,21600" o:gfxdata="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952H22gAAAA0BAAAPAAAAAAAAAAEAIAAAACIAAABkcnMvZG93bnJldi54bWxQ&#10;SwECFAAUAAAACACHTuJAH2UUuLwBAAB0AwAADgAAAAAAAAABACAAAAAp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203" w:lineRule="exact"/>
                      <w:ind w:left="40" w:right="0" w:firstLine="0"/>
                      <w:jc w:val="left"/>
                      <w:rPr>
                        <w:rFonts w:ascii="Calibri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1"/>
      <w:numFmt w:val="decimal"/>
      <w:lvlText w:val="%1"/>
      <w:lvlJc w:val="left"/>
      <w:pPr>
        <w:ind w:left="220" w:hanging="567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220" w:hanging="567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1961" w:hanging="56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831" w:hanging="56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702" w:hanging="56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573" w:hanging="56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443" w:hanging="56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314" w:hanging="56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184" w:hanging="567"/>
      </w:pPr>
      <w:rPr>
        <w:rFonts w:hint="default"/>
      </w:rPr>
    </w:lvl>
  </w:abstractNum>
  <w:abstractNum w:abstractNumId="1">
    <w:nsid w:val="03D62ECE"/>
    <w:multiLevelType w:val="multilevel"/>
    <w:tmpl w:val="03D62ECE"/>
    <w:lvl w:ilvl="0" w:tentative="0">
      <w:start w:val="5"/>
      <w:numFmt w:val="decimal"/>
      <w:lvlText w:val="%1"/>
      <w:lvlJc w:val="left"/>
      <w:pPr>
        <w:ind w:left="1343" w:hanging="564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343" w:hanging="564"/>
        <w:jc w:val="left"/>
      </w:pPr>
      <w:rPr>
        <w:rFonts w:hint="default" w:ascii="宋体" w:hAnsi="宋体" w:eastAsia="宋体" w:cs="宋体"/>
        <w:b/>
        <w:bCs/>
        <w:spacing w:val="0"/>
        <w:w w:val="99"/>
        <w:sz w:val="28"/>
        <w:szCs w:val="28"/>
      </w:rPr>
    </w:lvl>
    <w:lvl w:ilvl="2" w:tentative="0">
      <w:start w:val="1"/>
      <w:numFmt w:val="decimal"/>
      <w:lvlText w:val="%1.%2.%3"/>
      <w:lvlJc w:val="left"/>
      <w:pPr>
        <w:ind w:left="1554" w:hanging="776"/>
        <w:jc w:val="left"/>
      </w:pPr>
      <w:rPr>
        <w:rFonts w:hint="default" w:ascii="宋体" w:hAnsi="宋体" w:eastAsia="宋体" w:cs="宋体"/>
        <w:b/>
        <w:bCs/>
        <w:spacing w:val="0"/>
        <w:w w:val="99"/>
        <w:sz w:val="28"/>
        <w:szCs w:val="28"/>
      </w:rPr>
    </w:lvl>
    <w:lvl w:ilvl="3" w:tentative="0">
      <w:start w:val="0"/>
      <w:numFmt w:val="bullet"/>
      <w:lvlText w:val="•"/>
      <w:lvlJc w:val="left"/>
      <w:pPr>
        <w:ind w:left="3196" w:hanging="776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015" w:hanging="776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833" w:hanging="776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652" w:hanging="776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470" w:hanging="776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289" w:hanging="776"/>
      </w:pPr>
      <w:rPr>
        <w:rFonts w:hint="default"/>
      </w:rPr>
    </w:lvl>
  </w:abstractNum>
  <w:abstractNum w:abstractNumId="2">
    <w:nsid w:val="25B654F3"/>
    <w:multiLevelType w:val="multilevel"/>
    <w:tmpl w:val="25B654F3"/>
    <w:lvl w:ilvl="0" w:tentative="0">
      <w:start w:val="5"/>
      <w:numFmt w:val="decimal"/>
      <w:lvlText w:val="%1"/>
      <w:lvlJc w:val="left"/>
      <w:pPr>
        <w:ind w:left="1273" w:hanging="495"/>
        <w:jc w:val="left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ind w:left="1273" w:hanging="495"/>
        <w:jc w:val="left"/>
      </w:pPr>
      <w:rPr>
        <w:rFonts w:hint="default" w:ascii="宋体" w:hAnsi="宋体" w:eastAsia="宋体" w:cs="宋体"/>
        <w:b/>
        <w:bCs/>
        <w:spacing w:val="0"/>
        <w:w w:val="99"/>
        <w:sz w:val="28"/>
        <w:szCs w:val="28"/>
      </w:rPr>
    </w:lvl>
    <w:lvl w:ilvl="2" w:tentative="0">
      <w:start w:val="1"/>
      <w:numFmt w:val="decimal"/>
      <w:lvlText w:val="%1.%2.%3"/>
      <w:lvlJc w:val="left"/>
      <w:pPr>
        <w:ind w:left="220" w:hanging="771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</w:rPr>
    </w:lvl>
    <w:lvl w:ilvl="3" w:tentative="0">
      <w:start w:val="1"/>
      <w:numFmt w:val="decimal"/>
      <w:lvlText w:val="%1.%2.%3.%4"/>
      <w:lvlJc w:val="left"/>
      <w:pPr>
        <w:ind w:left="220" w:hanging="1052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</w:rPr>
    </w:lvl>
    <w:lvl w:ilvl="4" w:tentative="0">
      <w:start w:val="0"/>
      <w:numFmt w:val="bullet"/>
      <w:lvlText w:val="•"/>
      <w:lvlJc w:val="left"/>
      <w:pPr>
        <w:ind w:left="3828" w:hanging="1052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678" w:hanging="1052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527" w:hanging="1052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377" w:hanging="1052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226" w:hanging="1052"/>
      </w:pPr>
      <w:rPr>
        <w:rFonts w:hint="default"/>
      </w:r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1182" w:hanging="322"/>
        <w:jc w:val="left"/>
      </w:pPr>
      <w:rPr>
        <w:rFonts w:hint="default"/>
        <w:b/>
        <w:bCs/>
        <w:spacing w:val="1"/>
        <w:w w:val="98"/>
      </w:rPr>
    </w:lvl>
    <w:lvl w:ilvl="1" w:tentative="0">
      <w:start w:val="0"/>
      <w:numFmt w:val="bullet"/>
      <w:lvlText w:val="•"/>
      <w:lvlJc w:val="left"/>
      <w:pPr>
        <w:ind w:left="1954" w:hanging="322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729" w:hanging="322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503" w:hanging="322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278" w:hanging="322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053" w:hanging="322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827" w:hanging="322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602" w:hanging="322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376" w:hanging="322"/>
      </w:pPr>
      <w:rPr>
        <w:rFonts w:hint="default"/>
      </w:rPr>
    </w:lvl>
  </w:abstractNum>
  <w:abstractNum w:abstractNumId="4">
    <w:nsid w:val="72183CF9"/>
    <w:multiLevelType w:val="multilevel"/>
    <w:tmpl w:val="72183CF9"/>
    <w:lvl w:ilvl="0" w:tentative="0">
      <w:start w:val="6"/>
      <w:numFmt w:val="decimal"/>
      <w:lvlText w:val="%1"/>
      <w:lvlJc w:val="left"/>
      <w:pPr>
        <w:ind w:left="220" w:hanging="562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220" w:hanging="562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1961" w:hanging="562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831" w:hanging="562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702" w:hanging="562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573" w:hanging="562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443" w:hanging="562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314" w:hanging="562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184" w:hanging="562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BC7E2E"/>
    <w:rsid w:val="03E6403B"/>
    <w:rsid w:val="052567AE"/>
    <w:rsid w:val="08EA2FAE"/>
    <w:rsid w:val="0BE44BE5"/>
    <w:rsid w:val="0F33217A"/>
    <w:rsid w:val="112B2239"/>
    <w:rsid w:val="16367995"/>
    <w:rsid w:val="192D5E8B"/>
    <w:rsid w:val="1C15076E"/>
    <w:rsid w:val="210B3144"/>
    <w:rsid w:val="227C081B"/>
    <w:rsid w:val="2543678B"/>
    <w:rsid w:val="25602D5E"/>
    <w:rsid w:val="288E4AB4"/>
    <w:rsid w:val="2B6B45C8"/>
    <w:rsid w:val="2D017EE1"/>
    <w:rsid w:val="2D6233DC"/>
    <w:rsid w:val="2DC12F01"/>
    <w:rsid w:val="31705E8F"/>
    <w:rsid w:val="32B85544"/>
    <w:rsid w:val="342F05A9"/>
    <w:rsid w:val="37A543D8"/>
    <w:rsid w:val="39214CD7"/>
    <w:rsid w:val="395E11AB"/>
    <w:rsid w:val="3991763B"/>
    <w:rsid w:val="417B33E8"/>
    <w:rsid w:val="440C6287"/>
    <w:rsid w:val="445676AA"/>
    <w:rsid w:val="48561487"/>
    <w:rsid w:val="4A1C7526"/>
    <w:rsid w:val="510F4A72"/>
    <w:rsid w:val="5897698C"/>
    <w:rsid w:val="599C4B94"/>
    <w:rsid w:val="59C95605"/>
    <w:rsid w:val="5CDC7453"/>
    <w:rsid w:val="5FD05BFF"/>
    <w:rsid w:val="608B682E"/>
    <w:rsid w:val="641A130C"/>
    <w:rsid w:val="6B686544"/>
    <w:rsid w:val="6DD51B70"/>
    <w:rsid w:val="76315E80"/>
    <w:rsid w:val="777F5C59"/>
    <w:rsid w:val="77950BDE"/>
    <w:rsid w:val="789C3515"/>
    <w:rsid w:val="7A9B479F"/>
    <w:rsid w:val="7D5A5BB5"/>
    <w:rsid w:val="7DB87E23"/>
    <w:rsid w:val="7FE726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4">
    <w:name w:val="heading 1"/>
    <w:basedOn w:val="1"/>
    <w:next w:val="1"/>
    <w:qFormat/>
    <w:uiPriority w:val="1"/>
    <w:pPr>
      <w:spacing w:before="240"/>
      <w:ind w:left="1182" w:hanging="322"/>
      <w:outlineLvl w:val="1"/>
    </w:pPr>
    <w:rPr>
      <w:rFonts w:ascii="宋体" w:hAnsi="宋体" w:eastAsia="宋体" w:cs="宋体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1"/>
    <w:rPr>
      <w:rFonts w:ascii="宋体" w:hAnsi="宋体" w:eastAsia="宋体" w:cs="宋体"/>
      <w:sz w:val="28"/>
      <w:szCs w:val="28"/>
    </w:rPr>
  </w:style>
  <w:style w:type="paragraph" w:styleId="3">
    <w:name w:val="Title"/>
    <w:basedOn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220" w:firstLine="559"/>
    </w:pPr>
    <w:rPr>
      <w:rFonts w:ascii="宋体" w:hAnsi="宋体" w:eastAsia="宋体" w:cs="宋体"/>
    </w:rPr>
  </w:style>
  <w:style w:type="paragraph" w:customStyle="1" w:styleId="9">
    <w:name w:val="Table Paragraph"/>
    <w:basedOn w:val="1"/>
    <w:qFormat/>
    <w:uiPriority w:val="1"/>
    <w:pPr>
      <w:spacing w:before="133"/>
      <w:ind w:left="107"/>
    </w:pPr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1582</Words>
  <Characters>1640</Characters>
  <TotalTime>9</TotalTime>
  <ScaleCrop>false</ScaleCrop>
  <LinksUpToDate>false</LinksUpToDate>
  <CharactersWithSpaces>1658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2026-02-10T09:26:00Z</dcterms:created>
  <dc:creator>邹兴德</dc:creator>
  <cp:lastModifiedBy>高椿桄</cp:lastModifiedBy>
  <dcterms:modified xsi:type="dcterms:W3CDTF">2026-02-25T00:26:04Z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2024-07-18T00:00:00Z</vt:filetime>
  </property>
  <property fmtid="{D5CDD505-2E9C-101B-9397-08002B2CF9AE}" pid="3" name="Creator">
    <vt:lpwstr>WorkPDF文档处理器 V5.00</vt:lpwstr>
  </property>
  <property fmtid="{D5CDD505-2E9C-101B-9397-08002B2CF9AE}" pid="4" name="LastSaved">
    <vt:filetime>2026-02-10T00:00:00Z</vt:filetime>
  </property>
  <property fmtid="{D5CDD505-2E9C-101B-9397-08002B2CF9AE}" pid="5" name="KSOProductBuildVer">
    <vt:lpwstr>2052-11.8.2.12309</vt:lpwstr>
  </property>
  <property fmtid="{D5CDD505-2E9C-101B-9397-08002B2CF9AE}" pid="6" name="ICV">
    <vt:lpwstr>3FF9E01D00CD448B9A0E843FAE5CE441_13</vt:lpwstr>
  </property>
  <property fmtid="{D5CDD505-2E9C-101B-9397-08002B2CF9AE}" pid="7" name="KSOTemplateDocerSaveRecord">
    <vt:lpwstr>eyJoZGlkIjoiZjA1NDZiNDBmMDM3M2MwMmFlNWU3ZmI3MmUxMDVlZmIiLCJ1c2VySWQiOiI0MTQ0ODYxODEifQ==</vt:lpwstr>
  </property>
</Properties>
</file>