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r>
        <w:rPr>
          <w:rFonts w:hint="eastAsia"/>
        </w:rPr>
        <w:t>云南电力试验研究院（集团）有限公司检验检测事业部绝缘油介电强度测试仪校准装置修理服务专项采购（零星采购）</w:t>
      </w:r>
    </w:p>
    <w:p>
      <w:pPr>
        <w:pStyle w:val="2"/>
        <w:jc w:val="center"/>
      </w:pPr>
      <w:r>
        <w:rPr>
          <w:rFonts w:hint="eastAsia"/>
        </w:rPr>
        <w:t>技术规范书</w:t>
      </w:r>
    </w:p>
    <w:p>
      <w:pPr>
        <w:spacing w:line="360" w:lineRule="auto"/>
        <w:rPr>
          <w:rFonts w:ascii="仿宋" w:hAnsi="仿宋" w:eastAsia="仿宋" w:cs="仿宋"/>
          <w:b/>
          <w:bCs/>
          <w:szCs w:val="21"/>
        </w:rPr>
      </w:pPr>
      <w:bookmarkStart w:id="0" w:name="_Toc441159752"/>
      <w:bookmarkEnd w:id="0"/>
      <w:r>
        <w:rPr>
          <w:rFonts w:hint="eastAsia" w:ascii="仿宋" w:hAnsi="仿宋" w:eastAsia="仿宋" w:cs="仿宋"/>
          <w:b/>
          <w:bCs/>
          <w:szCs w:val="21"/>
        </w:rPr>
        <w:t>一.项目概要</w:t>
      </w:r>
    </w:p>
    <w:p>
      <w:pPr>
        <w:pStyle w:val="10"/>
        <w:adjustRightInd w:val="0"/>
        <w:snapToGrid w:val="0"/>
        <w:spacing w:after="0" w:line="360" w:lineRule="auto"/>
        <w:ind w:firstLine="420" w:firstLineChars="200"/>
        <w:rPr>
          <w:rFonts w:ascii="仿宋" w:hAnsi="仿宋" w:eastAsia="仿宋" w:cs="仿宋"/>
          <w:szCs w:val="21"/>
        </w:rPr>
      </w:pPr>
      <w:r>
        <w:rPr>
          <w:rFonts w:hint="eastAsia" w:ascii="仿宋" w:hAnsi="仿宋" w:eastAsia="仿宋" w:cs="仿宋"/>
          <w:szCs w:val="21"/>
        </w:rPr>
        <w:t>申请修理的绝缘油介电强度测试仪校准装置主要用于实验室绝缘油介电强度测试仪的校准，因设备异常，现需要对标准装置的击穿箱，分压器，工控机，触摸屏及原版软件进行修理，更换，调试，并进行设备送检。</w:t>
      </w:r>
    </w:p>
    <w:p>
      <w:pPr>
        <w:numPr>
          <w:ilvl w:val="0"/>
          <w:numId w:val="1"/>
        </w:numPr>
        <w:spacing w:line="360" w:lineRule="auto"/>
        <w:rPr>
          <w:rFonts w:ascii="仿宋" w:hAnsi="仿宋" w:eastAsia="仿宋" w:cs="仿宋"/>
          <w:b/>
          <w:bCs/>
          <w:szCs w:val="21"/>
        </w:rPr>
      </w:pPr>
      <w:r>
        <w:rPr>
          <w:rFonts w:hint="eastAsia" w:ascii="仿宋" w:hAnsi="仿宋" w:eastAsia="仿宋" w:cs="仿宋"/>
          <w:b/>
          <w:bCs/>
          <w:szCs w:val="21"/>
        </w:rPr>
        <w:t>项目范围</w:t>
      </w:r>
    </w:p>
    <w:p>
      <w:pPr>
        <w:pStyle w:val="12"/>
        <w:spacing w:line="360" w:lineRule="auto"/>
        <w:ind w:firstLine="420"/>
        <w:jc w:val="both"/>
        <w:rPr>
          <w:rFonts w:ascii="仿宋" w:hAnsi="仿宋" w:eastAsia="仿宋" w:cs="仿宋"/>
          <w:sz w:val="21"/>
          <w:szCs w:val="21"/>
        </w:rPr>
      </w:pPr>
      <w:r>
        <w:rPr>
          <w:rFonts w:hint="eastAsia" w:ascii="仿宋" w:hAnsi="仿宋" w:eastAsia="仿宋" w:cs="仿宋"/>
          <w:sz w:val="21"/>
          <w:szCs w:val="21"/>
        </w:rPr>
        <w:t>本次维修的内容为武汉市华英电力科技有限公司生产的</w:t>
      </w:r>
      <w:r>
        <w:rPr>
          <w:rFonts w:hint="eastAsia" w:ascii="仿宋" w:hAnsi="仿宋" w:eastAsia="仿宋" w:cs="仿宋"/>
          <w:szCs w:val="21"/>
        </w:rPr>
        <w:t>绝缘油介电强度测试仪校准装置</w:t>
      </w:r>
      <w:r>
        <w:rPr>
          <w:rFonts w:hint="eastAsia" w:ascii="仿宋" w:hAnsi="仿宋" w:eastAsia="仿宋" w:cs="仿宋"/>
          <w:sz w:val="21"/>
          <w:szCs w:val="21"/>
        </w:rPr>
        <w:t>，因设备主机及击穿箱部分损坏，导致设备无法正常开机和使用，在进行年度标准器具溯源时发现，导致校准装置未能通过年度的计量溯源标定，经过与专业技术人员沟通分析，判断故障原因是击穿箱破损，工控机故障，液晶屏老化严重，分压器绝缘失效，原版软件无法正常运行，部分附件遗失等，需要对其进行维修和部件更换。</w:t>
      </w:r>
    </w:p>
    <w:p>
      <w:pPr>
        <w:spacing w:line="360" w:lineRule="auto"/>
        <w:rPr>
          <w:rFonts w:ascii="仿宋" w:hAnsi="仿宋" w:eastAsia="仿宋" w:cs="仿宋"/>
          <w:b/>
          <w:bCs/>
          <w:szCs w:val="21"/>
        </w:rPr>
      </w:pPr>
      <w:r>
        <w:rPr>
          <w:rFonts w:hint="eastAsia" w:ascii="仿宋" w:hAnsi="仿宋" w:eastAsia="仿宋" w:cs="仿宋"/>
          <w:b/>
          <w:bCs/>
          <w:szCs w:val="21"/>
        </w:rPr>
        <w:t>三.项目技术要求</w:t>
      </w:r>
    </w:p>
    <w:p>
      <w:pPr>
        <w:spacing w:line="360" w:lineRule="auto"/>
        <w:ind w:left="316" w:hanging="316" w:hangingChars="150"/>
        <w:rPr>
          <w:rFonts w:ascii="仿宋" w:hAnsi="仿宋" w:eastAsia="仿宋" w:cs="仿宋"/>
          <w:b/>
          <w:bCs/>
          <w:szCs w:val="21"/>
        </w:rPr>
      </w:pPr>
      <w:r>
        <w:rPr>
          <w:rFonts w:hint="eastAsia" w:ascii="仿宋" w:hAnsi="仿宋" w:eastAsia="仿宋" w:cs="仿宋"/>
          <w:b/>
          <w:bCs/>
          <w:szCs w:val="21"/>
        </w:rPr>
        <w:t>3.1绝缘油介电强度测试仪校准装置维修后达到的效果</w:t>
      </w:r>
    </w:p>
    <w:p>
      <w:pPr>
        <w:pStyle w:val="7"/>
        <w:spacing w:line="360" w:lineRule="exact"/>
        <w:rPr>
          <w:rFonts w:ascii="仿宋" w:hAnsi="仿宋" w:eastAsia="仿宋" w:cs="仿宋"/>
          <w:szCs w:val="21"/>
        </w:rPr>
      </w:pPr>
      <w:r>
        <w:rPr>
          <w:rFonts w:hint="eastAsia" w:ascii="仿宋" w:hAnsi="仿宋" w:eastAsia="仿宋" w:cs="仿宋"/>
          <w:szCs w:val="21"/>
        </w:rPr>
        <w:t>更换及维修绝缘油介电强度测试仪校准装置击穿箱，分压器，工控机，液晶屏，电路板及附件等，并对更换及维修后的绝缘油介电强度测试仪校准装置进行计量标定调整，确保维修后设备软件运行正常，采用主动击穿方式在指定点构造击穿条件，检测被试品的击穿电压读数误差。仪器可以完成对绝缘油介电强度测试仪的击穿电压，升压速率和波形畸变等性能参数检测，自动给出检测结果报告，该装置以绝缘油介电强度测试仪击穿瞬间的电压作为检测依据，计算仪器的误差。技术指标满足10kV～100kV测量误差小于0.2%RDG+0.04kv，升压速率测量误差小于0.5%，时间读数分辨率39us，供电电源AC220V±10% 50Hz，最高测量电压：100kV（-50kV～50kV，未连接击穿控制箱），最高击穿电压：80kV，分压器电容值10pF，最高测量电压50kV（50Hz/60Hz），击穿控制箱允许最大输入电压80kV。</w:t>
      </w:r>
    </w:p>
    <w:p>
      <w:pPr>
        <w:pStyle w:val="11"/>
        <w:spacing w:line="360" w:lineRule="auto"/>
        <w:ind w:left="0" w:leftChars="0" w:firstLine="0" w:firstLineChars="0"/>
        <w:rPr>
          <w:rFonts w:ascii="仿宋" w:hAnsi="仿宋" w:eastAsia="仿宋" w:cs="仿宋"/>
          <w:b/>
          <w:bCs/>
          <w:szCs w:val="21"/>
        </w:rPr>
      </w:pPr>
      <w:r>
        <w:rPr>
          <w:rFonts w:hint="eastAsia" w:ascii="仿宋" w:hAnsi="仿宋" w:eastAsia="仿宋" w:cs="仿宋"/>
          <w:b/>
          <w:bCs/>
          <w:szCs w:val="21"/>
        </w:rPr>
        <w:t>3.2项目进度要求</w:t>
      </w:r>
    </w:p>
    <w:tbl>
      <w:tblPr>
        <w:tblStyle w:val="1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4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shd w:val="clear" w:color="auto" w:fill="D9D9D9"/>
            <w:vAlign w:val="center"/>
          </w:tcPr>
          <w:p>
            <w:pPr>
              <w:pStyle w:val="16"/>
              <w:adjustRightInd/>
              <w:snapToGrid/>
              <w:spacing w:line="360" w:lineRule="auto"/>
              <w:ind w:firstLine="0" w:firstLineChars="0"/>
              <w:jc w:val="center"/>
              <w:rPr>
                <w:rFonts w:ascii="仿宋" w:hAnsi="仿宋" w:eastAsia="仿宋" w:cs="仿宋"/>
                <w:b/>
                <w:szCs w:val="21"/>
              </w:rPr>
            </w:pPr>
            <w:r>
              <w:rPr>
                <w:rFonts w:hint="eastAsia" w:ascii="仿宋" w:hAnsi="仿宋" w:eastAsia="仿宋" w:cs="仿宋"/>
                <w:b/>
                <w:szCs w:val="21"/>
              </w:rPr>
              <w:t>时间</w:t>
            </w:r>
          </w:p>
        </w:tc>
        <w:tc>
          <w:tcPr>
            <w:tcW w:w="4411" w:type="dxa"/>
            <w:shd w:val="clear" w:color="auto" w:fill="D9D9D9"/>
            <w:vAlign w:val="center"/>
          </w:tcPr>
          <w:p>
            <w:pPr>
              <w:pStyle w:val="16"/>
              <w:adjustRightInd/>
              <w:snapToGrid/>
              <w:spacing w:line="360" w:lineRule="auto"/>
              <w:ind w:firstLine="0" w:firstLineChars="0"/>
              <w:jc w:val="center"/>
              <w:rPr>
                <w:rFonts w:ascii="仿宋" w:hAnsi="仿宋" w:eastAsia="仿宋" w:cs="仿宋"/>
                <w:b/>
                <w:szCs w:val="21"/>
              </w:rPr>
            </w:pPr>
            <w:r>
              <w:rPr>
                <w:rFonts w:hint="eastAsia" w:ascii="仿宋" w:hAnsi="仿宋" w:eastAsia="仿宋" w:cs="仿宋"/>
                <w:b/>
                <w:szCs w:val="21"/>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111" w:type="dxa"/>
            <w:vAlign w:val="center"/>
          </w:tcPr>
          <w:p>
            <w:pPr>
              <w:pStyle w:val="16"/>
              <w:adjustRightInd/>
              <w:snapToGrid/>
              <w:spacing w:line="360" w:lineRule="auto"/>
              <w:ind w:firstLine="0" w:firstLineChars="0"/>
              <w:jc w:val="center"/>
              <w:rPr>
                <w:rFonts w:ascii="仿宋" w:hAnsi="仿宋" w:eastAsia="仿宋" w:cs="仿宋"/>
                <w:szCs w:val="21"/>
              </w:rPr>
            </w:pPr>
            <w:bookmarkStart w:id="2" w:name="_GoBack"/>
            <w:r>
              <w:rPr>
                <w:rFonts w:hint="eastAsia" w:ascii="仿宋" w:hAnsi="仿宋" w:eastAsia="仿宋" w:cs="仿宋"/>
                <w:kern w:val="0"/>
                <w:szCs w:val="21"/>
              </w:rPr>
              <w:t>自中标通知书发出之日起</w:t>
            </w:r>
            <w:r>
              <w:rPr>
                <w:rFonts w:hint="eastAsia" w:ascii="仿宋" w:hAnsi="仿宋" w:eastAsia="仿宋" w:cs="仿宋"/>
                <w:szCs w:val="21"/>
              </w:rPr>
              <w:t>30天内</w:t>
            </w:r>
            <w:bookmarkEnd w:id="2"/>
          </w:p>
        </w:tc>
        <w:tc>
          <w:tcPr>
            <w:tcW w:w="4411" w:type="dxa"/>
            <w:vAlign w:val="center"/>
          </w:tcPr>
          <w:p>
            <w:pPr>
              <w:pStyle w:val="16"/>
              <w:adjustRightInd/>
              <w:snapToGrid/>
              <w:spacing w:line="360" w:lineRule="auto"/>
              <w:ind w:firstLine="0" w:firstLineChars="0"/>
              <w:jc w:val="center"/>
              <w:rPr>
                <w:rFonts w:ascii="仿宋" w:hAnsi="仿宋" w:eastAsia="仿宋" w:cs="仿宋"/>
                <w:szCs w:val="21"/>
              </w:rPr>
            </w:pPr>
            <w:r>
              <w:rPr>
                <w:rFonts w:hint="eastAsia" w:ascii="仿宋" w:hAnsi="仿宋" w:eastAsia="仿宋" w:cs="仿宋"/>
                <w:szCs w:val="21"/>
              </w:rPr>
              <w:t>修理、送检</w:t>
            </w:r>
          </w:p>
        </w:tc>
      </w:tr>
    </w:tbl>
    <w:p>
      <w:pPr>
        <w:spacing w:line="360" w:lineRule="auto"/>
        <w:rPr>
          <w:rFonts w:ascii="仿宋" w:hAnsi="仿宋" w:eastAsia="仿宋" w:cs="仿宋"/>
          <w:b/>
          <w:bCs/>
          <w:szCs w:val="21"/>
        </w:rPr>
      </w:pPr>
      <w:r>
        <w:rPr>
          <w:rFonts w:hint="eastAsia" w:ascii="仿宋" w:hAnsi="仿宋" w:eastAsia="仿宋" w:cs="仿宋"/>
          <w:b/>
          <w:bCs/>
          <w:szCs w:val="21"/>
        </w:rPr>
        <w:t>四.设备要求</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b/>
          <w:bCs/>
          <w:kern w:val="0"/>
          <w:szCs w:val="21"/>
        </w:rPr>
        <w:t>4.1 包装方式和要求：</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4.1.1 所有部件经妥善包装或装箱后, 在运输过程中尚应采取其它防护措施, 以免散失损坏或被盗。</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4.1.2在包装箱外应标明需方的订货号、发货号。</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4.1.3各种包装应能确保各零部件在运输过程中不致遭到损坏、丢失、变形、受潮和腐蚀。</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4.1.4包装箱上应有明显的包装储运图示标志(按 GB/T 191-2008)。</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4.1.5整体产品或分别运输的部件都要适合运输和装载的要求。</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4.1.6随产品提供的技术资料应完整无缺。</w:t>
      </w:r>
    </w:p>
    <w:p>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rPr>
        <w:t>4.2 运输：</w:t>
      </w:r>
    </w:p>
    <w:p>
      <w:pPr>
        <w:widowControl/>
        <w:adjustRightInd w:val="0"/>
        <w:snapToGrid w:val="0"/>
        <w:spacing w:line="360" w:lineRule="auto"/>
        <w:ind w:firstLine="420" w:firstLineChars="200"/>
        <w:rPr>
          <w:rFonts w:ascii="仿宋" w:hAnsi="仿宋" w:eastAsia="仿宋" w:cs="仿宋"/>
          <w:kern w:val="0"/>
          <w:szCs w:val="21"/>
        </w:rPr>
      </w:pPr>
      <w:r>
        <w:rPr>
          <w:rFonts w:hint="eastAsia" w:ascii="仿宋" w:hAnsi="仿宋" w:eastAsia="仿宋" w:cs="仿宋"/>
          <w:kern w:val="0"/>
          <w:szCs w:val="21"/>
        </w:rPr>
        <w:t>必须采取符合要求的合理形式对配件运输和贮存，并且由委托方专人全程跟踪。</w:t>
      </w:r>
    </w:p>
    <w:p>
      <w:pPr>
        <w:widowControl/>
        <w:adjustRightInd w:val="0"/>
        <w:snapToGrid w:val="0"/>
        <w:spacing w:line="360" w:lineRule="auto"/>
        <w:ind w:firstLine="420" w:firstLineChars="200"/>
        <w:rPr>
          <w:rFonts w:ascii="仿宋" w:hAnsi="仿宋" w:eastAsia="仿宋" w:cs="仿宋"/>
          <w:kern w:val="0"/>
          <w:szCs w:val="21"/>
        </w:rPr>
      </w:pPr>
      <w:r>
        <w:rPr>
          <w:rFonts w:hint="eastAsia" w:ascii="仿宋" w:hAnsi="仿宋" w:eastAsia="仿宋" w:cs="仿宋"/>
          <w:kern w:val="0"/>
          <w:szCs w:val="21"/>
        </w:rPr>
        <w:t>现场交接的最终验收完成之后，供方代表将修理完整的设备移交需方。</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b/>
          <w:bCs/>
          <w:kern w:val="0"/>
          <w:szCs w:val="21"/>
        </w:rPr>
        <w:t>4.2 标的物交付时间：</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4.2.1修理期限为：自中标通知书发出之日起30天内。</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4.2.2修理方式：需方将设备寄给供方进行维修。</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4.2.3如中标人逾期修理，取消中标人中标资格，并依法追究其法律责任。</w:t>
      </w:r>
    </w:p>
    <w:p>
      <w:pPr>
        <w:spacing w:line="360" w:lineRule="auto"/>
        <w:rPr>
          <w:rFonts w:ascii="仿宋" w:hAnsi="仿宋" w:eastAsia="仿宋" w:cs="仿宋"/>
          <w:b/>
          <w:bCs/>
          <w:kern w:val="0"/>
          <w:szCs w:val="21"/>
        </w:rPr>
      </w:pPr>
      <w:r>
        <w:rPr>
          <w:rFonts w:hint="eastAsia" w:ascii="仿宋" w:hAnsi="仿宋" w:eastAsia="仿宋" w:cs="仿宋"/>
          <w:b/>
          <w:bCs/>
          <w:kern w:val="0"/>
          <w:szCs w:val="21"/>
        </w:rPr>
        <w:t>4.4 验收地点：</w:t>
      </w:r>
    </w:p>
    <w:p>
      <w:pPr>
        <w:spacing w:line="360" w:lineRule="auto"/>
        <w:ind w:firstLine="630" w:firstLineChars="300"/>
        <w:rPr>
          <w:rFonts w:ascii="仿宋" w:hAnsi="仿宋" w:eastAsia="仿宋" w:cs="仿宋"/>
          <w:kern w:val="0"/>
          <w:szCs w:val="21"/>
        </w:rPr>
      </w:pPr>
      <w:r>
        <w:rPr>
          <w:rFonts w:hint="eastAsia" w:ascii="仿宋" w:hAnsi="仿宋" w:eastAsia="仿宋" w:cs="仿宋"/>
          <w:kern w:val="0"/>
          <w:szCs w:val="21"/>
        </w:rPr>
        <w:t>云南省昆明市经开区云大西路103号云电科技园</w:t>
      </w:r>
    </w:p>
    <w:p>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rPr>
        <w:t>4.5 安装和调试：</w:t>
      </w:r>
    </w:p>
    <w:p>
      <w:pPr>
        <w:widowControl/>
        <w:spacing w:line="360" w:lineRule="auto"/>
        <w:jc w:val="left"/>
        <w:rPr>
          <w:rFonts w:ascii="仿宋" w:hAnsi="仿宋" w:eastAsia="仿宋" w:cs="仿宋"/>
          <w:szCs w:val="21"/>
        </w:rPr>
      </w:pPr>
      <w:r>
        <w:rPr>
          <w:rFonts w:hint="eastAsia" w:ascii="仿宋" w:hAnsi="仿宋" w:eastAsia="仿宋" w:cs="仿宋"/>
          <w:kern w:val="0"/>
          <w:szCs w:val="21"/>
        </w:rPr>
        <w:t>4.5.1供方负责按国家相关标准或要求及本技术规范书的约定进行安装和调试的工作，以使装置设备具备正常安全预定的使用功能及性能，并满足技术规范书附件要求。并负责对需方人员进行技术指导及培训，直到需方人员能正常、正确、安全操作该设备为止，以保证达到预定的性能。供方承担安装期间所有的安装调试费用，接受并服从需方的管理与监督。</w:t>
      </w:r>
      <w:r>
        <w:rPr>
          <w:rFonts w:hint="eastAsia" w:ascii="仿宋" w:hAnsi="仿宋" w:eastAsia="仿宋" w:cs="仿宋"/>
          <w:kern w:val="0"/>
          <w:szCs w:val="21"/>
        </w:rPr>
        <w:br w:type="textWrapping"/>
      </w:r>
      <w:r>
        <w:rPr>
          <w:rFonts w:hint="eastAsia" w:ascii="仿宋" w:hAnsi="仿宋" w:eastAsia="仿宋" w:cs="仿宋"/>
          <w:kern w:val="0"/>
          <w:szCs w:val="21"/>
        </w:rPr>
        <w:t>4.5.2供方应在初步验收合格后3日内安装调试培训完毕，在供方安装调试过程中，供方应严格按照操作规程进行操作，并承担安装调试过程中发生的一切责任及费用。安装调试期间本项目的半成品、材料、设备及工具等，由供方自行保管，如有遗失或损坏，由供方自行承担责任。</w:t>
      </w:r>
      <w:r>
        <w:rPr>
          <w:rFonts w:hint="eastAsia" w:ascii="仿宋" w:hAnsi="仿宋" w:eastAsia="仿宋" w:cs="仿宋"/>
          <w:kern w:val="0"/>
          <w:szCs w:val="21"/>
        </w:rPr>
        <w:br w:type="textWrapping"/>
      </w:r>
      <w:r>
        <w:rPr>
          <w:rFonts w:hint="eastAsia" w:ascii="仿宋" w:hAnsi="仿宋" w:eastAsia="仿宋" w:cs="仿宋"/>
          <w:kern w:val="0"/>
          <w:szCs w:val="21"/>
        </w:rPr>
        <w:t>4.5.3安装调试完毕正常运行3日内，需方应及时组织人员对维修后的装置进行测试或试运行。若仍存在缺陷，供方应在3日内及时整改，使装置达到技术规范书约定的性能。整改发生的费用应由供方承担。</w:t>
      </w:r>
      <w:r>
        <w:rPr>
          <w:rFonts w:hint="eastAsia" w:ascii="仿宋" w:hAnsi="仿宋" w:eastAsia="仿宋" w:cs="仿宋"/>
          <w:kern w:val="0"/>
          <w:szCs w:val="21"/>
        </w:rPr>
        <w:br w:type="textWrapping"/>
      </w:r>
      <w:r>
        <w:rPr>
          <w:rFonts w:hint="eastAsia" w:ascii="仿宋" w:hAnsi="仿宋" w:eastAsia="仿宋" w:cs="仿宋"/>
          <w:kern w:val="0"/>
          <w:szCs w:val="21"/>
        </w:rPr>
        <w:t>4.5.4当安装调试培训完毕，并通过需方的正式验收后，双方签字确认，正式交付给需方，视为正式验收合格，在此之前的毁损、灭失等风险由供方承担。</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b/>
          <w:bCs/>
          <w:kern w:val="0"/>
          <w:szCs w:val="21"/>
        </w:rPr>
        <w:t>4.6 质保期（质量保证承诺）</w:t>
      </w:r>
      <w:r>
        <w:rPr>
          <w:rFonts w:hint="eastAsia" w:ascii="仿宋" w:hAnsi="仿宋" w:eastAsia="仿宋" w:cs="仿宋"/>
          <w:kern w:val="0"/>
          <w:szCs w:val="21"/>
        </w:rPr>
        <w:t xml:space="preserve">： </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ab/>
      </w:r>
      <w:r>
        <w:rPr>
          <w:rFonts w:hint="eastAsia" w:ascii="仿宋" w:hAnsi="仿宋" w:eastAsia="仿宋" w:cs="仿宋"/>
          <w:kern w:val="0"/>
          <w:szCs w:val="21"/>
        </w:rPr>
        <w:t>项目（设备）验收合格后</w:t>
      </w:r>
      <w:r>
        <w:rPr>
          <w:rFonts w:hint="eastAsia" w:ascii="仿宋" w:hAnsi="仿宋" w:eastAsia="仿宋" w:cs="仿宋"/>
          <w:kern w:val="0"/>
          <w:szCs w:val="21"/>
          <w:u w:val="single"/>
        </w:rPr>
        <w:t>12</w:t>
      </w:r>
      <w:r>
        <w:rPr>
          <w:rFonts w:hint="eastAsia" w:ascii="仿宋" w:hAnsi="仿宋" w:eastAsia="仿宋" w:cs="仿宋"/>
          <w:kern w:val="0"/>
          <w:szCs w:val="21"/>
        </w:rPr>
        <w:t xml:space="preserve">个月 </w:t>
      </w:r>
    </w:p>
    <w:p>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rPr>
        <w:t>4.7 售后服务承诺：</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4.7.1供方对所供设备配件实行质量“三包”（包修、包换、包退），在使用中、运行中出现质量问题，在接到通知后的</w:t>
      </w:r>
      <w:r>
        <w:rPr>
          <w:rFonts w:hint="eastAsia" w:ascii="仿宋" w:hAnsi="仿宋" w:eastAsia="仿宋" w:cs="仿宋"/>
          <w:kern w:val="0"/>
          <w:szCs w:val="21"/>
          <w:u w:val="single"/>
        </w:rPr>
        <w:t xml:space="preserve"> 24 </w:t>
      </w:r>
      <w:r>
        <w:rPr>
          <w:rFonts w:hint="eastAsia" w:ascii="仿宋" w:hAnsi="仿宋" w:eastAsia="仿宋" w:cs="仿宋"/>
          <w:kern w:val="0"/>
          <w:szCs w:val="21"/>
        </w:rPr>
        <w:t>小时内答复，在</w:t>
      </w:r>
      <w:r>
        <w:rPr>
          <w:rFonts w:hint="eastAsia" w:ascii="仿宋" w:hAnsi="仿宋" w:eastAsia="仿宋" w:cs="仿宋"/>
          <w:kern w:val="0"/>
          <w:szCs w:val="21"/>
          <w:u w:val="single"/>
        </w:rPr>
        <w:t xml:space="preserve"> 48 </w:t>
      </w:r>
      <w:r>
        <w:rPr>
          <w:rFonts w:hint="eastAsia" w:ascii="仿宋" w:hAnsi="仿宋" w:eastAsia="仿宋" w:cs="仿宋"/>
          <w:kern w:val="0"/>
          <w:szCs w:val="21"/>
        </w:rPr>
        <w:t>小时内派员到达现场,处理问题。</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4.7.2供方应及时提供与本技术规范书设备有关的安装、调试、验收、性能验收试验、运行等相应的技术指导、技术配合、技术培训等全过程的服务。</w:t>
      </w:r>
    </w:p>
    <w:p>
      <w:pPr>
        <w:spacing w:line="360" w:lineRule="auto"/>
        <w:rPr>
          <w:rFonts w:ascii="仿宋" w:hAnsi="仿宋" w:eastAsia="仿宋" w:cs="仿宋"/>
          <w:b/>
          <w:bCs/>
          <w:szCs w:val="21"/>
        </w:rPr>
      </w:pPr>
      <w:r>
        <w:rPr>
          <w:rFonts w:hint="eastAsia" w:ascii="仿宋" w:hAnsi="仿宋" w:eastAsia="仿宋" w:cs="仿宋"/>
          <w:b/>
          <w:bCs/>
          <w:szCs w:val="21"/>
        </w:rPr>
        <w:t>4.8交付成果、验收</w:t>
      </w:r>
    </w:p>
    <w:p>
      <w:pPr>
        <w:widowControl/>
        <w:adjustRightInd w:val="0"/>
        <w:snapToGrid w:val="0"/>
        <w:spacing w:line="360" w:lineRule="auto"/>
        <w:ind w:firstLine="420" w:firstLineChars="200"/>
        <w:jc w:val="left"/>
      </w:pPr>
      <w:r>
        <w:rPr>
          <w:rFonts w:hint="eastAsia" w:ascii="仿宋" w:hAnsi="仿宋" w:eastAsia="仿宋" w:cs="仿宋"/>
          <w:szCs w:val="21"/>
        </w:rPr>
        <w:t>供方按需方要求完成项目即达到验收条件，</w:t>
      </w:r>
      <w:r>
        <w:rPr>
          <w:rFonts w:hint="eastAsia" w:ascii="仿宋" w:hAnsi="仿宋" w:eastAsia="仿宋" w:cs="仿宋"/>
          <w:kern w:val="0"/>
          <w:szCs w:val="21"/>
        </w:rPr>
        <w:t>项目验收为设备修理完成。</w:t>
      </w:r>
    </w:p>
    <w:p>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rPr>
        <w:t>4.9采购清册及权重</w:t>
      </w:r>
    </w:p>
    <w:p>
      <w:pPr>
        <w:widowControl/>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kern w:val="0"/>
          <w:szCs w:val="21"/>
        </w:rPr>
        <w:t>物资采购清册</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813"/>
        <w:gridCol w:w="1719"/>
        <w:gridCol w:w="773"/>
        <w:gridCol w:w="635"/>
        <w:gridCol w:w="1050"/>
        <w:gridCol w:w="1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864" w:hRule="exact"/>
          <w:jc w:val="center"/>
        </w:trPr>
        <w:tc>
          <w:tcPr>
            <w:tcW w:w="630"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序号</w:t>
            </w:r>
          </w:p>
        </w:tc>
        <w:tc>
          <w:tcPr>
            <w:tcW w:w="1813"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名称</w:t>
            </w:r>
          </w:p>
        </w:tc>
        <w:tc>
          <w:tcPr>
            <w:tcW w:w="1719"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规格</w:t>
            </w:r>
          </w:p>
        </w:tc>
        <w:tc>
          <w:tcPr>
            <w:tcW w:w="773"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数量</w:t>
            </w:r>
          </w:p>
        </w:tc>
        <w:tc>
          <w:tcPr>
            <w:tcW w:w="635"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单位</w:t>
            </w:r>
          </w:p>
        </w:tc>
        <w:tc>
          <w:tcPr>
            <w:tcW w:w="1050"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最高限价（万元）</w:t>
            </w:r>
          </w:p>
        </w:tc>
        <w:tc>
          <w:tcPr>
            <w:tcW w:w="1900"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1</w:t>
            </w:r>
          </w:p>
        </w:tc>
        <w:tc>
          <w:tcPr>
            <w:tcW w:w="1813" w:type="dxa"/>
            <w:vAlign w:val="center"/>
          </w:tcPr>
          <w:p>
            <w:pPr>
              <w:autoSpaceDE w:val="0"/>
              <w:autoSpaceDN w:val="0"/>
              <w:adjustRightInd w:val="0"/>
              <w:spacing w:line="360" w:lineRule="auto"/>
              <w:jc w:val="center"/>
              <w:textAlignment w:val="baseline"/>
              <w:rPr>
                <w:rFonts w:ascii="仿宋" w:hAnsi="仿宋" w:eastAsia="仿宋" w:cs="仿宋"/>
                <w:szCs w:val="21"/>
              </w:rPr>
            </w:pPr>
            <w:r>
              <w:rPr>
                <w:rFonts w:hint="eastAsia" w:ascii="仿宋" w:hAnsi="仿宋" w:eastAsia="仿宋" w:cs="仿宋"/>
                <w:szCs w:val="21"/>
              </w:rPr>
              <w:t>检测部绝缘油介电强度测试仪校准装置修理</w:t>
            </w:r>
          </w:p>
        </w:tc>
        <w:tc>
          <w:tcPr>
            <w:tcW w:w="1719" w:type="dxa"/>
            <w:vAlign w:val="center"/>
          </w:tcPr>
          <w:p>
            <w:pPr>
              <w:autoSpaceDE w:val="0"/>
              <w:autoSpaceDN w:val="0"/>
              <w:adjustRightInd w:val="0"/>
              <w:spacing w:line="360" w:lineRule="auto"/>
              <w:jc w:val="center"/>
              <w:textAlignment w:val="baseline"/>
              <w:rPr>
                <w:rFonts w:ascii="仿宋" w:hAnsi="仿宋" w:eastAsia="仿宋" w:cs="仿宋"/>
                <w:szCs w:val="21"/>
              </w:rPr>
            </w:pPr>
            <w:r>
              <w:rPr>
                <w:rFonts w:hint="eastAsia" w:ascii="仿宋" w:hAnsi="仿宋" w:eastAsia="仿宋" w:cs="仿宋"/>
                <w:szCs w:val="21"/>
              </w:rPr>
              <w:t>更换维修击穿箱，工控机，触摸屏分压器，电路板，通讯模块，原版软件，遗失及损坏附件补充。对校准装置进行调试和校准确保维修后的装置误差符合要求</w:t>
            </w:r>
          </w:p>
        </w:tc>
        <w:tc>
          <w:tcPr>
            <w:tcW w:w="773"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1</w:t>
            </w:r>
          </w:p>
        </w:tc>
        <w:tc>
          <w:tcPr>
            <w:tcW w:w="635"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项</w:t>
            </w:r>
          </w:p>
        </w:tc>
        <w:tc>
          <w:tcPr>
            <w:tcW w:w="1050"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4.6</w:t>
            </w:r>
          </w:p>
        </w:tc>
        <w:tc>
          <w:tcPr>
            <w:tcW w:w="1900" w:type="dxa"/>
            <w:vAlign w:val="center"/>
          </w:tcPr>
          <w:p>
            <w:pPr>
              <w:autoSpaceDE w:val="0"/>
              <w:autoSpaceDN w:val="0"/>
              <w:adjustRightInd w:val="0"/>
              <w:spacing w:line="360" w:lineRule="auto"/>
              <w:jc w:val="center"/>
              <w:textAlignment w:val="baseline"/>
            </w:pPr>
            <w:r>
              <w:rPr>
                <w:rFonts w:hint="eastAsia" w:ascii="仿宋" w:hAnsi="仿宋" w:eastAsia="仿宋" w:cs="仿宋"/>
                <w:szCs w:val="21"/>
              </w:rPr>
              <w:t>包含维修需要配件购置费用、工时费、税金。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2</w:t>
            </w:r>
          </w:p>
        </w:tc>
        <w:tc>
          <w:tcPr>
            <w:tcW w:w="1813" w:type="dxa"/>
            <w:vAlign w:val="center"/>
          </w:tcPr>
          <w:p>
            <w:pPr>
              <w:autoSpaceDE w:val="0"/>
              <w:autoSpaceDN w:val="0"/>
              <w:adjustRightInd w:val="0"/>
              <w:spacing w:line="360" w:lineRule="auto"/>
              <w:jc w:val="center"/>
              <w:textAlignment w:val="baseline"/>
              <w:rPr>
                <w:rFonts w:ascii="仿宋" w:hAnsi="仿宋" w:eastAsia="仿宋" w:cs="仿宋"/>
                <w:szCs w:val="21"/>
              </w:rPr>
            </w:pPr>
            <w:r>
              <w:rPr>
                <w:rFonts w:hint="eastAsia" w:ascii="仿宋" w:hAnsi="仿宋" w:eastAsia="仿宋" w:cs="仿宋"/>
                <w:szCs w:val="21"/>
              </w:rPr>
              <w:t>检测部绝缘油介电强度测试仪校准装置送检</w:t>
            </w:r>
          </w:p>
        </w:tc>
        <w:tc>
          <w:tcPr>
            <w:tcW w:w="1719" w:type="dxa"/>
            <w:vAlign w:val="center"/>
          </w:tcPr>
          <w:p>
            <w:pPr>
              <w:autoSpaceDE w:val="0"/>
              <w:autoSpaceDN w:val="0"/>
              <w:adjustRightInd w:val="0"/>
              <w:spacing w:line="360" w:lineRule="auto"/>
              <w:jc w:val="center"/>
              <w:textAlignment w:val="baseline"/>
              <w:rPr>
                <w:rFonts w:ascii="仿宋" w:hAnsi="仿宋" w:eastAsia="仿宋" w:cs="仿宋"/>
                <w:szCs w:val="21"/>
              </w:rPr>
            </w:pPr>
            <w:r>
              <w:rPr>
                <w:rFonts w:hint="eastAsia" w:ascii="仿宋" w:hAnsi="仿宋" w:eastAsia="仿宋" w:cs="仿宋"/>
                <w:szCs w:val="21"/>
              </w:rPr>
              <w:t>需送至省级计量院或以上机构进行检定校准，报价包含送检费用及来回交通费</w:t>
            </w:r>
          </w:p>
        </w:tc>
        <w:tc>
          <w:tcPr>
            <w:tcW w:w="773"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1</w:t>
            </w:r>
          </w:p>
        </w:tc>
        <w:tc>
          <w:tcPr>
            <w:tcW w:w="635"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项</w:t>
            </w:r>
          </w:p>
        </w:tc>
        <w:tc>
          <w:tcPr>
            <w:tcW w:w="1050" w:type="dxa"/>
            <w:vAlign w:val="center"/>
          </w:tcPr>
          <w:p>
            <w:pPr>
              <w:autoSpaceDE w:val="0"/>
              <w:autoSpaceDN w:val="0"/>
              <w:adjustRightInd w:val="0"/>
              <w:spacing w:line="360" w:lineRule="auto"/>
              <w:jc w:val="center"/>
              <w:textAlignment w:val="baseline"/>
              <w:rPr>
                <w:rFonts w:ascii="仿宋" w:hAnsi="仿宋" w:eastAsia="仿宋" w:cs="仿宋"/>
                <w:szCs w:val="21"/>
              </w:rPr>
            </w:pPr>
            <w:r>
              <w:rPr>
                <w:rFonts w:hint="eastAsia" w:ascii="仿宋" w:hAnsi="仿宋" w:eastAsia="仿宋" w:cs="仿宋"/>
                <w:szCs w:val="21"/>
              </w:rPr>
              <w:t>0.2</w:t>
            </w:r>
          </w:p>
        </w:tc>
        <w:tc>
          <w:tcPr>
            <w:tcW w:w="1900" w:type="dxa"/>
            <w:vAlign w:val="center"/>
          </w:tcPr>
          <w:p>
            <w:pPr>
              <w:autoSpaceDE w:val="0"/>
              <w:autoSpaceDN w:val="0"/>
              <w:adjustRightInd w:val="0"/>
              <w:spacing w:line="360" w:lineRule="auto"/>
              <w:jc w:val="center"/>
              <w:textAlignment w:val="baseline"/>
              <w:rPr>
                <w:rFonts w:hint="eastAsia" w:ascii="仿宋" w:hAnsi="仿宋" w:eastAsia="仿宋" w:cs="仿宋"/>
                <w:szCs w:val="21"/>
                <w:highlight w:val="yellow"/>
              </w:rPr>
            </w:pPr>
            <w:bookmarkStart w:id="1" w:name="OLE_LINK1"/>
            <w:r>
              <w:rPr>
                <w:rFonts w:hint="eastAsia" w:ascii="仿宋" w:hAnsi="仿宋" w:eastAsia="仿宋" w:cs="仿宋"/>
                <w:szCs w:val="21"/>
                <w:highlight w:val="none"/>
              </w:rPr>
              <w:t>依据国家检定规程或校准规范出具检定校准证书，项目需包含电压校准点：1</w:t>
            </w:r>
            <w:r>
              <w:rPr>
                <w:rFonts w:ascii="仿宋" w:hAnsi="仿宋" w:eastAsia="仿宋" w:cs="仿宋"/>
                <w:szCs w:val="21"/>
                <w:highlight w:val="none"/>
              </w:rPr>
              <w:t>0-100</w:t>
            </w:r>
            <w:r>
              <w:rPr>
                <w:rFonts w:hint="eastAsia" w:ascii="仿宋" w:hAnsi="仿宋" w:eastAsia="仿宋" w:cs="仿宋"/>
                <w:szCs w:val="21"/>
                <w:highlight w:val="none"/>
              </w:rPr>
              <w:t>k</w:t>
            </w:r>
            <w:r>
              <w:rPr>
                <w:rFonts w:ascii="仿宋" w:hAnsi="仿宋" w:eastAsia="仿宋" w:cs="仿宋"/>
                <w:szCs w:val="21"/>
                <w:highlight w:val="none"/>
              </w:rPr>
              <w:t>V</w:t>
            </w:r>
            <w:r>
              <w:rPr>
                <w:rFonts w:hint="eastAsia" w:ascii="仿宋" w:hAnsi="仿宋" w:eastAsia="仿宋" w:cs="仿宋"/>
                <w:szCs w:val="21"/>
                <w:highlight w:val="none"/>
              </w:rPr>
              <w:t>误差不超过</w:t>
            </w:r>
            <w:r>
              <w:rPr>
                <w:rFonts w:ascii="仿宋" w:hAnsi="仿宋" w:eastAsia="仿宋" w:cs="仿宋"/>
                <w:szCs w:val="21"/>
                <w:highlight w:val="none"/>
              </w:rPr>
              <w:t>0</w:t>
            </w:r>
            <w:bookmarkEnd w:id="1"/>
            <w:r>
              <w:rPr>
                <w:rFonts w:ascii="仿宋" w:hAnsi="仿宋" w:eastAsia="仿宋" w:cs="仿宋"/>
                <w:szCs w:val="21"/>
              </w:rPr>
              <w:t>.2%RDG+0.04kv</w:t>
            </w:r>
          </w:p>
        </w:tc>
      </w:tr>
    </w:tbl>
    <w:p>
      <w:pPr>
        <w:spacing w:line="360" w:lineRule="auto"/>
        <w:rPr>
          <w:rFonts w:ascii="仿宋" w:hAnsi="仿宋" w:eastAsia="仿宋" w:cs="仿宋"/>
          <w:b/>
          <w:bCs/>
          <w:szCs w:val="21"/>
        </w:rPr>
      </w:pPr>
      <w:r>
        <w:rPr>
          <w:rFonts w:hint="eastAsia" w:ascii="仿宋" w:hAnsi="仿宋" w:eastAsia="仿宋" w:cs="仿宋"/>
          <w:b/>
          <w:bCs/>
          <w:szCs w:val="21"/>
        </w:rPr>
        <w:t>注：具体维修项目以工程师排查结果为准，并依据供应商投标报价表格进行结算。发票以国家税率为准。</w:t>
      </w:r>
    </w:p>
    <w:p>
      <w:pPr>
        <w:spacing w:line="360" w:lineRule="auto"/>
        <w:rPr>
          <w:rFonts w:ascii="仿宋" w:hAnsi="仿宋" w:eastAsia="仿宋" w:cs="仿宋"/>
          <w:b/>
          <w:bCs/>
          <w:szCs w:val="21"/>
        </w:rPr>
      </w:pPr>
      <w:r>
        <w:rPr>
          <w:rFonts w:hint="eastAsia" w:ascii="仿宋" w:hAnsi="仿宋" w:eastAsia="仿宋" w:cs="仿宋"/>
          <w:b/>
          <w:bCs/>
          <w:szCs w:val="21"/>
        </w:rPr>
        <w:t>五、管理人员为本项目的负责人。</w:t>
      </w:r>
    </w:p>
    <w:p>
      <w:pPr>
        <w:spacing w:line="360" w:lineRule="auto"/>
        <w:rPr>
          <w:rFonts w:ascii="仿宋" w:hAnsi="仿宋" w:eastAsia="仿宋" w:cs="仿宋"/>
          <w:b/>
          <w:bCs/>
          <w:szCs w:val="21"/>
        </w:rPr>
      </w:pPr>
      <w:r>
        <w:rPr>
          <w:rFonts w:hint="eastAsia" w:ascii="仿宋" w:hAnsi="仿宋" w:eastAsia="仿宋" w:cs="仿宋"/>
          <w:b/>
          <w:bCs/>
          <w:szCs w:val="21"/>
        </w:rPr>
        <w:t>六、报价方面</w:t>
      </w:r>
    </w:p>
    <w:p>
      <w:pPr>
        <w:widowControl/>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报价方式：固定总价报价（包含税）；</w:t>
      </w:r>
    </w:p>
    <w:p>
      <w:pPr>
        <w:widowControl/>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报价明细：</w:t>
      </w:r>
    </w:p>
    <w:tbl>
      <w:tblPr>
        <w:tblStyle w:val="13"/>
        <w:tblpPr w:leftFromText="180" w:rightFromText="180" w:vertAnchor="text" w:horzAnchor="page" w:tblpX="1825" w:tblpY="45"/>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853"/>
        <w:gridCol w:w="3343"/>
        <w:gridCol w:w="2089"/>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875" w:hRule="exact"/>
        </w:trPr>
        <w:tc>
          <w:tcPr>
            <w:tcW w:w="509" w:type="pct"/>
            <w:vAlign w:val="center"/>
          </w:tcPr>
          <w:p>
            <w:pPr>
              <w:widowControl/>
              <w:adjustRightInd w:val="0"/>
              <w:snapToGrid w:val="0"/>
              <w:spacing w:line="360" w:lineRule="auto"/>
              <w:jc w:val="left"/>
              <w:rPr>
                <w:rFonts w:ascii="仿宋" w:hAnsi="仿宋" w:eastAsia="仿宋" w:cs="仿宋"/>
                <w:szCs w:val="21"/>
              </w:rPr>
            </w:pPr>
            <w:r>
              <w:rPr>
                <w:rFonts w:hint="eastAsia" w:ascii="仿宋" w:hAnsi="仿宋" w:eastAsia="仿宋" w:cs="仿宋"/>
                <w:szCs w:val="21"/>
              </w:rPr>
              <w:t>序号</w:t>
            </w:r>
          </w:p>
        </w:tc>
        <w:tc>
          <w:tcPr>
            <w:tcW w:w="1995" w:type="pct"/>
            <w:vAlign w:val="center"/>
          </w:tcPr>
          <w:p>
            <w:pPr>
              <w:widowControl/>
              <w:adjustRightInd w:val="0"/>
              <w:snapToGrid w:val="0"/>
              <w:spacing w:line="360" w:lineRule="auto"/>
              <w:jc w:val="left"/>
              <w:rPr>
                <w:rFonts w:ascii="仿宋" w:hAnsi="仿宋" w:eastAsia="仿宋" w:cs="仿宋"/>
                <w:szCs w:val="21"/>
              </w:rPr>
            </w:pPr>
            <w:r>
              <w:rPr>
                <w:rFonts w:hint="eastAsia" w:ascii="仿宋" w:hAnsi="仿宋" w:eastAsia="仿宋" w:cs="仿宋"/>
                <w:szCs w:val="21"/>
              </w:rPr>
              <w:t>名称</w:t>
            </w:r>
          </w:p>
        </w:tc>
        <w:tc>
          <w:tcPr>
            <w:tcW w:w="1247" w:type="pct"/>
            <w:vAlign w:val="center"/>
          </w:tcPr>
          <w:p>
            <w:pPr>
              <w:widowControl/>
              <w:adjustRightInd w:val="0"/>
              <w:snapToGrid w:val="0"/>
              <w:spacing w:line="360" w:lineRule="auto"/>
              <w:jc w:val="left"/>
              <w:rPr>
                <w:rFonts w:ascii="仿宋" w:hAnsi="仿宋" w:eastAsia="仿宋" w:cs="仿宋"/>
                <w:szCs w:val="21"/>
              </w:rPr>
            </w:pPr>
            <w:r>
              <w:rPr>
                <w:rFonts w:hint="eastAsia" w:ascii="仿宋" w:hAnsi="仿宋" w:eastAsia="仿宋" w:cs="仿宋"/>
                <w:szCs w:val="21"/>
              </w:rPr>
              <w:t>总价报价（万元/项）</w:t>
            </w:r>
          </w:p>
        </w:tc>
        <w:tc>
          <w:tcPr>
            <w:tcW w:w="1247" w:type="pct"/>
            <w:vAlign w:val="center"/>
          </w:tcPr>
          <w:p>
            <w:pPr>
              <w:widowControl/>
              <w:adjustRightInd w:val="0"/>
              <w:snapToGrid w:val="0"/>
              <w:spacing w:line="360" w:lineRule="auto"/>
              <w:jc w:val="left"/>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1283" w:hRule="atLeast"/>
        </w:trPr>
        <w:tc>
          <w:tcPr>
            <w:tcW w:w="853" w:type="dxa"/>
            <w:vAlign w:val="center"/>
          </w:tcPr>
          <w:p>
            <w:pPr>
              <w:autoSpaceDE w:val="0"/>
              <w:autoSpaceDN w:val="0"/>
              <w:adjustRightInd w:val="0"/>
              <w:spacing w:line="360" w:lineRule="auto"/>
              <w:jc w:val="left"/>
              <w:textAlignment w:val="baseline"/>
              <w:rPr>
                <w:rFonts w:ascii="仿宋" w:hAnsi="仿宋" w:eastAsia="仿宋" w:cs="仿宋"/>
                <w:szCs w:val="21"/>
              </w:rPr>
            </w:pPr>
            <w:r>
              <w:rPr>
                <w:rFonts w:hint="eastAsia" w:ascii="仿宋" w:hAnsi="仿宋" w:eastAsia="仿宋" w:cs="仿宋"/>
                <w:kern w:val="0"/>
                <w:szCs w:val="21"/>
              </w:rPr>
              <w:t>1</w:t>
            </w:r>
          </w:p>
        </w:tc>
        <w:tc>
          <w:tcPr>
            <w:tcW w:w="3343" w:type="dxa"/>
            <w:vAlign w:val="center"/>
          </w:tcPr>
          <w:p>
            <w:pPr>
              <w:autoSpaceDE w:val="0"/>
              <w:autoSpaceDN w:val="0"/>
              <w:adjustRightInd w:val="0"/>
              <w:spacing w:line="360" w:lineRule="auto"/>
              <w:jc w:val="left"/>
              <w:textAlignment w:val="baseline"/>
              <w:rPr>
                <w:rFonts w:ascii="仿宋" w:hAnsi="仿宋" w:eastAsia="仿宋" w:cs="仿宋"/>
                <w:szCs w:val="21"/>
              </w:rPr>
            </w:pPr>
            <w:r>
              <w:rPr>
                <w:rFonts w:hint="eastAsia" w:ascii="仿宋" w:hAnsi="仿宋" w:eastAsia="仿宋" w:cs="仿宋"/>
                <w:szCs w:val="21"/>
              </w:rPr>
              <w:t>检测部绝缘油介电强度测试仪校准装置修理</w:t>
            </w:r>
          </w:p>
        </w:tc>
        <w:tc>
          <w:tcPr>
            <w:tcW w:w="1247" w:type="pct"/>
            <w:vAlign w:val="center"/>
          </w:tcPr>
          <w:p>
            <w:pPr>
              <w:widowControl/>
              <w:adjustRightInd w:val="0"/>
              <w:snapToGrid w:val="0"/>
              <w:spacing w:line="360" w:lineRule="auto"/>
              <w:jc w:val="center"/>
              <w:rPr>
                <w:rFonts w:ascii="仿宋" w:hAnsi="仿宋" w:eastAsia="仿宋" w:cs="仿宋"/>
                <w:szCs w:val="21"/>
              </w:rPr>
            </w:pPr>
          </w:p>
        </w:tc>
        <w:tc>
          <w:tcPr>
            <w:tcW w:w="1247" w:type="pct"/>
            <w:vAlign w:val="center"/>
          </w:tcPr>
          <w:p>
            <w:pPr>
              <w:widowControl/>
              <w:adjustRightInd w:val="0"/>
              <w:snapToGrid w:val="0"/>
              <w:spacing w:line="360" w:lineRule="auto"/>
              <w:jc w:val="left"/>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1283" w:hRule="atLeast"/>
        </w:trPr>
        <w:tc>
          <w:tcPr>
            <w:tcW w:w="853" w:type="dxa"/>
            <w:vAlign w:val="center"/>
          </w:tcPr>
          <w:p>
            <w:pPr>
              <w:autoSpaceDE w:val="0"/>
              <w:autoSpaceDN w:val="0"/>
              <w:adjustRightInd w:val="0"/>
              <w:spacing w:line="360" w:lineRule="auto"/>
              <w:jc w:val="left"/>
              <w:textAlignment w:val="baseline"/>
              <w:rPr>
                <w:rFonts w:ascii="仿宋" w:hAnsi="仿宋" w:eastAsia="仿宋" w:cs="仿宋"/>
                <w:szCs w:val="21"/>
              </w:rPr>
            </w:pPr>
            <w:r>
              <w:rPr>
                <w:rFonts w:hint="eastAsia" w:ascii="仿宋" w:hAnsi="仿宋" w:eastAsia="仿宋" w:cs="仿宋"/>
                <w:kern w:val="0"/>
                <w:szCs w:val="21"/>
              </w:rPr>
              <w:t>2</w:t>
            </w:r>
          </w:p>
        </w:tc>
        <w:tc>
          <w:tcPr>
            <w:tcW w:w="3343" w:type="dxa"/>
            <w:vAlign w:val="center"/>
          </w:tcPr>
          <w:p>
            <w:pPr>
              <w:autoSpaceDE w:val="0"/>
              <w:autoSpaceDN w:val="0"/>
              <w:adjustRightInd w:val="0"/>
              <w:spacing w:line="360" w:lineRule="auto"/>
              <w:jc w:val="left"/>
              <w:textAlignment w:val="baseline"/>
              <w:rPr>
                <w:rFonts w:ascii="仿宋" w:hAnsi="仿宋" w:eastAsia="仿宋" w:cs="仿宋"/>
                <w:szCs w:val="21"/>
              </w:rPr>
            </w:pPr>
            <w:r>
              <w:rPr>
                <w:rFonts w:hint="eastAsia" w:ascii="仿宋" w:hAnsi="仿宋" w:eastAsia="仿宋" w:cs="仿宋"/>
                <w:szCs w:val="21"/>
              </w:rPr>
              <w:t>检测部绝缘油介电强度测试仪校准装置送检</w:t>
            </w:r>
          </w:p>
        </w:tc>
        <w:tc>
          <w:tcPr>
            <w:tcW w:w="1247" w:type="pct"/>
            <w:vAlign w:val="center"/>
          </w:tcPr>
          <w:p>
            <w:pPr>
              <w:widowControl/>
              <w:adjustRightInd w:val="0"/>
              <w:snapToGrid w:val="0"/>
              <w:spacing w:line="360" w:lineRule="auto"/>
              <w:jc w:val="center"/>
              <w:rPr>
                <w:rFonts w:ascii="仿宋" w:hAnsi="仿宋" w:eastAsia="仿宋" w:cs="仿宋"/>
                <w:szCs w:val="21"/>
              </w:rPr>
            </w:pPr>
          </w:p>
        </w:tc>
        <w:tc>
          <w:tcPr>
            <w:tcW w:w="1247" w:type="pct"/>
            <w:vAlign w:val="center"/>
          </w:tcPr>
          <w:p>
            <w:pPr>
              <w:widowControl/>
              <w:adjustRightInd w:val="0"/>
              <w:snapToGrid w:val="0"/>
              <w:spacing w:line="360" w:lineRule="auto"/>
              <w:jc w:val="left"/>
              <w:rPr>
                <w:rFonts w:ascii="仿宋" w:hAnsi="仿宋" w:eastAsia="仿宋" w:cs="仿宋"/>
                <w:szCs w:val="21"/>
              </w:rPr>
            </w:pPr>
          </w:p>
        </w:tc>
      </w:tr>
    </w:tbl>
    <w:p>
      <w:pPr>
        <w:widowControl/>
        <w:adjustRightInd w:val="0"/>
        <w:snapToGrid w:val="0"/>
        <w:spacing w:line="360" w:lineRule="auto"/>
        <w:ind w:firstLine="420" w:firstLineChars="200"/>
        <w:jc w:val="left"/>
        <w:rPr>
          <w:rFonts w:ascii="仿宋" w:hAnsi="仿宋" w:eastAsia="仿宋" w:cs="仿宋"/>
          <w:szCs w:val="21"/>
        </w:rPr>
      </w:pPr>
    </w:p>
    <w:p>
      <w:pPr>
        <w:widowControl/>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注：具体税率以税法规定的为主。</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4</w:t>
                          </w:r>
                          <w:r>
                            <w:rPr>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4</w:t>
                    </w:r>
                    <w:r>
                      <w:rPr>
                        <w:sz w:val="18"/>
                      </w:rPr>
                      <w:fldChar w:fldCharType="end"/>
                    </w:r>
                    <w:r>
                      <w:rPr>
                        <w:rFonts w:hint="eastAsia"/>
                        <w:sz w:val="18"/>
                      </w:rPr>
                      <w:t xml:space="preserve"> 页</w:t>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85F0AE"/>
    <w:multiLevelType w:val="singleLevel"/>
    <w:tmpl w:val="B185F0AE"/>
    <w:lvl w:ilvl="0" w:tentative="0">
      <w:start w:val="2"/>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I4YTA3NTg2YjE0NmQ2Yjk1YmYyMTU4YjI3NmJlYzUifQ=="/>
  </w:docVars>
  <w:rsids>
    <w:rsidRoot w:val="002D620E"/>
    <w:rsid w:val="000F0DBA"/>
    <w:rsid w:val="00260927"/>
    <w:rsid w:val="00294E2B"/>
    <w:rsid w:val="002D620E"/>
    <w:rsid w:val="003557CB"/>
    <w:rsid w:val="00380E06"/>
    <w:rsid w:val="007C10EC"/>
    <w:rsid w:val="00A854FA"/>
    <w:rsid w:val="00C90FCA"/>
    <w:rsid w:val="065135D3"/>
    <w:rsid w:val="15567B46"/>
    <w:rsid w:val="16A1430F"/>
    <w:rsid w:val="19542267"/>
    <w:rsid w:val="1C1A5FF3"/>
    <w:rsid w:val="21E9653D"/>
    <w:rsid w:val="22975120"/>
    <w:rsid w:val="22C5086D"/>
    <w:rsid w:val="24A34284"/>
    <w:rsid w:val="26C31B63"/>
    <w:rsid w:val="2A1E4519"/>
    <w:rsid w:val="2C796836"/>
    <w:rsid w:val="2EEB2B34"/>
    <w:rsid w:val="2FC51CEF"/>
    <w:rsid w:val="32923E3E"/>
    <w:rsid w:val="3387692D"/>
    <w:rsid w:val="34AC04DE"/>
    <w:rsid w:val="351A22AD"/>
    <w:rsid w:val="385B3288"/>
    <w:rsid w:val="3AB6680E"/>
    <w:rsid w:val="3AD12D15"/>
    <w:rsid w:val="406F1B62"/>
    <w:rsid w:val="40775150"/>
    <w:rsid w:val="41991C09"/>
    <w:rsid w:val="42414F02"/>
    <w:rsid w:val="432C339B"/>
    <w:rsid w:val="474C54AD"/>
    <w:rsid w:val="47ED3017"/>
    <w:rsid w:val="48C536F1"/>
    <w:rsid w:val="511247E3"/>
    <w:rsid w:val="531E77E4"/>
    <w:rsid w:val="59C171A4"/>
    <w:rsid w:val="59F37CEE"/>
    <w:rsid w:val="5B632B3A"/>
    <w:rsid w:val="5DE36C40"/>
    <w:rsid w:val="5F5C0114"/>
    <w:rsid w:val="62111B28"/>
    <w:rsid w:val="642052D3"/>
    <w:rsid w:val="6553558F"/>
    <w:rsid w:val="6B880FF7"/>
    <w:rsid w:val="706F32CA"/>
    <w:rsid w:val="72F32876"/>
    <w:rsid w:val="73D50D30"/>
    <w:rsid w:val="73E71498"/>
    <w:rsid w:val="77902903"/>
    <w:rsid w:val="79682200"/>
    <w:rsid w:val="7CB81123"/>
    <w:rsid w:val="7CE91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line="360" w:lineRule="auto"/>
      <w:outlineLvl w:val="0"/>
    </w:pPr>
    <w:rPr>
      <w:rFonts w:ascii="Times New Roman" w:hAnsi="Times New Roman"/>
      <w:b/>
      <w:kern w:val="44"/>
      <w:sz w:val="32"/>
    </w:rPr>
  </w:style>
  <w:style w:type="paragraph" w:styleId="3">
    <w:name w:val="heading 2"/>
    <w:basedOn w:val="1"/>
    <w:next w:val="1"/>
    <w:link w:val="15"/>
    <w:semiHidden/>
    <w:unhideWhenUsed/>
    <w:qFormat/>
    <w:uiPriority w:val="0"/>
    <w:pPr>
      <w:keepNext/>
      <w:keepLines/>
      <w:spacing w:line="360" w:lineRule="auto"/>
      <w:outlineLvl w:val="1"/>
    </w:pPr>
    <w:rPr>
      <w:rFonts w:ascii="Arial" w:hAnsi="Arial"/>
      <w:b/>
      <w:bCs/>
      <w:sz w:val="28"/>
      <w:szCs w:val="32"/>
    </w:rPr>
  </w:style>
  <w:style w:type="paragraph" w:styleId="4">
    <w:name w:val="heading 3"/>
    <w:basedOn w:val="1"/>
    <w:next w:val="1"/>
    <w:semiHidden/>
    <w:unhideWhenUsed/>
    <w:qFormat/>
    <w:uiPriority w:val="0"/>
    <w:pPr>
      <w:keepNext/>
      <w:keepLines/>
      <w:spacing w:line="360" w:lineRule="auto"/>
      <w:outlineLvl w:val="2"/>
    </w:pPr>
    <w:rPr>
      <w:b/>
      <w:sz w:val="28"/>
    </w:rPr>
  </w:style>
  <w:style w:type="paragraph" w:styleId="5">
    <w:name w:val="heading 4"/>
    <w:basedOn w:val="1"/>
    <w:next w:val="1"/>
    <w:semiHidden/>
    <w:unhideWhenUsed/>
    <w:qFormat/>
    <w:uiPriority w:val="0"/>
    <w:pPr>
      <w:keepNext/>
      <w:keepLines/>
      <w:spacing w:line="360" w:lineRule="auto"/>
      <w:outlineLvl w:val="3"/>
    </w:pPr>
    <w:rPr>
      <w:rFonts w:ascii="Arial" w:hAnsi="Arial" w:eastAsia="黑体"/>
      <w:sz w:val="24"/>
    </w:rPr>
  </w:style>
  <w:style w:type="paragraph" w:styleId="6">
    <w:name w:val="heading 5"/>
    <w:basedOn w:val="1"/>
    <w:next w:val="1"/>
    <w:semiHidden/>
    <w:unhideWhenUsed/>
    <w:qFormat/>
    <w:uiPriority w:val="0"/>
    <w:pPr>
      <w:keepNext/>
      <w:keepLines/>
      <w:spacing w:line="360" w:lineRule="auto"/>
      <w:outlineLvl w:val="4"/>
    </w:pPr>
    <w:rPr>
      <w:b/>
    </w:rPr>
  </w:style>
  <w:style w:type="character" w:default="1" w:styleId="14">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7">
    <w:name w:val="Normal Indent"/>
    <w:basedOn w:val="1"/>
    <w:uiPriority w:val="0"/>
    <w:pPr>
      <w:ind w:firstLine="420" w:firstLineChars="200"/>
    </w:pPr>
  </w:style>
  <w:style w:type="paragraph" w:styleId="8">
    <w:name w:val="Body Text Indent"/>
    <w:basedOn w:val="1"/>
    <w:next w:val="1"/>
    <w:qFormat/>
    <w:uiPriority w:val="0"/>
    <w:pPr>
      <w:spacing w:after="120"/>
      <w:ind w:left="420"/>
    </w:pPr>
  </w:style>
  <w:style w:type="paragraph" w:styleId="9">
    <w:name w:val="footer"/>
    <w:basedOn w:val="1"/>
    <w:qFormat/>
    <w:uiPriority w:val="0"/>
    <w:pPr>
      <w:tabs>
        <w:tab w:val="center" w:pos="4153"/>
        <w:tab w:val="right" w:pos="8306"/>
      </w:tabs>
      <w:snapToGrid w:val="0"/>
      <w:jc w:val="left"/>
    </w:pPr>
    <w:rPr>
      <w:kern w:val="0"/>
      <w:sz w:val="18"/>
      <w:szCs w:val="18"/>
    </w:rPr>
  </w:style>
  <w:style w:type="paragraph" w:styleId="10">
    <w:name w:val="Body Text 2"/>
    <w:basedOn w:val="1"/>
    <w:qFormat/>
    <w:uiPriority w:val="0"/>
    <w:pPr>
      <w:spacing w:after="120" w:line="480" w:lineRule="auto"/>
    </w:pPr>
  </w:style>
  <w:style w:type="paragraph" w:styleId="11">
    <w:name w:val="Body Text First Indent 2"/>
    <w:basedOn w:val="8"/>
    <w:next w:val="12"/>
    <w:qFormat/>
    <w:uiPriority w:val="0"/>
    <w:pPr>
      <w:ind w:left="200" w:leftChars="200" w:firstLine="420" w:firstLineChars="200"/>
    </w:pPr>
  </w:style>
  <w:style w:type="paragraph" w:customStyle="1" w:styleId="12">
    <w:name w:val="正文内容"/>
    <w:basedOn w:val="1"/>
    <w:qFormat/>
    <w:uiPriority w:val="0"/>
    <w:pPr>
      <w:ind w:firstLine="200" w:firstLineChars="200"/>
      <w:jc w:val="left"/>
    </w:pPr>
    <w:rPr>
      <w:rFonts w:ascii="Times New Roman" w:hAnsi="Times New Roman" w:eastAsia="仿宋_GB2312"/>
      <w:sz w:val="24"/>
    </w:rPr>
  </w:style>
  <w:style w:type="character" w:customStyle="1" w:styleId="15">
    <w:name w:val="标题 2 字符"/>
    <w:link w:val="3"/>
    <w:qFormat/>
    <w:uiPriority w:val="0"/>
    <w:rPr>
      <w:rFonts w:ascii="Arial" w:hAnsi="Arial" w:eastAsia="宋体" w:cs="Times New Roman"/>
      <w:b/>
      <w:bCs/>
      <w:sz w:val="28"/>
      <w:szCs w:val="32"/>
    </w:rPr>
  </w:style>
  <w:style w:type="paragraph" w:customStyle="1" w:styleId="16">
    <w:name w:val="GEDI正文样式"/>
    <w:basedOn w:val="1"/>
    <w:qFormat/>
    <w:uiPriority w:val="0"/>
    <w:pPr>
      <w:adjustRightInd w:val="0"/>
      <w:snapToGrid w:val="0"/>
      <w:spacing w:line="480" w:lineRule="atLeast"/>
      <w:ind w:firstLine="480" w:firstLineChars="200"/>
    </w:pPr>
    <w:rPr>
      <w:szCs w:val="24"/>
    </w:rPr>
  </w:style>
  <w:style w:type="character" w:customStyle="1" w:styleId="17">
    <w:name w:val="menutitle13"/>
    <w:basedOn w:val="14"/>
    <w:qFormat/>
    <w:uiPriority w:val="0"/>
    <w:rPr>
      <w:b/>
      <w:color w:val="333333"/>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367</Words>
  <Characters>2094</Characters>
  <Lines>17</Lines>
  <Paragraphs>4</Paragraphs>
  <TotalTime>29</TotalTime>
  <ScaleCrop>false</ScaleCrop>
  <LinksUpToDate>false</LinksUpToDate>
  <CharactersWithSpaces>2457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2026-02-02T02:23:00Z</dcterms:created>
  <dc:creator>12544</dc:creator>
  <cp:lastModifiedBy>317D5B6515F2460FA5C43CD57FBCCA60</cp:lastModifiedBy>
  <dcterms:modified xsi:type="dcterms:W3CDTF">2026-02-11T06:43:35Z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7E5B27CE159C4EC3BD78F3E46E2F2351</vt:lpwstr>
  </property>
  <property fmtid="{D5CDD505-2E9C-101B-9397-08002B2CF9AE}" pid="4" name="KSOTemplateDocerSaveRecord">
    <vt:lpwstr>eyJoZGlkIjoiZTgzZWIxNmZkZDVkNTVmNGNlOWZmZWRmMzhjNjNiYTAifQ==</vt:lpwstr>
  </property>
</Properties>
</file>