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ascii="黑体" w:hAnsi="黑体" w:eastAsia="黑体" w:cs="黑体"/>
        </w:rPr>
      </w:pPr>
      <w:r>
        <w:rPr>
          <w:rFonts w:hint="eastAsia" w:ascii="黑体" w:hAnsi="黑体" w:eastAsia="黑体" w:cs="黑体"/>
        </w:rPr>
        <w:t>番禺电力科技园三期项目</w:t>
      </w:r>
      <w:r>
        <w:rPr>
          <w:rFonts w:hint="eastAsia" w:ascii="黑体" w:hAnsi="黑体" w:eastAsia="黑体" w:cs="黑体"/>
          <w:lang w:val="en-US" w:eastAsia="zh-CN"/>
        </w:rPr>
        <w:t>新增电缆工程技</w:t>
      </w:r>
      <w:bookmarkStart w:id="0" w:name="_GoBack"/>
      <w:bookmarkEnd w:id="0"/>
      <w:r>
        <w:rPr>
          <w:rFonts w:hint="eastAsia" w:ascii="黑体" w:hAnsi="黑体" w:eastAsia="黑体" w:cs="黑体"/>
        </w:rPr>
        <w:t>术要求书</w:t>
      </w:r>
    </w:p>
    <w:p>
      <w:pPr>
        <w:spacing w:line="360" w:lineRule="auto"/>
        <w:rPr>
          <w:rFonts w:ascii="黑体" w:hAnsi="黑体" w:eastAsia="黑体" w:cs="黑体"/>
          <w:sz w:val="24"/>
        </w:rPr>
      </w:pPr>
      <w:r>
        <w:rPr>
          <w:rFonts w:hint="eastAsia" w:ascii="黑体" w:hAnsi="黑体" w:eastAsia="黑体" w:cs="黑体"/>
          <w:sz w:val="24"/>
        </w:rPr>
        <w:t>一、项目概况</w:t>
      </w:r>
    </w:p>
    <w:p>
      <w:pPr>
        <w:spacing w:line="360" w:lineRule="auto"/>
        <w:ind w:firstLine="480" w:firstLineChars="200"/>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rPr>
        <w:t>番禺电力科技园</w:t>
      </w:r>
      <w:r>
        <w:rPr>
          <w:rFonts w:hint="eastAsia" w:ascii="仿宋_GB2312" w:hAnsi="仿宋_GB2312" w:eastAsia="仿宋_GB2312" w:cs="仿宋_GB2312"/>
          <w:sz w:val="24"/>
          <w:lang w:val="en-US" w:eastAsia="zh-CN"/>
        </w:rPr>
        <w:t>三</w:t>
      </w:r>
      <w:r>
        <w:rPr>
          <w:rFonts w:hint="eastAsia" w:ascii="仿宋_GB2312" w:hAnsi="仿宋_GB2312" w:eastAsia="仿宋_GB2312" w:cs="仿宋_GB2312"/>
          <w:sz w:val="24"/>
        </w:rPr>
        <w:t>期项目位于广州市番禺区东环街</w:t>
      </w:r>
      <w:r>
        <w:rPr>
          <w:rFonts w:hint="eastAsia" w:ascii="仿宋_GB2312" w:hAnsi="仿宋_GB2312" w:eastAsia="仿宋_GB2312" w:cs="仿宋_GB2312"/>
          <w:sz w:val="24"/>
          <w:lang w:eastAsia="zh-CN"/>
        </w:rPr>
        <w:t>，</w:t>
      </w:r>
      <w:r>
        <w:rPr>
          <w:rFonts w:hint="eastAsia" w:ascii="仿宋_GB2312" w:hAnsi="仿宋_GB2312" w:eastAsia="仿宋_GB2312" w:cs="仿宋_GB2312"/>
          <w:sz w:val="24"/>
        </w:rPr>
        <w:t>建筑面积达136,543.12㎡。本期包含多种建筑类型：</w:t>
      </w:r>
      <w:r>
        <w:rPr>
          <w:rFonts w:hint="eastAsia" w:ascii="仿宋_GB2312" w:hAnsi="仿宋_GB2312" w:eastAsia="仿宋_GB2312" w:cs="仿宋_GB2312"/>
          <w:sz w:val="24"/>
          <w:lang w:val="en-US" w:eastAsia="zh-CN"/>
        </w:rPr>
        <w:t>C#高层厂房（丁类）共18层，建筑面积45976平方米，建筑高度80.0米；D#配套行政办公共18层，建筑面积22419平方米，建筑高度80.0米；E#多层厂房（丁类）共4层，建筑面积16881平方米，建筑高度19.9米；H#宿舍型保障性租赁用房共23层，建筑面积26902平方米，建筑高度80.0米。</w:t>
      </w:r>
    </w:p>
    <w:p>
      <w:pPr>
        <w:spacing w:line="360" w:lineRule="auto"/>
        <w:ind w:firstLine="480" w:firstLineChars="200"/>
        <w:rPr>
          <w:rFonts w:hint="eastAsia" w:ascii="仿宋_GB2312" w:hAnsi="仿宋_GB2312" w:eastAsia="仿宋_GB2312" w:cs="仿宋_GB2312"/>
          <w:color w:val="auto"/>
          <w:sz w:val="24"/>
          <w:highlight w:val="none"/>
          <w:lang w:eastAsia="zh-CN"/>
        </w:rPr>
      </w:pPr>
      <w:r>
        <w:rPr>
          <w:rFonts w:hint="eastAsia" w:ascii="仿宋_GB2312" w:hAnsi="仿宋_GB2312" w:eastAsia="仿宋_GB2312" w:cs="仿宋_GB2312"/>
          <w:sz w:val="24"/>
          <w:lang w:eastAsia="zh-CN"/>
        </w:rPr>
        <w:t>项目原有变压器安装总容量16800kVA，目前从市政不同变电站引来满足双重电源要求的三路独立10KV电源（两用一备）,负责整个项目的供电。原有供配电系统设计仅考虑满足大楼建筑照明、动力需求为主的技术业务用房相关建设内容，并未预留有特殊要求的功能用房如南网科研院数据中心等工艺设备用电需求。</w:t>
      </w:r>
      <w:r>
        <w:rPr>
          <w:rFonts w:hint="eastAsia" w:ascii="仿宋_GB2312" w:hAnsi="仿宋_GB2312" w:eastAsia="仿宋_GB2312" w:cs="仿宋_GB2312"/>
          <w:sz w:val="24"/>
          <w:lang w:val="en-US" w:eastAsia="zh-CN"/>
        </w:rPr>
        <w:t>现</w:t>
      </w:r>
      <w:r>
        <w:rPr>
          <w:rFonts w:hint="eastAsia" w:ascii="仿宋_GB2312" w:hAnsi="仿宋_GB2312" w:eastAsia="仿宋_GB2312" w:cs="仿宋_GB2312"/>
          <w:sz w:val="24"/>
          <w:lang w:eastAsia="zh-CN"/>
        </w:rPr>
        <w:t>按租户南网科研院需求，计划由鼎元资产公司为其实施数据中心机房的动力设备低压开关柜至D栋数据中心机房（D栋4、5层）出线电缆。其动力设备共600kW，须由两路不同的市电引入，实现一主一备双回路供电。实施后以设备租赁形式向租户出租。</w:t>
      </w:r>
      <w:r>
        <w:rPr>
          <w:rFonts w:hint="eastAsia" w:ascii="仿宋_GB2312" w:hAnsi="仿宋_GB2312" w:eastAsia="仿宋_GB2312" w:cs="仿宋_GB2312"/>
          <w:color w:val="auto"/>
          <w:sz w:val="24"/>
          <w:highlight w:val="none"/>
          <w:lang w:eastAsia="zh-CN"/>
        </w:rPr>
        <w:t>本次新增建设内容</w:t>
      </w:r>
      <w:r>
        <w:rPr>
          <w:rFonts w:hint="eastAsia" w:ascii="仿宋_GB2312" w:hAnsi="仿宋_GB2312" w:eastAsia="仿宋_GB2312" w:cs="仿宋_GB2312"/>
          <w:color w:val="auto"/>
          <w:sz w:val="24"/>
          <w:highlight w:val="none"/>
          <w:lang w:val="en-US" w:eastAsia="zh-CN"/>
        </w:rPr>
        <w:t>拟安装1250A的密集母线槽，接通C栋低压开关柜至D栋4、5层强电井电箱，预计母线槽长度共500米</w:t>
      </w:r>
      <w:r>
        <w:rPr>
          <w:rFonts w:hint="eastAsia" w:ascii="仿宋_GB2312" w:hAnsi="仿宋_GB2312" w:eastAsia="仿宋_GB2312" w:cs="仿宋_GB2312"/>
          <w:color w:val="auto"/>
          <w:sz w:val="24"/>
          <w:highlight w:val="none"/>
          <w:lang w:eastAsia="zh-CN"/>
        </w:rPr>
        <w:t>。含设备、施工、调试、</w:t>
      </w:r>
      <w:r>
        <w:rPr>
          <w:rFonts w:hint="eastAsia" w:ascii="仿宋_GB2312" w:hAnsi="仿宋_GB2312" w:eastAsia="仿宋_GB2312" w:cs="仿宋_GB2312"/>
          <w:color w:val="auto"/>
          <w:sz w:val="24"/>
          <w:highlight w:val="none"/>
          <w:lang w:val="en-US" w:eastAsia="zh-CN"/>
        </w:rPr>
        <w:t>验收、</w:t>
      </w:r>
      <w:r>
        <w:rPr>
          <w:rFonts w:hint="eastAsia" w:ascii="仿宋_GB2312" w:hAnsi="仿宋_GB2312" w:eastAsia="仿宋_GB2312" w:cs="仿宋_GB2312"/>
          <w:color w:val="auto"/>
          <w:sz w:val="24"/>
          <w:highlight w:val="none"/>
          <w:lang w:eastAsia="zh-CN"/>
        </w:rPr>
        <w:t>土建开孔等各项开支。</w:t>
      </w:r>
    </w:p>
    <w:p>
      <w:pPr>
        <w:spacing w:line="360" w:lineRule="auto"/>
        <w:rPr>
          <w:rFonts w:ascii="黑体" w:hAnsi="黑体" w:eastAsia="黑体" w:cs="黑体"/>
          <w:sz w:val="24"/>
        </w:rPr>
      </w:pPr>
      <w:r>
        <w:rPr>
          <w:rFonts w:hint="eastAsia" w:ascii="黑体" w:hAnsi="黑体" w:eastAsia="黑体" w:cs="黑体"/>
          <w:sz w:val="24"/>
        </w:rPr>
        <w:t>二、服务范围</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对</w:t>
      </w:r>
      <w:r>
        <w:rPr>
          <w:rFonts w:hint="eastAsia" w:ascii="仿宋_GB2312" w:hAnsi="仿宋_GB2312" w:eastAsia="仿宋_GB2312" w:cs="仿宋_GB2312"/>
          <w:sz w:val="24"/>
          <w:lang w:val="en-US" w:eastAsia="zh-CN"/>
        </w:rPr>
        <w:t>番禺</w:t>
      </w:r>
      <w:r>
        <w:rPr>
          <w:rFonts w:hint="eastAsia" w:ascii="仿宋_GB2312" w:hAnsi="仿宋_GB2312" w:eastAsia="仿宋_GB2312" w:cs="仿宋_GB2312"/>
          <w:sz w:val="24"/>
        </w:rPr>
        <w:t>电力科技园</w:t>
      </w:r>
      <w:r>
        <w:rPr>
          <w:rFonts w:hint="eastAsia" w:ascii="仿宋_GB2312" w:hAnsi="仿宋_GB2312" w:eastAsia="仿宋_GB2312" w:cs="仿宋_GB2312"/>
          <w:sz w:val="24"/>
          <w:lang w:val="en-US" w:eastAsia="zh-CN"/>
        </w:rPr>
        <w:t>三</w:t>
      </w:r>
      <w:r>
        <w:rPr>
          <w:rFonts w:hint="eastAsia" w:ascii="仿宋_GB2312" w:hAnsi="仿宋_GB2312" w:eastAsia="仿宋_GB2312" w:cs="仿宋_GB2312"/>
          <w:sz w:val="24"/>
        </w:rPr>
        <w:t>期项目</w:t>
      </w:r>
      <w:r>
        <w:rPr>
          <w:rFonts w:hint="eastAsia" w:ascii="仿宋_GB2312" w:hAnsi="仿宋_GB2312" w:eastAsia="仿宋_GB2312" w:cs="仿宋_GB2312"/>
          <w:sz w:val="24"/>
          <w:lang w:val="en-US" w:eastAsia="zh-CN"/>
        </w:rPr>
        <w:t>新增电缆工程</w:t>
      </w:r>
      <w:r>
        <w:rPr>
          <w:rFonts w:hint="eastAsia" w:ascii="仿宋_GB2312" w:hAnsi="仿宋_GB2312" w:eastAsia="仿宋_GB2312" w:cs="仿宋_GB2312"/>
          <w:sz w:val="24"/>
        </w:rPr>
        <w:t>基于规范及需求</w:t>
      </w:r>
      <w:r>
        <w:rPr>
          <w:rFonts w:hint="eastAsia" w:ascii="仿宋_GB2312" w:hAnsi="仿宋_GB2312" w:eastAsia="仿宋_GB2312" w:cs="仿宋_GB2312"/>
          <w:sz w:val="24"/>
          <w:lang w:val="en-US" w:eastAsia="zh-CN"/>
        </w:rPr>
        <w:t>开展</w:t>
      </w:r>
      <w:r>
        <w:rPr>
          <w:rFonts w:hint="eastAsia" w:ascii="仿宋_GB2312" w:hAnsi="仿宋_GB2312" w:eastAsia="仿宋_GB2312" w:cs="仿宋_GB2312"/>
          <w:sz w:val="24"/>
        </w:rPr>
        <w:t>项目建议书、可行性研究报告</w:t>
      </w:r>
      <w:r>
        <w:rPr>
          <w:rFonts w:hint="eastAsia" w:ascii="仿宋_GB2312" w:hAnsi="仿宋_GB2312" w:eastAsia="仿宋_GB2312" w:cs="仿宋_GB2312"/>
          <w:sz w:val="24"/>
          <w:lang w:val="en-US" w:eastAsia="zh-CN"/>
        </w:rPr>
        <w:t>等编制及完善</w:t>
      </w:r>
      <w:r>
        <w:rPr>
          <w:rFonts w:hint="eastAsia" w:ascii="仿宋_GB2312" w:hAnsi="仿宋_GB2312" w:eastAsia="仿宋_GB2312" w:cs="仿宋_GB2312"/>
          <w:sz w:val="24"/>
        </w:rPr>
        <w:t>工作，具体服务内容包括但不限于：</w:t>
      </w:r>
    </w:p>
    <w:p>
      <w:pPr>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1、开展现场踏勘、调研、收集资料等工作。</w:t>
      </w:r>
    </w:p>
    <w:p>
      <w:pPr>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2、参与项目可行性研究报告的评审，并按照评审意见完善可行性研究报告文件。</w:t>
      </w:r>
    </w:p>
    <w:p>
      <w:pPr>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3、编制并向甲方提交建设项目项目建议书、可行性研究报告。</w:t>
      </w:r>
    </w:p>
    <w:p>
      <w:pPr>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4、确保提交的《建设项目可行性研究报告》最终取得批复文件。</w:t>
      </w:r>
    </w:p>
    <w:p>
      <w:pPr>
        <w:spacing w:line="360" w:lineRule="auto"/>
        <w:rPr>
          <w:rFonts w:ascii="黑体" w:hAnsi="黑体" w:eastAsia="黑体" w:cs="黑体"/>
          <w:sz w:val="24"/>
        </w:rPr>
      </w:pPr>
      <w:r>
        <w:rPr>
          <w:rFonts w:hint="eastAsia" w:ascii="黑体" w:hAnsi="黑体" w:eastAsia="黑体" w:cs="黑体"/>
          <w:sz w:val="24"/>
        </w:rPr>
        <w:t>三、工作依据</w:t>
      </w:r>
    </w:p>
    <w:p>
      <w:pPr>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1、国家有关建设工程的法律、行政法规和规章。</w:t>
      </w:r>
    </w:p>
    <w:p>
      <w:pPr>
        <w:spacing w:line="360" w:lineRule="auto"/>
        <w:ind w:firstLine="480" w:firstLineChars="200"/>
        <w:rPr>
          <w:rFonts w:hint="eastAsia" w:ascii="仿宋_GB2312" w:hAnsi="仿宋_GB2312" w:eastAsia="仿宋_GB2312" w:cs="仿宋_GB2312"/>
          <w:sz w:val="24"/>
          <w:lang w:eastAsia="zh-CN"/>
        </w:rPr>
      </w:pPr>
      <w:r>
        <w:rPr>
          <w:rFonts w:hint="eastAsia" w:ascii="仿宋_GB2312" w:hAnsi="仿宋_GB2312" w:eastAsia="仿宋_GB2312" w:cs="仿宋_GB2312"/>
          <w:sz w:val="24"/>
        </w:rPr>
        <w:t>2、国家和行业标准</w:t>
      </w:r>
      <w:r>
        <w:rPr>
          <w:rFonts w:hint="eastAsia" w:ascii="仿宋_GB2312" w:hAnsi="仿宋_GB2312" w:eastAsia="仿宋_GB2312" w:cs="仿宋_GB2312"/>
          <w:sz w:val="24"/>
          <w:lang w:eastAsia="zh-CN"/>
        </w:rPr>
        <w:t>。</w:t>
      </w:r>
    </w:p>
    <w:p>
      <w:pPr>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3、中国南方电网有限责任公司有关标准:《小型基建项目可行性研究内容深度规定》等最新管理规定。</w:t>
      </w:r>
    </w:p>
    <w:p>
      <w:pPr>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4、甲方采购文件、乙方报价文件、成交文件。</w:t>
      </w:r>
    </w:p>
    <w:p>
      <w:pPr>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5、甲方提供的其他基础资料及向乙方发出的有关函件。</w:t>
      </w:r>
    </w:p>
    <w:p>
      <w:pPr>
        <w:spacing w:line="360" w:lineRule="auto"/>
        <w:ind w:firstLine="480" w:firstLineChars="200"/>
        <w:rPr>
          <w:rFonts w:hint="eastAsia" w:ascii="仿宋_GB2312" w:hAnsi="仿宋_GB2312" w:eastAsia="仿宋_GB2312" w:cs="仿宋_GB2312"/>
          <w:color w:val="auto"/>
          <w:sz w:val="24"/>
          <w:lang w:eastAsia="zh-CN"/>
        </w:rPr>
      </w:pPr>
      <w:r>
        <w:rPr>
          <w:rFonts w:ascii="仿宋_GB2312" w:hAnsi="仿宋_GB2312" w:eastAsia="仿宋_GB2312" w:cs="仿宋_GB2312"/>
          <w:color w:val="auto"/>
          <w:sz w:val="24"/>
        </w:rPr>
        <w:t>6</w:t>
      </w:r>
      <w:r>
        <w:rPr>
          <w:rFonts w:hint="eastAsia" w:ascii="仿宋_GB2312" w:hAnsi="仿宋_GB2312" w:eastAsia="仿宋_GB2312" w:cs="仿宋_GB2312"/>
          <w:color w:val="auto"/>
          <w:sz w:val="24"/>
        </w:rPr>
        <w:t>、其他:《建筑工程设计文件编制深度规定》等(以最新版本为准)</w:t>
      </w:r>
      <w:r>
        <w:rPr>
          <w:rFonts w:hint="eastAsia" w:ascii="仿宋_GB2312" w:hAnsi="仿宋_GB2312" w:eastAsia="仿宋_GB2312" w:cs="仿宋_GB2312"/>
          <w:color w:val="auto"/>
          <w:sz w:val="24"/>
          <w:lang w:eastAsia="zh-CN"/>
        </w:rPr>
        <w:t>。</w:t>
      </w:r>
    </w:p>
    <w:p>
      <w:pPr>
        <w:spacing w:line="360" w:lineRule="auto"/>
        <w:rPr>
          <w:rFonts w:ascii="黑体" w:hAnsi="黑体" w:eastAsia="黑体" w:cs="黑体"/>
          <w:sz w:val="24"/>
        </w:rPr>
      </w:pPr>
      <w:r>
        <w:rPr>
          <w:rFonts w:ascii="黑体" w:hAnsi="黑体" w:eastAsia="黑体" w:cs="黑体"/>
          <w:sz w:val="24"/>
        </w:rPr>
        <w:t>四、工期要求</w:t>
      </w:r>
    </w:p>
    <w:p>
      <w:pPr>
        <w:spacing w:line="360" w:lineRule="auto"/>
        <w:ind w:firstLine="480" w:firstLineChars="20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项目</w:t>
      </w:r>
      <w:r>
        <w:rPr>
          <w:rFonts w:ascii="仿宋_GB2312" w:hAnsi="仿宋_GB2312" w:eastAsia="仿宋_GB2312" w:cs="仿宋_GB2312"/>
          <w:color w:val="auto"/>
          <w:sz w:val="24"/>
        </w:rPr>
        <w:t>接受委托后，</w:t>
      </w:r>
      <w:r>
        <w:rPr>
          <w:rFonts w:hint="eastAsia" w:ascii="仿宋_GB2312" w:hAnsi="仿宋_GB2312" w:eastAsia="仿宋_GB2312" w:cs="仿宋_GB2312"/>
          <w:color w:val="auto"/>
          <w:sz w:val="24"/>
        </w:rPr>
        <w:t>业主提供</w:t>
      </w:r>
      <w:r>
        <w:rPr>
          <w:rFonts w:ascii="仿宋_GB2312" w:hAnsi="仿宋_GB2312" w:eastAsia="仿宋_GB2312" w:cs="仿宋_GB2312"/>
          <w:color w:val="auto"/>
          <w:sz w:val="24"/>
        </w:rPr>
        <w:t>完整</w:t>
      </w:r>
      <w:r>
        <w:rPr>
          <w:rFonts w:hint="eastAsia" w:ascii="仿宋_GB2312" w:hAnsi="仿宋_GB2312" w:eastAsia="仿宋_GB2312" w:cs="仿宋_GB2312"/>
          <w:color w:val="auto"/>
          <w:sz w:val="24"/>
        </w:rPr>
        <w:t>资料后</w:t>
      </w:r>
      <w:r>
        <w:rPr>
          <w:rFonts w:hint="eastAsia" w:ascii="仿宋_GB2312" w:hAnsi="仿宋_GB2312" w:eastAsia="仿宋_GB2312" w:cs="仿宋_GB2312"/>
          <w:color w:val="auto"/>
          <w:sz w:val="24"/>
          <w:lang w:val="en-US" w:eastAsia="zh-CN"/>
        </w:rPr>
        <w:t>5</w:t>
      </w:r>
      <w:r>
        <w:rPr>
          <w:rFonts w:hint="eastAsia" w:ascii="仿宋_GB2312" w:hAnsi="仿宋_GB2312" w:eastAsia="仿宋_GB2312" w:cs="仿宋_GB2312"/>
          <w:color w:val="auto"/>
          <w:sz w:val="24"/>
        </w:rPr>
        <w:t>个工作日</w:t>
      </w:r>
      <w:r>
        <w:rPr>
          <w:rFonts w:ascii="仿宋_GB2312" w:hAnsi="仿宋_GB2312" w:eastAsia="仿宋_GB2312" w:cs="仿宋_GB2312"/>
          <w:color w:val="auto"/>
          <w:sz w:val="24"/>
        </w:rPr>
        <w:t>内</w:t>
      </w:r>
      <w:r>
        <w:rPr>
          <w:rFonts w:hint="eastAsia" w:ascii="仿宋_GB2312" w:hAnsi="仿宋_GB2312" w:eastAsia="仿宋_GB2312" w:cs="仿宋_GB2312"/>
          <w:color w:val="auto"/>
          <w:sz w:val="24"/>
        </w:rPr>
        <w:t>完成</w:t>
      </w:r>
      <w:r>
        <w:rPr>
          <w:rFonts w:ascii="仿宋_GB2312" w:hAnsi="仿宋_GB2312" w:eastAsia="仿宋_GB2312" w:cs="仿宋_GB2312"/>
          <w:color w:val="auto"/>
          <w:sz w:val="24"/>
        </w:rPr>
        <w:t>项目</w:t>
      </w:r>
      <w:r>
        <w:rPr>
          <w:rFonts w:hint="eastAsia" w:ascii="仿宋_GB2312" w:hAnsi="仿宋_GB2312" w:eastAsia="仿宋_GB2312" w:cs="仿宋_GB2312"/>
          <w:color w:val="auto"/>
          <w:sz w:val="24"/>
          <w:lang w:val="en-US" w:eastAsia="zh-CN"/>
        </w:rPr>
        <w:t>建议书初稿编制工作；项目建议书批复后15天内完成</w:t>
      </w:r>
      <w:r>
        <w:rPr>
          <w:rFonts w:hint="eastAsia" w:ascii="仿宋_GB2312" w:hAnsi="仿宋_GB2312" w:eastAsia="仿宋_GB2312" w:cs="仿宋_GB2312"/>
          <w:color w:val="auto"/>
          <w:sz w:val="24"/>
        </w:rPr>
        <w:t>可行性研究报告初稿编制工作。</w:t>
      </w:r>
    </w:p>
    <w:p>
      <w:pPr>
        <w:spacing w:line="360" w:lineRule="auto"/>
        <w:rPr>
          <w:rFonts w:ascii="黑体" w:hAnsi="黑体" w:eastAsia="黑体" w:cs="黑体"/>
          <w:sz w:val="24"/>
        </w:rPr>
      </w:pPr>
      <w:r>
        <w:rPr>
          <w:rFonts w:ascii="黑体" w:hAnsi="黑体" w:eastAsia="黑体" w:cs="黑体"/>
          <w:sz w:val="24"/>
        </w:rPr>
        <w:t>五、项目团队要求</w:t>
      </w:r>
    </w:p>
    <w:p>
      <w:pPr>
        <w:spacing w:line="360" w:lineRule="auto"/>
        <w:ind w:firstLine="480" w:firstLineChars="200"/>
        <w:rPr>
          <w:rFonts w:ascii="仿宋_GB2312" w:hAnsi="仿宋_GB2312" w:eastAsia="仿宋_GB2312" w:cs="仿宋_GB2312"/>
          <w:color w:val="auto"/>
          <w:sz w:val="24"/>
        </w:rPr>
      </w:pPr>
      <w:r>
        <w:rPr>
          <w:rFonts w:ascii="仿宋_GB2312" w:hAnsi="仿宋_GB2312" w:eastAsia="仿宋_GB2312" w:cs="仿宋_GB2312"/>
          <w:color w:val="auto"/>
          <w:sz w:val="24"/>
        </w:rPr>
        <w:t>项目团队主要人员配置</w:t>
      </w:r>
      <w:r>
        <w:rPr>
          <w:rFonts w:hint="eastAsia" w:ascii="仿宋_GB2312" w:hAnsi="仿宋_GB2312" w:eastAsia="仿宋_GB2312" w:cs="仿宋_GB2312"/>
          <w:color w:val="auto"/>
          <w:sz w:val="24"/>
        </w:rPr>
        <w:t>如下</w:t>
      </w:r>
      <w:r>
        <w:rPr>
          <w:rFonts w:ascii="仿宋_GB2312" w:hAnsi="仿宋_GB2312" w:eastAsia="仿宋_GB2312" w:cs="仿宋_GB2312"/>
          <w:color w:val="auto"/>
          <w:sz w:val="24"/>
        </w:rPr>
        <w:t>:</w:t>
      </w:r>
    </w:p>
    <w:p>
      <w:pPr>
        <w:spacing w:line="360" w:lineRule="auto"/>
        <w:ind w:firstLine="480" w:firstLineChars="200"/>
        <w:rPr>
          <w:rFonts w:ascii="仿宋_GB2312" w:hAnsi="仿宋_GB2312" w:eastAsia="仿宋_GB2312" w:cs="仿宋_GB2312"/>
          <w:color w:val="auto"/>
          <w:sz w:val="24"/>
        </w:rPr>
      </w:pPr>
      <w:r>
        <w:rPr>
          <w:rFonts w:ascii="仿宋_GB2312" w:hAnsi="仿宋_GB2312" w:eastAsia="仿宋_GB2312" w:cs="仿宋_GB2312"/>
          <w:color w:val="auto"/>
          <w:sz w:val="24"/>
        </w:rPr>
        <w:t>1.报价人应在全国投资项目在线审批监管平台完成工程咨询单位备案(备案专业须包含建筑专业)。</w:t>
      </w:r>
    </w:p>
    <w:p>
      <w:pPr>
        <w:spacing w:line="360" w:lineRule="auto"/>
        <w:ind w:firstLine="480" w:firstLineChars="200"/>
        <w:rPr>
          <w:rFonts w:ascii="仿宋_GB2312" w:hAnsi="仿宋_GB2312" w:eastAsia="仿宋_GB2312" w:cs="仿宋_GB2312"/>
          <w:color w:val="auto"/>
          <w:sz w:val="24"/>
        </w:rPr>
      </w:pPr>
      <w:r>
        <w:rPr>
          <w:rFonts w:ascii="仿宋_GB2312" w:hAnsi="仿宋_GB2312" w:eastAsia="仿宋_GB2312" w:cs="仿宋_GB2312"/>
          <w:color w:val="auto"/>
          <w:sz w:val="24"/>
        </w:rPr>
        <w:t>2.项目团队主要人员要求:项目负责人须具有注册</w:t>
      </w:r>
      <w:r>
        <w:rPr>
          <w:rFonts w:hint="eastAsia" w:ascii="仿宋_GB2312" w:hAnsi="仿宋_GB2312" w:eastAsia="仿宋_GB2312" w:cs="仿宋_GB2312"/>
          <w:color w:val="auto"/>
          <w:sz w:val="24"/>
        </w:rPr>
        <w:t>咨询</w:t>
      </w:r>
      <w:r>
        <w:rPr>
          <w:rFonts w:ascii="仿宋_GB2312" w:hAnsi="仿宋_GB2312" w:eastAsia="仿宋_GB2312" w:cs="仿宋_GB2312"/>
          <w:color w:val="auto"/>
          <w:sz w:val="24"/>
        </w:rPr>
        <w:t>工程师(投资)执业证书，电气专业负责人须具有注册公用设备工程师(供配电)执业证书，造价专业负责人须具有注册造价工程师执业证书。</w:t>
      </w:r>
    </w:p>
    <w:p>
      <w:pPr>
        <w:spacing w:line="360" w:lineRule="auto"/>
        <w:rPr>
          <w:rFonts w:ascii="黑体" w:hAnsi="黑体" w:eastAsia="黑体" w:cs="黑体"/>
          <w:sz w:val="24"/>
        </w:rPr>
      </w:pPr>
      <w:r>
        <w:rPr>
          <w:rFonts w:ascii="黑体" w:hAnsi="黑体" w:eastAsia="黑体" w:cs="黑体"/>
          <w:sz w:val="24"/>
        </w:rPr>
        <w:t>六、</w:t>
      </w:r>
      <w:r>
        <w:rPr>
          <w:rFonts w:hint="eastAsia" w:ascii="黑体" w:hAnsi="黑体" w:eastAsia="黑体" w:cs="黑体"/>
          <w:sz w:val="24"/>
        </w:rPr>
        <w:t>所需证明文件</w:t>
      </w:r>
    </w:p>
    <w:p>
      <w:pPr>
        <w:spacing w:line="360" w:lineRule="auto"/>
        <w:ind w:firstLine="480" w:firstLineChars="200"/>
        <w:rPr>
          <w:rFonts w:ascii="仿宋_GB2312" w:hAnsi="仿宋_GB2312" w:eastAsia="仿宋_GB2312" w:cs="仿宋_GB2312"/>
          <w:color w:val="auto"/>
          <w:sz w:val="24"/>
        </w:rPr>
      </w:pPr>
      <w:r>
        <w:rPr>
          <w:rFonts w:ascii="仿宋_GB2312" w:hAnsi="仿宋_GB2312" w:eastAsia="仿宋_GB2312" w:cs="仿宋_GB2312"/>
          <w:color w:val="auto"/>
          <w:sz w:val="24"/>
        </w:rPr>
        <w:t>1.提供在线监管平台查询结果打印件证明文件，并盖章。</w:t>
      </w:r>
    </w:p>
    <w:p>
      <w:pPr>
        <w:spacing w:line="360" w:lineRule="auto"/>
        <w:ind w:firstLine="480" w:firstLineChars="200"/>
        <w:rPr>
          <w:rFonts w:ascii="仿宋_GB2312" w:hAnsi="仿宋_GB2312" w:eastAsia="仿宋_GB2312" w:cs="仿宋_GB2312"/>
          <w:color w:val="auto"/>
          <w:sz w:val="24"/>
        </w:rPr>
      </w:pPr>
      <w:r>
        <w:rPr>
          <w:rFonts w:ascii="仿宋_GB2312" w:hAnsi="仿宋_GB2312" w:eastAsia="仿宋_GB2312" w:cs="仿宋_GB2312"/>
          <w:color w:val="auto"/>
          <w:sz w:val="24"/>
        </w:rPr>
        <w:t>2.团队人员必须为</w:t>
      </w:r>
      <w:r>
        <w:rPr>
          <w:rFonts w:hint="eastAsia" w:ascii="仿宋_GB2312" w:hAnsi="仿宋_GB2312" w:eastAsia="仿宋_GB2312" w:cs="仿宋_GB2312"/>
          <w:color w:val="auto"/>
          <w:sz w:val="24"/>
          <w:lang w:val="en-US" w:eastAsia="zh-CN"/>
        </w:rPr>
        <w:t>报价</w:t>
      </w:r>
      <w:r>
        <w:rPr>
          <w:rFonts w:ascii="仿宋_GB2312" w:hAnsi="仿宋_GB2312" w:eastAsia="仿宋_GB2312" w:cs="仿宋_GB2312"/>
          <w:color w:val="auto"/>
          <w:sz w:val="24"/>
        </w:rPr>
        <w:t>单位人员，须提供相应有效期内的注册执业证书</w:t>
      </w:r>
      <w:r>
        <w:rPr>
          <w:rFonts w:hint="eastAsia" w:ascii="仿宋_GB2312" w:hAnsi="仿宋_GB2312" w:eastAsia="仿宋_GB2312" w:cs="仿宋_GB2312"/>
          <w:color w:val="auto"/>
          <w:sz w:val="24"/>
        </w:rPr>
        <w:t>扫描件</w:t>
      </w:r>
      <w:r>
        <w:rPr>
          <w:rFonts w:ascii="仿宋_GB2312" w:hAnsi="仿宋_GB2312" w:eastAsia="仿宋_GB2312" w:cs="仿宋_GB2312"/>
          <w:color w:val="auto"/>
          <w:sz w:val="24"/>
        </w:rPr>
        <w:t>，同时提交与报价人名称一致的加盖当地社保局印章的、</w:t>
      </w:r>
      <w:r>
        <w:rPr>
          <w:rFonts w:hint="eastAsia" w:ascii="仿宋_GB2312" w:hAnsi="仿宋_GB2312" w:eastAsia="仿宋_GB2312" w:cs="仿宋_GB2312"/>
          <w:color w:val="auto"/>
          <w:sz w:val="24"/>
          <w:lang w:val="en-US" w:eastAsia="zh-CN"/>
        </w:rPr>
        <w:t>报价</w:t>
      </w:r>
      <w:r>
        <w:rPr>
          <w:rFonts w:ascii="仿宋_GB2312" w:hAnsi="仿宋_GB2312" w:eastAsia="仿宋_GB2312" w:cs="仿宋_GB2312"/>
          <w:color w:val="auto"/>
          <w:sz w:val="24"/>
        </w:rPr>
        <w:t>截止之日前近1个月的社会劳动保险缴费证明扫描件。</w:t>
      </w:r>
    </w:p>
    <w:p>
      <w:pPr>
        <w:spacing w:line="360" w:lineRule="auto"/>
        <w:rPr>
          <w:rFonts w:ascii="黑体" w:hAnsi="黑体" w:eastAsia="黑体" w:cs="黑体"/>
          <w:sz w:val="24"/>
        </w:rPr>
      </w:pPr>
      <w:r>
        <w:rPr>
          <w:rFonts w:hint="eastAsia" w:ascii="黑体" w:hAnsi="黑体" w:eastAsia="黑体" w:cs="黑体"/>
          <w:sz w:val="24"/>
        </w:rPr>
        <w:t>七</w:t>
      </w:r>
      <w:r>
        <w:rPr>
          <w:rFonts w:ascii="黑体" w:hAnsi="黑体" w:eastAsia="黑体" w:cs="黑体"/>
          <w:sz w:val="24"/>
        </w:rPr>
        <w:t>、其他工作要求</w:t>
      </w:r>
    </w:p>
    <w:p>
      <w:pPr>
        <w:spacing w:line="360" w:lineRule="auto"/>
        <w:ind w:firstLine="480" w:firstLineChars="200"/>
        <w:rPr>
          <w:rFonts w:ascii="仿宋_GB2312" w:hAnsi="仿宋_GB2312" w:eastAsia="仿宋_GB2312" w:cs="仿宋_GB2312"/>
          <w:color w:val="auto"/>
          <w:sz w:val="24"/>
        </w:rPr>
      </w:pPr>
      <w:r>
        <w:rPr>
          <w:rFonts w:hint="eastAsia" w:ascii="仿宋_GB2312" w:hAnsi="仿宋_GB2312" w:eastAsia="仿宋_GB2312" w:cs="仿宋_GB2312"/>
          <w:color w:val="auto"/>
          <w:sz w:val="24"/>
        </w:rPr>
        <w:t>《建设项目</w:t>
      </w:r>
      <w:r>
        <w:rPr>
          <w:rFonts w:hint="eastAsia" w:ascii="仿宋_GB2312" w:hAnsi="仿宋_GB2312" w:eastAsia="仿宋_GB2312" w:cs="仿宋_GB2312"/>
          <w:color w:val="auto"/>
          <w:sz w:val="24"/>
          <w:lang w:val="en-US" w:eastAsia="zh-CN"/>
        </w:rPr>
        <w:t>建议书</w:t>
      </w:r>
      <w:r>
        <w:rPr>
          <w:rFonts w:hint="eastAsia" w:ascii="仿宋_GB2312" w:hAnsi="仿宋_GB2312" w:eastAsia="仿宋_GB2312" w:cs="仿宋_GB2312"/>
          <w:color w:val="auto"/>
          <w:sz w:val="24"/>
        </w:rPr>
        <w:t>》《建设项目可行性研究报告》数量为纸质文本一式</w:t>
      </w:r>
      <w:r>
        <w:rPr>
          <w:rFonts w:hint="eastAsia" w:ascii="仿宋_GB2312" w:hAnsi="仿宋_GB2312" w:eastAsia="仿宋_GB2312" w:cs="仿宋_GB2312"/>
          <w:color w:val="auto"/>
          <w:sz w:val="24"/>
          <w:lang w:val="en-US" w:eastAsia="zh-CN"/>
        </w:rPr>
        <w:t>六</w:t>
      </w:r>
      <w:r>
        <w:rPr>
          <w:rFonts w:hint="eastAsia" w:ascii="仿宋_GB2312" w:hAnsi="仿宋_GB2312" w:eastAsia="仿宋_GB2312" w:cs="仿宋_GB2312"/>
          <w:color w:val="auto"/>
          <w:sz w:val="24"/>
        </w:rPr>
        <w:t>份(具体份数根据项目需要确定)，电子文本一份。其中包括纸质报告送审版</w:t>
      </w:r>
      <w:r>
        <w:rPr>
          <w:rFonts w:hint="eastAsia" w:ascii="仿宋_GB2312" w:hAnsi="仿宋_GB2312" w:eastAsia="仿宋_GB2312" w:cs="仿宋_GB2312"/>
          <w:color w:val="auto"/>
          <w:sz w:val="24"/>
          <w:lang w:val="en-US" w:eastAsia="zh-CN"/>
        </w:rPr>
        <w:t>三</w:t>
      </w:r>
      <w:r>
        <w:rPr>
          <w:rFonts w:hint="eastAsia" w:ascii="仿宋_GB2312" w:hAnsi="仿宋_GB2312" w:eastAsia="仿宋_GB2312" w:cs="仿宋_GB2312"/>
          <w:color w:val="auto"/>
          <w:sz w:val="24"/>
        </w:rPr>
        <w:t>份、审定版</w:t>
      </w:r>
      <w:r>
        <w:rPr>
          <w:rFonts w:hint="eastAsia" w:ascii="仿宋_GB2312" w:hAnsi="仿宋_GB2312" w:eastAsia="仿宋_GB2312" w:cs="仿宋_GB2312"/>
          <w:color w:val="auto"/>
          <w:sz w:val="24"/>
          <w:lang w:val="en-US" w:eastAsia="zh-CN"/>
        </w:rPr>
        <w:t>三</w:t>
      </w:r>
      <w:r>
        <w:rPr>
          <w:rFonts w:hint="eastAsia" w:ascii="仿宋_GB2312" w:hAnsi="仿宋_GB2312" w:eastAsia="仿宋_GB2312" w:cs="仿宋_GB2312"/>
          <w:color w:val="auto"/>
          <w:sz w:val="24"/>
        </w:rPr>
        <w:t>份，以及同时提供以上纸质报告相关文本的可编辑电子版本。</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modern"/>
    <w:pitch w:val="default"/>
    <w:sig w:usb0="E0002EFF" w:usb1="C000785B" w:usb2="00000009" w:usb3="00000000" w:csb0="400001FF" w:csb1="FFFF0000"/>
  </w:font>
  <w:font w:name="宋体">
    <w:panose1 w:val="02010600030101010101"/>
    <w:charset w:val="8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E11"/>
    <w:rsid w:val="000F14D5"/>
    <w:rsid w:val="002A019C"/>
    <w:rsid w:val="007E1B90"/>
    <w:rsid w:val="00DD077B"/>
    <w:rsid w:val="00FA4E11"/>
    <w:rsid w:val="01565084"/>
    <w:rsid w:val="04340666"/>
    <w:rsid w:val="1A765CAB"/>
    <w:rsid w:val="22184F3B"/>
    <w:rsid w:val="259B22CE"/>
    <w:rsid w:val="27DD78C0"/>
    <w:rsid w:val="2A181FAD"/>
    <w:rsid w:val="2D7F7BA6"/>
    <w:rsid w:val="36514DAB"/>
    <w:rsid w:val="3B492564"/>
    <w:rsid w:val="3D3C3CA5"/>
    <w:rsid w:val="402B2AD3"/>
    <w:rsid w:val="40E22E81"/>
    <w:rsid w:val="49381609"/>
    <w:rsid w:val="4A9326C8"/>
    <w:rsid w:val="4AAB0A35"/>
    <w:rsid w:val="547109FF"/>
    <w:rsid w:val="5A8A670F"/>
    <w:rsid w:val="60E07680"/>
    <w:rsid w:val="67151F9B"/>
    <w:rsid w:val="79584809"/>
    <w:rsid w:val="7E171E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1290</Words>
  <Characters>1361</Characters>
  <Lines>10</Lines>
  <Paragraphs>2</Paragraphs>
  <TotalTime>1</TotalTime>
  <ScaleCrop>false</ScaleCrop>
  <LinksUpToDate>false</LinksUpToDate>
  <CharactersWithSpaces>1361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2026-02-03T03:07:00Z</dcterms:created>
  <dc:creator>zhenght.MD-DYZC-ZHENGHT</dc:creator>
  <cp:lastModifiedBy>郑海涛</cp:lastModifiedBy>
  <dcterms:modified xsi:type="dcterms:W3CDTF">2026-02-24T03:01:37Z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1E5E8D6EBC2F4369BE239696CC3A7E03</vt:lpwstr>
  </property>
  <property fmtid="{D5CDD505-2E9C-101B-9397-08002B2CF9AE}" pid="4" name="KSOTemplateDocerSaveRecord">
    <vt:lpwstr>eyJoZGlkIjoiMGI1MjY5ZjI2MzljNGY4YWRmMDk0MzczYjlmMTMwMDAiLCJ1c2VySWQiOiI4NDIwOTE2NDcifQ==</vt:lpwstr>
  </property>
</Properties>
</file>