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0" w:lineRule="atLeast"/>
        <w:jc w:val="center"/>
        <w:outlineLvl w:val="9"/>
        <w:rPr>
          <w:sz w:val="52"/>
          <w:szCs w:val="52"/>
        </w:rPr>
      </w:pPr>
      <w:bookmarkStart w:id="0" w:name="_Toc21712"/>
      <w:bookmarkStart w:id="1" w:name="_Toc26117"/>
      <w:bookmarkStart w:id="2" w:name="_Toc19212"/>
      <w:bookmarkStart w:id="3" w:name="_Toc1546"/>
      <w:bookmarkStart w:id="4" w:name="_Toc12792"/>
      <w:bookmarkStart w:id="5" w:name="_Toc10585"/>
      <w:bookmarkStart w:id="6" w:name="_Toc12389"/>
      <w:bookmarkStart w:id="7" w:name="_Toc131133981"/>
      <w:bookmarkStart w:id="8" w:name="_Toc183578143"/>
      <w:bookmarkStart w:id="9" w:name="_Toc131168595"/>
      <w:bookmarkStart w:id="10" w:name="_Toc114028927"/>
      <w:bookmarkStart w:id="11" w:name="_Toc131134327"/>
      <w:bookmarkStart w:id="12" w:name="_Toc131134226"/>
      <w:r>
        <w:rPr>
          <w:rFonts w:hint="eastAsia" w:ascii="仿宋_GB2312" w:hAnsi="仿宋_GB2312" w:eastAsia="仿宋_GB2312" w:cs="仿宋_GB2312"/>
          <w:b/>
          <w:sz w:val="52"/>
          <w:szCs w:val="52"/>
        </w:rPr>
        <w:t>数字电网公司2026年变电轻量型网关外观设计服务零星采购项目（二次采购）</w:t>
      </w:r>
      <w:r>
        <w:rPr>
          <w:sz w:val="52"/>
          <w:szCs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-828040</wp:posOffset>
            </wp:positionH>
            <wp:positionV relativeFrom="paragraph">
              <wp:posOffset>-1091565</wp:posOffset>
            </wp:positionV>
            <wp:extent cx="7548245" cy="3088640"/>
            <wp:effectExtent l="0" t="0" r="14605" b="16510"/>
            <wp:wrapTight wrapText="bothSides">
              <wp:wrapPolygon>
                <wp:start x="0" y="0"/>
                <wp:lineTo x="0" y="21449"/>
                <wp:lineTo x="21533" y="21449"/>
                <wp:lineTo x="21533" y="0"/>
                <wp:lineTo x="0" y="0"/>
              </wp:wrapPolygon>
            </wp:wrapTight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308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jc w:val="center"/>
        <w:outlineLvl w:val="9"/>
        <w:rPr>
          <w:rFonts w:hint="eastAsia" w:ascii="仿宋_GB2312" w:hAnsi="仿宋_GB2312" w:eastAsia="仿宋_GB2312" w:cs="仿宋_GB2312"/>
          <w:b/>
          <w:sz w:val="52"/>
          <w:szCs w:val="52"/>
        </w:rPr>
      </w:pPr>
      <w:bookmarkStart w:id="13" w:name="_Toc617"/>
      <w:bookmarkStart w:id="14" w:name="_Toc6407"/>
      <w:bookmarkStart w:id="15" w:name="_Toc213149892"/>
      <w:r>
        <w:rPr>
          <w:rFonts w:hint="eastAsia" w:ascii="仿宋_GB2312" w:hAnsi="仿宋_GB2312" w:eastAsia="仿宋_GB2312" w:cs="仿宋_GB2312"/>
          <w:b/>
          <w:sz w:val="52"/>
          <w:szCs w:val="52"/>
        </w:rPr>
        <w:t>技术规范书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13"/>
      <w:bookmarkEnd w:id="14"/>
      <w:bookmarkEnd w:id="15"/>
    </w:p>
    <w:p/>
    <w:p>
      <w:bookmarkStart w:id="16" w:name="_Toc1168"/>
      <w:bookmarkStart w:id="17" w:name="_Toc30002"/>
      <w:bookmarkStart w:id="18" w:name="_Toc2340"/>
      <w:bookmarkStart w:id="19" w:name="_Toc10999"/>
      <w:bookmarkStart w:id="20" w:name="_Toc9207"/>
      <w:bookmarkStart w:id="21" w:name="_Toc29549"/>
      <w:bookmarkStart w:id="22" w:name="_Toc2875"/>
    </w:p>
    <w:p/>
    <w:p>
      <w:pPr>
        <w:numPr>
          <w:ilvl w:val="0"/>
          <w:numId w:val="0"/>
        </w:numPr>
        <w:tabs>
          <w:tab w:val="left" w:pos="425"/>
        </w:tabs>
        <w:outlineLvl w:val="9"/>
        <w:rPr>
          <w:rFonts w:hint="eastAsia"/>
        </w:rPr>
      </w:pPr>
    </w:p>
    <w:p/>
    <w:p>
      <w:pPr>
        <w:numPr>
          <w:ilvl w:val="0"/>
          <w:numId w:val="0"/>
        </w:numPr>
        <w:tabs>
          <w:tab w:val="left" w:pos="425"/>
        </w:tabs>
        <w:outlineLvl w:val="9"/>
        <w:rPr>
          <w:rFonts w:hint="eastAsia"/>
        </w:rPr>
      </w:pPr>
    </w:p>
    <w:p/>
    <w:p>
      <w:pPr>
        <w:pStyle w:val="2"/>
        <w:outlineLvl w:val="9"/>
      </w:pPr>
    </w:p>
    <w:p>
      <w:pPr>
        <w:pStyle w:val="3"/>
        <w:outlineLvl w:val="9"/>
      </w:pPr>
    </w:p>
    <w:p>
      <w:pPr>
        <w:outlineLvl w:val="9"/>
      </w:pPr>
    </w:p>
    <w:p/>
    <w:bookmarkEnd w:id="16"/>
    <w:bookmarkEnd w:id="17"/>
    <w:bookmarkEnd w:id="18"/>
    <w:bookmarkEnd w:id="19"/>
    <w:bookmarkEnd w:id="20"/>
    <w:bookmarkEnd w:id="21"/>
    <w:bookmarkEnd w:id="22"/>
    <w:p>
      <w:pPr>
        <w:jc w:val="center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南方电网数字电网科技（广东）有限公司</w:t>
      </w:r>
    </w:p>
    <w:p>
      <w:pPr>
        <w:jc w:val="center"/>
        <w:rPr>
          <w:rFonts w:hint="eastAsia" w:ascii="仿宋_GB2312" w:hAnsi="仿宋_GB2312" w:eastAsia="仿宋_GB2312" w:cs="仿宋_GB2312"/>
          <w:b/>
          <w:szCs w:val="22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02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月</w:t>
      </w:r>
      <w:bookmarkEnd w:id="7"/>
      <w:bookmarkEnd w:id="8"/>
      <w:bookmarkEnd w:id="9"/>
      <w:bookmarkEnd w:id="10"/>
      <w:bookmarkEnd w:id="11"/>
      <w:bookmarkEnd w:id="12"/>
    </w:p>
    <w:p>
      <w:pPr>
        <w:pStyle w:val="2"/>
        <w:ind w:firstLine="723"/>
        <w:jc w:val="center"/>
        <w:rPr>
          <w:rFonts w:hint="eastAsia" w:ascii="仿宋_GB2312" w:hAnsi="仿宋_GB2312" w:eastAsia="仿宋_GB2312" w:cs="仿宋_GB2312"/>
          <w:b/>
          <w:sz w:val="36"/>
        </w:rPr>
        <w:sectPr>
          <w:pgSz w:w="11906" w:h="16838"/>
          <w:pgMar w:top="1440" w:right="1797" w:bottom="1440" w:left="1797" w:header="851" w:footer="992" w:gutter="0"/>
          <w:pgNumType w:fmt="lowerRoman" w:start="1"/>
          <w:cols w:space="720" w:num="1"/>
          <w:docGrid w:type="lines" w:linePitch="312" w:charSpace="0"/>
        </w:sectPr>
      </w:pPr>
      <w:bookmarkStart w:id="23" w:name="_Toc27433"/>
      <w:bookmarkStart w:id="24" w:name="_Toc27670"/>
      <w:bookmarkStart w:id="25" w:name="_Toc13964"/>
    </w:p>
    <w:p>
      <w:pPr>
        <w:pStyle w:val="2"/>
        <w:ind w:firstLine="0" w:firstLineChars="0"/>
        <w:jc w:val="center"/>
        <w:outlineLvl w:val="9"/>
        <w:rPr>
          <w:rFonts w:hint="eastAsia" w:ascii="黑体" w:hAnsi="黑体" w:eastAsia="黑体" w:cs="黑体"/>
          <w:bCs/>
          <w:sz w:val="32"/>
          <w:szCs w:val="32"/>
        </w:rPr>
      </w:pPr>
      <w:bookmarkStart w:id="26" w:name="_Toc1524"/>
      <w:bookmarkStart w:id="27" w:name="_Toc25106"/>
      <w:r>
        <w:rPr>
          <w:rFonts w:hint="eastAsia" w:ascii="黑体" w:hAnsi="黑体" w:eastAsia="黑体" w:cs="黑体"/>
          <w:bCs/>
          <w:sz w:val="32"/>
          <w:szCs w:val="32"/>
        </w:rPr>
        <w:t>目  录</w:t>
      </w:r>
      <w:bookmarkEnd w:id="23"/>
      <w:bookmarkEnd w:id="24"/>
      <w:bookmarkEnd w:id="25"/>
      <w:bookmarkEnd w:id="26"/>
      <w:bookmarkEnd w:id="27"/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sz w:val="24"/>
        </w:rPr>
        <w:fldChar w:fldCharType="begin"/>
      </w:r>
      <w:r>
        <w:rPr>
          <w:rFonts w:hint="eastAsia" w:ascii="仿宋_GB2312" w:hAnsi="仿宋_GB2312" w:eastAsia="仿宋_GB2312" w:cs="仿宋_GB2312"/>
          <w:sz w:val="24"/>
        </w:rPr>
        <w:instrText xml:space="preserve">TOC \o "1-2" \h \u </w:instrText>
      </w:r>
      <w:r>
        <w:rPr>
          <w:rFonts w:hint="eastAsia" w:ascii="仿宋_GB2312" w:hAnsi="仿宋_GB2312" w:eastAsia="仿宋_GB2312" w:cs="仿宋_GB2312"/>
          <w:sz w:val="24"/>
        </w:rPr>
        <w:fldChar w:fldCharType="separate"/>
      </w:r>
      <w:r>
        <w:rPr>
          <w:rFonts w:hint="eastAsia" w:ascii="仿宋_GB2312" w:hAnsi="仿宋_GB2312" w:eastAsia="仿宋_GB2312" w:cs="仿宋_GB2312"/>
        </w:rPr>
        <w:fldChar w:fldCharType="begin"/>
      </w:r>
      <w:r>
        <w:rPr>
          <w:rFonts w:hint="eastAsia" w:ascii="仿宋_GB2312" w:hAnsi="仿宋_GB2312" w:eastAsia="仿宋_GB2312" w:cs="仿宋_GB2312"/>
        </w:rPr>
        <w:instrText xml:space="preserve"> HYPERLINK \l _Toc25106 </w:instrText>
      </w:r>
      <w:r>
        <w:rPr>
          <w:rFonts w:hint="eastAsia" w:ascii="仿宋_GB2312" w:hAnsi="仿宋_GB2312" w:eastAsia="仿宋_GB2312" w:cs="仿宋_GB2312"/>
        </w:rPr>
        <w:fldChar w:fldCharType="separate"/>
      </w:r>
      <w:r>
        <w:rPr>
          <w:rFonts w:hint="eastAsia" w:ascii="黑体" w:hAnsi="黑体" w:eastAsia="黑体" w:cs="黑体"/>
          <w:bCs/>
          <w:szCs w:val="32"/>
        </w:rPr>
        <w:t>目  录</w:t>
      </w:r>
      <w:r>
        <w:tab/>
      </w:r>
      <w:r>
        <w:fldChar w:fldCharType="begin"/>
      </w:r>
      <w:r>
        <w:instrText xml:space="preserve"> PAGEREF _Toc25106 \h </w:instrText>
      </w:r>
      <w:r>
        <w:fldChar w:fldCharType="separate"/>
      </w:r>
      <w:r>
        <w:t>i</w:t>
      </w:r>
      <w:r>
        <w:fldChar w:fldCharType="end"/>
      </w:r>
      <w:r>
        <w:rPr>
          <w:rFonts w:hint="eastAsia" w:ascii="仿宋_GB2312" w:hAnsi="仿宋_GB2312" w:eastAsia="仿宋_GB2312" w:cs="仿宋_GB2312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_Toc15594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1. </w:t>
      </w:r>
      <w:r>
        <w:t>总则</w:t>
      </w:r>
      <w:r>
        <w:tab/>
      </w:r>
      <w:r>
        <w:fldChar w:fldCharType="begin"/>
      </w:r>
      <w:r>
        <w:instrText xml:space="preserve"> PAGEREF _Toc15594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_Toc26686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宋体"/>
          <w:bCs/>
          <w:i w:val="0"/>
          <w:spacing w:val="-12"/>
          <w:szCs w:val="44"/>
        </w:rPr>
        <w:t xml:space="preserve">2. </w:t>
      </w:r>
      <w:r>
        <w:rPr>
          <w:rFonts w:hint="eastAsia" w:ascii="仿宋_GB2312" w:hAnsi="仿宋_GB2312" w:cs="Times New Roman"/>
          <w:bCs/>
          <w:szCs w:val="28"/>
          <w:lang w:eastAsia="zh-CN"/>
        </w:rPr>
        <w:t>工作内容及</w:t>
      </w:r>
      <w:r>
        <w:rPr>
          <w:rFonts w:hint="eastAsia" w:ascii="仿宋_GB2312" w:hAnsi="仿宋_GB2312" w:cs="Times New Roman"/>
          <w:bCs/>
          <w:szCs w:val="28"/>
          <w:lang w:val="en-US" w:eastAsia="zh-CN"/>
        </w:rPr>
        <w:t>交付物</w:t>
      </w:r>
      <w:r>
        <w:tab/>
      </w:r>
      <w:r>
        <w:fldChar w:fldCharType="begin"/>
      </w:r>
      <w:r>
        <w:instrText xml:space="preserve"> PAGEREF _Toc26686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_Toc3733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3. </w:t>
      </w:r>
      <w:r>
        <w:rPr>
          <w:rFonts w:hint="eastAsia" w:ascii="仿宋_GB2312" w:hAnsi="仿宋_GB2312" w:cs="Times New Roman"/>
          <w:bCs w:val="0"/>
          <w:szCs w:val="28"/>
          <w:lang w:eastAsia="zh-CN"/>
        </w:rPr>
        <w:t>知识产权</w:t>
      </w:r>
      <w:r>
        <w:rPr>
          <w:rFonts w:hint="eastAsia" w:cs="Times New Roman"/>
          <w:bCs w:val="0"/>
          <w:szCs w:val="28"/>
          <w:lang w:val="en-US" w:eastAsia="zh-CN"/>
        </w:rPr>
        <w:t>要求</w:t>
      </w:r>
      <w:r>
        <w:tab/>
      </w:r>
      <w:r>
        <w:fldChar w:fldCharType="begin"/>
      </w:r>
      <w:r>
        <w:instrText xml:space="preserve"> PAGEREF _Toc3733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_Toc21064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4. </w:t>
      </w:r>
      <w:r>
        <w:rPr>
          <w:rFonts w:hint="eastAsia"/>
          <w:lang w:val="en-US" w:eastAsia="zh-CN"/>
        </w:rPr>
        <w:t>主体资格要求</w:t>
      </w:r>
      <w:r>
        <w:tab/>
      </w:r>
      <w:r>
        <w:fldChar w:fldCharType="begin"/>
      </w:r>
      <w:r>
        <w:instrText xml:space="preserve"> PAGEREF _Toc21064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_Toc1174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5. </w:t>
      </w:r>
      <w:r>
        <w:rPr>
          <w:rFonts w:hint="eastAsia" w:cs="Times New Roman"/>
          <w:bCs/>
          <w:szCs w:val="28"/>
          <w:lang w:val="en-US" w:eastAsia="zh-CN"/>
        </w:rPr>
        <w:t>服务团队要求</w:t>
      </w:r>
      <w:r>
        <w:tab/>
      </w:r>
      <w:r>
        <w:fldChar w:fldCharType="begin"/>
      </w:r>
      <w:r>
        <w:instrText xml:space="preserve"> PAGEREF _Toc1174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_Toc1449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6. </w:t>
      </w:r>
      <w:r>
        <w:rPr>
          <w:rFonts w:hint="eastAsia" w:cs="Times New Roman"/>
          <w:bCs/>
          <w:szCs w:val="28"/>
          <w:lang w:val="en-US" w:eastAsia="zh-CN"/>
        </w:rPr>
        <w:t>业绩要求</w:t>
      </w:r>
      <w:r>
        <w:tab/>
      </w:r>
      <w:r>
        <w:fldChar w:fldCharType="begin"/>
      </w:r>
      <w:r>
        <w:instrText xml:space="preserve"> PAGEREF _Toc1449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_Toc18922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7. </w:t>
      </w:r>
      <w:r>
        <w:rPr>
          <w:rFonts w:hint="eastAsia" w:ascii="仿宋_GB2312" w:hAnsi="仿宋_GB2312" w:cs="Times New Roman"/>
          <w:bCs/>
          <w:szCs w:val="28"/>
          <w:lang w:eastAsia="zh-CN"/>
        </w:rPr>
        <w:t>工期要求</w:t>
      </w:r>
      <w:r>
        <w:tab/>
      </w:r>
      <w:r>
        <w:fldChar w:fldCharType="begin"/>
      </w:r>
      <w:r>
        <w:instrText xml:space="preserve"> PAGEREF _Toc18922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_Toc14443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Cs/>
          <w:i w:val="0"/>
          <w:spacing w:val="-12"/>
          <w:szCs w:val="44"/>
          <w:lang w:eastAsia="zh-CN"/>
        </w:rPr>
        <w:t xml:space="preserve">8. </w:t>
      </w:r>
      <w:r>
        <w:rPr>
          <w:rFonts w:hint="eastAsia" w:ascii="仿宋_GB2312" w:hAnsi="仿宋_GB2312" w:cs="Times New Roman"/>
          <w:bCs/>
          <w:szCs w:val="28"/>
          <w:lang w:eastAsia="zh-Hans"/>
        </w:rPr>
        <w:t>安全保密要求</w:t>
      </w:r>
      <w:r>
        <w:tab/>
      </w:r>
      <w:r>
        <w:fldChar w:fldCharType="begin"/>
      </w:r>
      <w:r>
        <w:instrText xml:space="preserve"> PAGEREF _Toc14443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begin"/>
      </w:r>
      <w:r>
        <w:rPr>
          <w:rFonts w:hint="eastAsia" w:ascii="仿宋_GB2312" w:hAnsi="仿宋_GB2312" w:eastAsia="仿宋_GB2312" w:cs="仿宋_GB2312"/>
          <w:bCs w:val="0"/>
          <w:szCs w:val="24"/>
        </w:rPr>
        <w:instrText xml:space="preserve"> HYPERLINK \l _Toc17927 </w:instrText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  <w:lang w:val="en-US" w:eastAsia="zh-Hans"/>
        </w:rPr>
        <w:t xml:space="preserve">9. </w:t>
      </w:r>
      <w:r>
        <w:rPr>
          <w:rFonts w:hint="eastAsia"/>
          <w:lang w:val="en-US" w:eastAsia="zh-Hans"/>
        </w:rPr>
        <w:t>附件：机箱示意图</w:t>
      </w:r>
      <w:r>
        <w:tab/>
      </w:r>
      <w:r>
        <w:fldChar w:fldCharType="begin"/>
      </w:r>
      <w:r>
        <w:instrText xml:space="preserve"> PAGEREF _Toc17927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pStyle w:val="10"/>
        <w:tabs>
          <w:tab w:val="right" w:leader="dot" w:pos="8312"/>
        </w:tabs>
      </w:pPr>
    </w:p>
    <w:p>
      <w:pPr>
        <w:pStyle w:val="18"/>
        <w:tabs>
          <w:tab w:val="left" w:pos="420"/>
          <w:tab w:val="right" w:leader="dot" w:pos="8302"/>
        </w:tabs>
        <w:spacing w:before="0" w:line="360" w:lineRule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bCs w:val="0"/>
          <w:szCs w:val="24"/>
        </w:rPr>
        <w:fldChar w:fldCharType="end"/>
      </w: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24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fmt="lowerRoman" w:start="1"/>
          <w:cols w:space="720" w:num="1"/>
          <w:docGrid w:type="lines" w:linePitch="312" w:charSpace="0"/>
        </w:sectPr>
      </w:pPr>
    </w:p>
    <w:p>
      <w:pPr>
        <w:pStyle w:val="4"/>
      </w:pPr>
      <w:bookmarkStart w:id="28" w:name="_Toc192340308"/>
      <w:bookmarkEnd w:id="28"/>
      <w:bookmarkStart w:id="29" w:name="_Toc192340307"/>
      <w:bookmarkEnd w:id="29"/>
      <w:bookmarkStart w:id="30" w:name="_Toc8356"/>
      <w:bookmarkStart w:id="31" w:name="_Toc216"/>
      <w:bookmarkStart w:id="32" w:name="_Toc15594"/>
      <w:r>
        <w:t>总则</w:t>
      </w:r>
      <w:bookmarkEnd w:id="30"/>
      <w:bookmarkEnd w:id="31"/>
      <w:bookmarkEnd w:id="32"/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本</w:t>
      </w:r>
      <w:r>
        <w:rPr>
          <w:rFonts w:hint="eastAsia" w:ascii="宋体" w:hAnsi="宋体"/>
          <w:sz w:val="28"/>
          <w:szCs w:val="28"/>
          <w:lang w:eastAsia="zh-CN"/>
        </w:rPr>
        <w:t>技术</w:t>
      </w:r>
      <w:r>
        <w:rPr>
          <w:rFonts w:hint="eastAsia" w:ascii="宋体" w:hAnsi="宋体"/>
          <w:sz w:val="28"/>
          <w:szCs w:val="28"/>
          <w:lang w:val="en-US" w:eastAsia="zh-CN"/>
        </w:rPr>
        <w:t>规范书</w:t>
      </w:r>
      <w:r>
        <w:rPr>
          <w:rFonts w:ascii="宋体" w:hAnsi="宋体"/>
          <w:sz w:val="28"/>
          <w:szCs w:val="28"/>
        </w:rPr>
        <w:t>适用于</w:t>
      </w:r>
      <w:r>
        <w:rPr>
          <w:rFonts w:hint="eastAsia" w:ascii="宋体" w:hAnsi="宋体"/>
          <w:sz w:val="28"/>
          <w:szCs w:val="28"/>
          <w:lang w:val="en-US" w:eastAsia="zh-CN"/>
        </w:rPr>
        <w:t>数字电网公司2026年变电轻量型网关外观设计服务零星采购项目（二次采购）</w:t>
      </w:r>
      <w:bookmarkStart w:id="51" w:name="_GoBack"/>
      <w:bookmarkEnd w:id="51"/>
      <w:r>
        <w:rPr>
          <w:rFonts w:hint="eastAsia" w:ascii="宋体" w:hAnsi="宋体"/>
          <w:sz w:val="28"/>
          <w:szCs w:val="28"/>
        </w:rPr>
        <w:t>技术要求。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提出的是最低限度的技术要求，并未对一切技术细节作出规定，也未充分引述有关标准和规范的条文，</w:t>
      </w:r>
      <w:r>
        <w:rPr>
          <w:rFonts w:hint="eastAsia" w:ascii="宋体" w:hAnsi="宋体"/>
          <w:sz w:val="28"/>
          <w:szCs w:val="28"/>
          <w:lang w:eastAsia="zh-CN"/>
        </w:rPr>
        <w:t>报价人</w:t>
      </w:r>
      <w:r>
        <w:rPr>
          <w:rFonts w:ascii="宋体" w:hAnsi="宋体"/>
          <w:sz w:val="28"/>
          <w:szCs w:val="28"/>
        </w:rPr>
        <w:t>应提供符合</w:t>
      </w:r>
      <w:bookmarkStart w:id="33" w:name="OLE_LINK1"/>
      <w:bookmarkStart w:id="34" w:name="OLE_LINK2"/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hint="eastAsia" w:ascii="宋体" w:hAnsi="宋体"/>
          <w:sz w:val="28"/>
          <w:szCs w:val="28"/>
        </w:rPr>
        <w:t>及</w:t>
      </w: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hint="eastAsia" w:ascii="宋体" w:hAnsi="宋体"/>
          <w:sz w:val="28"/>
          <w:szCs w:val="28"/>
        </w:rPr>
        <w:t>引用的国家标准和行业标准</w:t>
      </w:r>
      <w:bookmarkEnd w:id="33"/>
      <w:bookmarkEnd w:id="34"/>
      <w:r>
        <w:rPr>
          <w:rFonts w:ascii="宋体" w:hAnsi="宋体"/>
          <w:sz w:val="28"/>
          <w:szCs w:val="28"/>
        </w:rPr>
        <w:t>的</w:t>
      </w:r>
      <w:r>
        <w:rPr>
          <w:rFonts w:hint="eastAsia" w:ascii="宋体" w:hAnsi="宋体"/>
          <w:sz w:val="28"/>
          <w:szCs w:val="28"/>
          <w:lang w:val="en-US" w:eastAsia="zh-CN"/>
        </w:rPr>
        <w:t>服务和交付物</w:t>
      </w:r>
      <w:r>
        <w:rPr>
          <w:rFonts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所</w:t>
      </w:r>
      <w:r>
        <w:rPr>
          <w:rFonts w:hint="eastAsia" w:ascii="宋体" w:hAnsi="宋体"/>
          <w:sz w:val="28"/>
          <w:szCs w:val="28"/>
          <w:lang w:eastAsia="zh-CN"/>
        </w:rPr>
        <w:t>要求</w:t>
      </w:r>
      <w:r>
        <w:rPr>
          <w:rFonts w:ascii="宋体" w:hAnsi="宋体"/>
          <w:sz w:val="28"/>
          <w:szCs w:val="28"/>
        </w:rPr>
        <w:t>的标准如不一致时，按较高标准执行。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经</w:t>
      </w:r>
      <w:r>
        <w:rPr>
          <w:rFonts w:hint="eastAsia" w:ascii="宋体" w:hAnsi="宋体"/>
          <w:sz w:val="28"/>
          <w:szCs w:val="28"/>
          <w:lang w:val="en-US" w:eastAsia="zh-CN"/>
        </w:rPr>
        <w:t>采购人、报价人双</w:t>
      </w:r>
      <w:r>
        <w:rPr>
          <w:rFonts w:ascii="宋体" w:hAnsi="宋体"/>
          <w:sz w:val="28"/>
          <w:szCs w:val="28"/>
        </w:rPr>
        <w:t>方确认后作为合同的技术附件，与合同正文具有同等法律效力。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在执行合同的过程中，</w:t>
      </w:r>
      <w:r>
        <w:rPr>
          <w:rFonts w:hint="eastAsia" w:ascii="宋体" w:hAnsi="宋体"/>
          <w:sz w:val="28"/>
          <w:szCs w:val="28"/>
          <w:lang w:eastAsia="zh-CN"/>
        </w:rPr>
        <w:t>采购人若</w:t>
      </w:r>
      <w:r>
        <w:rPr>
          <w:rFonts w:ascii="宋体" w:hAnsi="宋体"/>
          <w:sz w:val="28"/>
          <w:szCs w:val="28"/>
        </w:rPr>
        <w:t>发现</w:t>
      </w:r>
      <w:r>
        <w:rPr>
          <w:rFonts w:hint="eastAsia" w:ascii="宋体" w:hAnsi="宋体"/>
          <w:sz w:val="28"/>
          <w:szCs w:val="28"/>
          <w:lang w:val="en-US" w:eastAsia="zh-CN"/>
        </w:rPr>
        <w:t>报价人</w:t>
      </w:r>
      <w:r>
        <w:rPr>
          <w:rFonts w:ascii="宋体" w:hAnsi="宋体"/>
          <w:sz w:val="28"/>
          <w:szCs w:val="28"/>
        </w:rPr>
        <w:t>提供的</w:t>
      </w:r>
      <w:r>
        <w:rPr>
          <w:rFonts w:hint="eastAsia" w:ascii="宋体" w:hAnsi="宋体"/>
          <w:sz w:val="28"/>
          <w:szCs w:val="28"/>
          <w:lang w:val="en-US" w:eastAsia="zh-CN"/>
        </w:rPr>
        <w:t>服务或交付物</w:t>
      </w:r>
      <w:r>
        <w:rPr>
          <w:rFonts w:ascii="宋体" w:hAnsi="宋体"/>
          <w:sz w:val="28"/>
          <w:szCs w:val="28"/>
        </w:rPr>
        <w:t>与</w:t>
      </w:r>
      <w:r>
        <w:rPr>
          <w:rFonts w:hint="eastAsia" w:ascii="宋体" w:hAnsi="宋体"/>
          <w:sz w:val="28"/>
          <w:szCs w:val="28"/>
          <w:lang w:eastAsia="zh-CN"/>
        </w:rPr>
        <w:t>技术协议</w:t>
      </w:r>
      <w:r>
        <w:rPr>
          <w:rFonts w:ascii="宋体" w:hAnsi="宋体"/>
          <w:sz w:val="28"/>
          <w:szCs w:val="28"/>
        </w:rPr>
        <w:t>的条文存在差异，</w:t>
      </w:r>
      <w:r>
        <w:rPr>
          <w:rFonts w:hint="eastAsia" w:ascii="宋体" w:hAnsi="宋体"/>
          <w:sz w:val="28"/>
          <w:szCs w:val="28"/>
          <w:lang w:eastAsia="zh-CN"/>
        </w:rPr>
        <w:t>采购人</w:t>
      </w:r>
      <w:r>
        <w:rPr>
          <w:rFonts w:ascii="宋体" w:hAnsi="宋体"/>
          <w:sz w:val="28"/>
          <w:szCs w:val="28"/>
        </w:rPr>
        <w:t>有权利要求</w:t>
      </w:r>
      <w:r>
        <w:rPr>
          <w:rFonts w:hint="eastAsia" w:ascii="宋体" w:hAnsi="宋体"/>
          <w:sz w:val="28"/>
          <w:szCs w:val="28"/>
          <w:lang w:val="en-US" w:eastAsia="zh-CN"/>
        </w:rPr>
        <w:t>修改</w:t>
      </w:r>
      <w:r>
        <w:rPr>
          <w:rFonts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本技术规范书</w:t>
      </w:r>
      <w:r>
        <w:rPr>
          <w:rFonts w:ascii="宋体" w:hAnsi="宋体"/>
          <w:sz w:val="28"/>
          <w:szCs w:val="28"/>
        </w:rPr>
        <w:t>未尽事宜，由</w:t>
      </w:r>
      <w:r>
        <w:rPr>
          <w:rFonts w:hint="eastAsia" w:ascii="宋体" w:hAnsi="宋体"/>
          <w:sz w:val="28"/>
          <w:szCs w:val="28"/>
          <w:lang w:val="en-US" w:eastAsia="zh-CN"/>
        </w:rPr>
        <w:t>采购人、报价人</w:t>
      </w:r>
      <w:r>
        <w:rPr>
          <w:rFonts w:ascii="宋体" w:hAnsi="宋体"/>
          <w:sz w:val="28"/>
          <w:szCs w:val="28"/>
        </w:rPr>
        <w:t>双方协商确定。</w:t>
      </w:r>
    </w:p>
    <w:p>
      <w:pPr>
        <w:numPr>
          <w:ilvl w:val="0"/>
          <w:numId w:val="2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报价人</w:t>
      </w:r>
      <w:r>
        <w:rPr>
          <w:rFonts w:hint="default" w:ascii="宋体" w:hAnsi="宋体"/>
          <w:sz w:val="28"/>
          <w:szCs w:val="28"/>
          <w:lang w:val="en-US" w:eastAsia="zh-CN"/>
        </w:rPr>
        <w:t>若不能完全响应或优于响应</w:t>
      </w:r>
      <w:r>
        <w:rPr>
          <w:rFonts w:hint="eastAsia" w:ascii="宋体" w:hAnsi="宋体"/>
          <w:sz w:val="28"/>
          <w:szCs w:val="28"/>
          <w:lang w:val="en-US" w:eastAsia="zh-CN"/>
        </w:rPr>
        <w:t>本技术规范书要求，则视为报价无效。</w:t>
      </w:r>
    </w:p>
    <w:p>
      <w:pPr>
        <w:pStyle w:val="4"/>
        <w:rPr>
          <w:rFonts w:hint="eastAsia" w:ascii="宋体" w:hAnsi="宋体" w:cs="宋体"/>
          <w:b/>
          <w:bCs/>
          <w:sz w:val="30"/>
          <w:szCs w:val="30"/>
        </w:rPr>
      </w:pPr>
      <w:bookmarkStart w:id="35" w:name="_Toc26686"/>
      <w:r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  <w:t>工作内容及</w:t>
      </w:r>
      <w:r>
        <w:rPr>
          <w:rFonts w:hint="eastAsia" w:ascii="仿宋_GB2312" w:hAnsi="仿宋_GB2312" w:cs="Times New Roman"/>
          <w:b/>
          <w:bCs/>
          <w:sz w:val="32"/>
          <w:szCs w:val="28"/>
          <w:lang w:val="en-US" w:eastAsia="zh-CN"/>
        </w:rPr>
        <w:t>交付物</w:t>
      </w:r>
      <w:bookmarkEnd w:id="35"/>
    </w:p>
    <w:p>
      <w:pPr>
        <w:pStyle w:val="5"/>
        <w:bidi w:val="0"/>
        <w:rPr>
          <w:rFonts w:hint="eastAsia" w:ascii="黑体" w:hAnsi="黑体" w:eastAsia="黑体" w:cs="黑体"/>
          <w:b/>
          <w:bCs/>
          <w:sz w:val="30"/>
          <w:szCs w:val="30"/>
        </w:rPr>
      </w:pPr>
      <w:bookmarkStart w:id="36" w:name="_Toc14235"/>
      <w:bookmarkStart w:id="37" w:name="_Toc28285"/>
      <w:r>
        <w:rPr>
          <w:rFonts w:hint="eastAsia" w:ascii="黑体" w:hAnsi="黑体" w:eastAsia="黑体" w:cs="黑体"/>
          <w:b/>
          <w:bCs/>
          <w:sz w:val="30"/>
          <w:szCs w:val="30"/>
          <w:lang w:eastAsia="zh-Hans"/>
        </w:rPr>
        <w:t>工作内容</w:t>
      </w:r>
      <w:bookmarkEnd w:id="36"/>
      <w:bookmarkEnd w:id="37"/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应充分了解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产品所属行业和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的具体要求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后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通过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外观3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D的方式，提供不少于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4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款完全不同设计风格以及生产成本定位的创意方案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草图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给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采购人筛选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；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报价人应在响应文件中提供至少一种基于附件机箱示意图设计的3D草图作为能力证明。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严格根据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采购人选定的至少一种外观壳体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进行外观壳体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结构3D建模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设计（包括壳体装配、壳体材料选型、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表面工艺选择、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壳体组装顺序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等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），参数化模型设计完成后提供给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确认并根据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的要求修改。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报价人应按采购人要求完成产品的丝印配色设计。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应输出外观工艺文件、矢量图形文件、ST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E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P模型文件、渲染效果图、BOM清单、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宣传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配图等，并按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要求提供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，满足报价人生产、宣传及编辑要求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在样机制作过程中，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应积极配合外观、结构、色彩、表面处理等的调整，并为样机落地提供外观审核验收。</w:t>
      </w:r>
    </w:p>
    <w:p>
      <w:pPr>
        <w:numPr>
          <w:ilvl w:val="0"/>
          <w:numId w:val="3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需为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提供后续量产技术支持，包括协助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采购人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对接生产厂家、解决量产过程中出现的外观设计相关问题、提供必要的技术指导，技术支持期限不少于1年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。</w:t>
      </w:r>
    </w:p>
    <w:p>
      <w:pPr>
        <w:pStyle w:val="5"/>
        <w:bidi w:val="0"/>
        <w:rPr>
          <w:rFonts w:hint="eastAsia" w:ascii="黑体" w:hAnsi="黑体" w:eastAsia="黑体" w:cs="黑体"/>
          <w:b/>
          <w:bCs/>
          <w:sz w:val="30"/>
          <w:szCs w:val="30"/>
          <w:lang w:eastAsia="zh-Hans"/>
        </w:rPr>
      </w:pPr>
      <w:bookmarkStart w:id="38" w:name="_Toc31585"/>
      <w:bookmarkStart w:id="39" w:name="_Toc1701"/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交付物</w:t>
      </w:r>
      <w:bookmarkEnd w:id="38"/>
      <w:bookmarkEnd w:id="39"/>
    </w:p>
    <w:p>
      <w:pPr>
        <w:spacing w:line="336" w:lineRule="auto"/>
        <w:ind w:firstLine="560" w:firstLineChars="200"/>
        <w:jc w:val="left"/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交付物应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支持产品生产、宣传、及编辑，包括但不限于：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风格设计草图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（pdf格式）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设计效果图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（pdf+jpg格式）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外观STEP模型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（step格式）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壳体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STEP模型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（step格式）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产品效果图（pd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产品工艺文件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（pdf+ai格式）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表面工艺文件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（pdf+ai格式）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产品模块清单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（word格式）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产品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装配流程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说明文件（word格式）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矢量图形文件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（ai格式）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highlight w:val="none"/>
          <w:lang w:val="en-US" w:eastAsia="zh-CN"/>
        </w:rPr>
        <w:t>渲染效果图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（pdf格式）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宣传用配图</w:t>
      </w:r>
      <w:r>
        <w:rPr>
          <w:rFonts w:hint="eastAsia" w:ascii="宋体" w:hAnsi="宋体" w:cs="Times New Roman"/>
          <w:b w:val="0"/>
          <w:bCs w:val="0"/>
          <w:sz w:val="28"/>
          <w:szCs w:val="28"/>
          <w:lang w:val="en-US" w:eastAsia="zh-CN"/>
        </w:rPr>
        <w:t>（pdf格式）</w:t>
      </w:r>
    </w:p>
    <w:p>
      <w:pPr>
        <w:numPr>
          <w:ilvl w:val="0"/>
          <w:numId w:val="4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其他必要资料</w:t>
      </w:r>
    </w:p>
    <w:p>
      <w:pPr>
        <w:pStyle w:val="4"/>
        <w:rPr>
          <w:rFonts w:hint="eastAsia" w:ascii="仿宋_GB2312" w:hAnsi="仿宋_GB2312" w:cs="Times New Roman"/>
          <w:b w:val="0"/>
          <w:bCs w:val="0"/>
          <w:sz w:val="32"/>
          <w:szCs w:val="28"/>
          <w:lang w:eastAsia="zh-CN"/>
        </w:rPr>
      </w:pPr>
      <w:bookmarkStart w:id="40" w:name="_Toc3733"/>
      <w:r>
        <w:rPr>
          <w:rFonts w:hint="eastAsia" w:ascii="仿宋_GB2312" w:hAnsi="仿宋_GB2312" w:cs="Times New Roman"/>
          <w:b w:val="0"/>
          <w:bCs w:val="0"/>
          <w:sz w:val="32"/>
          <w:szCs w:val="28"/>
          <w:lang w:eastAsia="zh-CN"/>
        </w:rPr>
        <w:t>知识产权</w:t>
      </w:r>
      <w:r>
        <w:rPr>
          <w:rFonts w:hint="eastAsia" w:cs="Times New Roman"/>
          <w:b w:val="0"/>
          <w:bCs w:val="0"/>
          <w:sz w:val="32"/>
          <w:szCs w:val="28"/>
          <w:lang w:val="en-US" w:eastAsia="zh-CN"/>
        </w:rPr>
        <w:t>要求</w:t>
      </w:r>
      <w:bookmarkEnd w:id="40"/>
    </w:p>
    <w:p>
      <w:pPr>
        <w:pStyle w:val="2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应保证其提供的产品、工具、模型、方法论、文档、知识资产及服务等没有任何权利瑕疵，没有侵犯任何第三方权利。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在使用该产品或服务的任何一部分时，免受第三方提出的任何侵犯其知识产权的权利主张。如果任何人对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使用该产品及服务主张权利，由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负责处理一切纠纷及相关事宜，由此给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造成的损失，由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承担。</w:t>
      </w:r>
    </w:p>
    <w:p>
      <w:pPr>
        <w:pStyle w:val="2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本项目实施过程中产生的全部知识产权归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独家所有，包括但不限于：项目进行过程中形成的全部技术资料、产品设计成果（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2D/3D</w:t>
      </w: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模型文件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、</w:t>
      </w:r>
      <w:r>
        <w:rPr>
          <w:rFonts w:hint="default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产品工艺文件、表面工艺文件、矢量图形文件、渲染效果图、BOM清单、配图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、原型方案、设计图纸、迭代版本、优化方案、缺陷记录等）、中间数据、最终成果、文档、知识资产、改进方案、讨论纪要、方案草案、修改痕迹及其他与项目相关的创造性成果和衍生作品。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在本项目中从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中获得的文档、工具、数据等资料均为商业秘密，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应保密不外传，并在项目结束后删除相关保密资料。未经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书面许可，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成交人</w:t>
      </w:r>
      <w:r>
        <w:rPr>
          <w:rFonts w:hint="eastAsia" w:ascii="宋体" w:hAnsi="宋体" w:eastAsia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及其任何人员均不得行使本项目工作成果的任何知识产权</w:t>
      </w:r>
      <w:r>
        <w:rPr>
          <w:rFonts w:hint="eastAsia" w:hAnsi="宋体" w:cs="Times New Roman"/>
          <w:i w:val="0"/>
          <w:iCs w:val="0"/>
          <w:color w:val="000000" w:themeColor="text1"/>
          <w:kern w:val="2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</w:pPr>
      <w:bookmarkStart w:id="41" w:name="_Toc21064"/>
      <w:r>
        <w:rPr>
          <w:rFonts w:hint="eastAsia"/>
          <w:lang w:val="en-US" w:eastAsia="zh-CN"/>
        </w:rPr>
        <w:t>主体资格要求</w:t>
      </w:r>
      <w:bookmarkEnd w:id="41"/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须提供有效的营业执照副本复印件（加盖公章）。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报价人人员规模不少于20人，需提供近一年在职人员社保缴纳证明。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报价人需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提供近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一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年内无经营异常、无行政处罚、无失信被执行人记录的核查截图（天眼查、企查查等官方平台查询，加盖公章）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报价人需提供由中国人民银行征信中心出具的企业信用报告，且报告上无关注类和不良类未结清信贷及授权信息。</w:t>
      </w:r>
    </w:p>
    <w:p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560" w:firstLineChars="200"/>
        <w:jc w:val="both"/>
        <w:outlineLvl w:val="9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sz w:val="28"/>
          <w:szCs w:val="28"/>
          <w:lang w:val="en-US" w:eastAsia="zh-CN"/>
        </w:rPr>
        <w:t>报价人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必须具备良好的管理机制和服务条件，在产品外观设计领域具有领先的创新能力和技术基础，</w:t>
      </w: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近</w:t>
      </w:r>
      <w:r>
        <w:rPr>
          <w:rFonts w:hint="eastAsia" w:ascii="宋体" w:hAnsi="宋体" w:cs="Times New Roman"/>
          <w:sz w:val="28"/>
          <w:szCs w:val="28"/>
          <w:highlight w:val="none"/>
          <w:lang w:val="en-US" w:eastAsia="zh-CN"/>
        </w:rPr>
        <w:t>一年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获得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主流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设计奖</w:t>
      </w: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项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，需提供证书复印件作为证明材料。</w:t>
      </w:r>
    </w:p>
    <w:p>
      <w:pPr>
        <w:pStyle w:val="4"/>
      </w:pPr>
      <w:bookmarkStart w:id="42" w:name="_Toc1174"/>
      <w:r>
        <w:rPr>
          <w:rFonts w:hint="eastAsia" w:cs="Times New Roman"/>
          <w:b/>
          <w:bCs/>
          <w:sz w:val="32"/>
          <w:szCs w:val="28"/>
          <w:lang w:val="en-US" w:eastAsia="zh-CN"/>
        </w:rPr>
        <w:t>服务团队要求</w:t>
      </w:r>
      <w:bookmarkEnd w:id="42"/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服务团队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人员应不少于8人（设计人员不少于6人，管理人员不少于2人），报价人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需在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响应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文件中提交服务团队组成名单、成员资质证明（业绩证明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、业主表扬信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等）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、劳动合同、近一年的社保缴纳证明、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团队稳定性承诺，承诺项目执行期间核心成员不得擅自更换，若确需更换需经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书面同意，且更换后成员资质不低于原成员。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服务团队中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项目负责人需具备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10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年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（含）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以上相关设计项目管理经验，设计成员需具</w:t>
      </w:r>
      <w:r>
        <w:rPr>
          <w:rFonts w:hint="eastAsia" w:ascii="宋体" w:hAnsi="宋体" w:eastAsia="宋体" w:cs="Times New Roman"/>
          <w:kern w:val="2"/>
          <w:sz w:val="28"/>
          <w:szCs w:val="28"/>
          <w:highlight w:val="none"/>
          <w:lang w:val="en-US" w:eastAsia="zh-CN" w:bidi="ar"/>
        </w:rPr>
        <w:t>备</w:t>
      </w:r>
      <w:r>
        <w:rPr>
          <w:rFonts w:hint="eastAsia" w:ascii="宋体" w:hAnsi="宋体" w:cs="Times New Roman"/>
          <w:kern w:val="2"/>
          <w:sz w:val="28"/>
          <w:szCs w:val="28"/>
          <w:highlight w:val="none"/>
          <w:lang w:val="en-US" w:eastAsia="zh-CN" w:bidi="ar"/>
        </w:rPr>
        <w:t>3</w:t>
      </w:r>
      <w:r>
        <w:rPr>
          <w:rFonts w:hint="eastAsia" w:ascii="宋体" w:hAnsi="宋体" w:eastAsia="宋体" w:cs="Times New Roman"/>
          <w:kern w:val="2"/>
          <w:sz w:val="28"/>
          <w:szCs w:val="28"/>
          <w:highlight w:val="none"/>
          <w:lang w:val="en-US" w:eastAsia="zh-CN" w:bidi="ar"/>
        </w:rPr>
        <w:t>年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以上设计经验。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项目成员至少3人具备本科及以上学历（须提供学历、学位证书证明；国（境）外留学（含港澳台）人员须提供国（境）外大学（含港澳台）学位证书或教育部留学服务中心出具的国外学历学位认证书）。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服务团队需具备智能制造、工业等相关领域产品设计经验或教育背景，需提供合作合同证明或教育资质证明。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项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目负责人需全程主导项目推进，负责与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的沟通对接、需求响应及进度协调，每周至少组织1次项目进度沟通会，及时反馈项目进展情况。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服务团队需具备快速响应能力，对于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提出的技术问题或需求变更，应在24小时内给予响应，48小时内提供解决方案。</w:t>
      </w:r>
    </w:p>
    <w:p>
      <w:pPr>
        <w:keepNext w:val="0"/>
        <w:keepLines w:val="0"/>
        <w:widowControl w:val="0"/>
        <w:numPr>
          <w:ilvl w:val="0"/>
          <w:numId w:val="6"/>
        </w:numPr>
        <w:suppressLineNumbers w:val="0"/>
        <w:adjustRightInd w:val="0"/>
        <w:snapToGrid w:val="0"/>
        <w:spacing w:before="0" w:beforeAutospacing="0" w:after="0" w:afterAutospacing="0" w:line="360" w:lineRule="auto"/>
        <w:ind w:left="0" w:leftChars="0" w:firstLine="560" w:firstLineChars="200"/>
        <w:jc w:val="both"/>
        <w:outlineLvl w:val="9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若项目成员的资质、能力或工作表现不满足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要求，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有权要求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报价人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更换该成员，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报价人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需在收到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采购人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书面通知后</w:t>
      </w:r>
      <w:r>
        <w:rPr>
          <w:rFonts w:hint="eastAsia" w:ascii="宋体" w:hAnsi="宋体" w:cs="Times New Roman"/>
          <w:kern w:val="2"/>
          <w:sz w:val="28"/>
          <w:szCs w:val="28"/>
          <w:lang w:val="en-US" w:eastAsia="zh-CN" w:bidi="ar"/>
        </w:rPr>
        <w:t>3</w:t>
      </w: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个工作日内完成人员更换，且更换后成员的资质、经验不低于原成员水平。</w:t>
      </w:r>
    </w:p>
    <w:p>
      <w:pPr>
        <w:pStyle w:val="4"/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</w:pPr>
      <w:bookmarkStart w:id="43" w:name="_Toc1449"/>
      <w:r>
        <w:rPr>
          <w:rFonts w:hint="eastAsia" w:cs="Times New Roman"/>
          <w:b/>
          <w:bCs/>
          <w:sz w:val="32"/>
          <w:szCs w:val="28"/>
          <w:lang w:val="en-US" w:eastAsia="zh-CN"/>
        </w:rPr>
        <w:t>业绩要求</w:t>
      </w:r>
      <w:bookmarkEnd w:id="43"/>
    </w:p>
    <w:p>
      <w:pPr>
        <w:spacing w:line="336" w:lineRule="auto"/>
        <w:ind w:firstLine="560" w:firstLineChars="200"/>
        <w:jc w:val="left"/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报价人须具备外观壳体设计业绩，有效业绩不少于5个，所有业绩均需提供合同双方加盖公章的正式合同文件（双章版）扫描件 作为证明材料。</w:t>
      </w:r>
    </w:p>
    <w:p>
      <w:pPr>
        <w:pStyle w:val="4"/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</w:pPr>
      <w:bookmarkStart w:id="44" w:name="_Toc18922"/>
      <w:r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  <w:t>工期要求</w:t>
      </w:r>
      <w:bookmarkEnd w:id="44"/>
    </w:p>
    <w:p>
      <w:pPr>
        <w:spacing w:line="336" w:lineRule="auto"/>
        <w:ind w:firstLine="560" w:firstLineChars="200"/>
        <w:jc w:val="left"/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highlight w:val="none"/>
          <w:lang w:val="en-US" w:eastAsia="zh-Hans"/>
        </w:rPr>
      </w:pP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highlight w:val="none"/>
          <w:lang w:val="en-US" w:eastAsia="zh-CN"/>
        </w:rPr>
        <w:t>报价人应在合同签订后3个自然日内向报价人汇报3D草图设计成果，应在合同签订后10个自然日完成所有工作，并按要求提交所有交付物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highlight w:val="none"/>
          <w:lang w:val="en-US" w:eastAsia="zh-Hans"/>
        </w:rPr>
        <w:t>。</w:t>
      </w:r>
    </w:p>
    <w:p>
      <w:pPr>
        <w:pStyle w:val="4"/>
        <w:rPr>
          <w:rFonts w:hint="eastAsia" w:ascii="仿宋_GB2312" w:hAnsi="仿宋_GB2312" w:cs="Times New Roman"/>
          <w:b/>
          <w:bCs/>
          <w:sz w:val="32"/>
          <w:szCs w:val="28"/>
          <w:lang w:eastAsia="zh-CN"/>
        </w:rPr>
      </w:pPr>
      <w:bookmarkStart w:id="45" w:name="_Toc14443"/>
      <w:r>
        <w:rPr>
          <w:rFonts w:hint="eastAsia" w:ascii="仿宋_GB2312" w:hAnsi="仿宋_GB2312" w:cs="Times New Roman"/>
          <w:b/>
          <w:bCs/>
          <w:sz w:val="32"/>
          <w:szCs w:val="28"/>
          <w:lang w:eastAsia="zh-Hans"/>
        </w:rPr>
        <w:t>安全保密要求</w:t>
      </w:r>
      <w:bookmarkEnd w:id="45"/>
    </w:p>
    <w:p>
      <w:pPr>
        <w:spacing w:line="336" w:lineRule="auto"/>
        <w:ind w:firstLine="560" w:firstLineChars="200"/>
        <w:jc w:val="left"/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报价人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在服务期间，负有保护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的网络安全、信息安全和系统数据安全的义务和责任；负有保护所持有、接触的属于或涉及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的商业、技术等秘密的信息安全的义务和责任。</w:t>
      </w:r>
    </w:p>
    <w:p>
      <w:pPr>
        <w:spacing w:line="336" w:lineRule="auto"/>
        <w:ind w:firstLine="560" w:firstLineChars="200"/>
        <w:jc w:val="left"/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在现场服务过程中（如有需要），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报价人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必须在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指定地点办公，并遵守</w:t>
      </w:r>
      <w:r>
        <w:rPr>
          <w:rFonts w:hint="eastAsia" w:ascii="宋体" w:hAnsi="宋体" w:cs="Times New Roman"/>
          <w:i w:val="0"/>
          <w:iCs w:val="0"/>
          <w:kern w:val="2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Times New Roman"/>
          <w:i w:val="0"/>
          <w:iCs w:val="0"/>
          <w:kern w:val="2"/>
          <w:sz w:val="28"/>
          <w:szCs w:val="28"/>
          <w:lang w:val="en-US" w:eastAsia="zh-CN"/>
        </w:rPr>
        <w:t>关于第三方人员管理规定要求；未经许可不得以任何方式对保密信息及工作成果进行复制、传播、泄漏、告知，不得将保密信息带离办公场所。</w:t>
      </w:r>
    </w:p>
    <w:p/>
    <w:p>
      <w:pPr>
        <w:pStyle w:val="4"/>
        <w:rPr>
          <w:rFonts w:hint="eastAsia" w:eastAsia="黑体"/>
          <w:lang w:val="en-US" w:eastAsia="zh-Hans"/>
        </w:rPr>
      </w:pPr>
      <w:bookmarkStart w:id="46" w:name="_Toc17927"/>
      <w:r>
        <w:rPr>
          <w:rFonts w:hint="eastAsia"/>
          <w:lang w:val="en-US" w:eastAsia="zh-Hans"/>
        </w:rPr>
        <w:t>附件：机箱示意图</w:t>
      </w:r>
      <w:bookmarkEnd w:id="46"/>
    </w:p>
    <w:p>
      <w:r>
        <w:drawing>
          <wp:inline distT="0" distB="0" distL="114300" distR="114300">
            <wp:extent cx="5277485" cy="1321435"/>
            <wp:effectExtent l="0" t="0" r="571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outlineLvl w:val="9"/>
        <w:rPr>
          <w:rFonts w:hint="default"/>
          <w:lang w:val="en-US" w:eastAsia="zh-CN"/>
        </w:rPr>
      </w:pPr>
      <w:bookmarkStart w:id="47" w:name="_Toc12553"/>
      <w:r>
        <w:rPr>
          <w:rFonts w:hint="eastAsia"/>
          <w:lang w:val="en-US" w:eastAsia="zh-CN"/>
        </w:rPr>
        <w:t>图1 机箱背视图示意图</w:t>
      </w:r>
      <w:bookmarkEnd w:id="47"/>
    </w:p>
    <w:p>
      <w:pPr>
        <w:pStyle w:val="3"/>
        <w:outlineLvl w:val="9"/>
      </w:pPr>
      <w:bookmarkStart w:id="48" w:name="_Toc5873"/>
      <w:r>
        <w:drawing>
          <wp:inline distT="0" distB="0" distL="114300" distR="114300">
            <wp:extent cx="5274310" cy="1288415"/>
            <wp:effectExtent l="0" t="0" r="8890" b="698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8"/>
    </w:p>
    <w:p>
      <w:pPr>
        <w:pStyle w:val="2"/>
        <w:outlineLvl w:val="9"/>
        <w:rPr>
          <w:rFonts w:hint="eastAsia" w:eastAsia="宋体"/>
          <w:lang w:val="en-US" w:eastAsia="zh-CN"/>
        </w:rPr>
      </w:pPr>
      <w:bookmarkStart w:id="49" w:name="_Toc2334"/>
      <w:r>
        <w:rPr>
          <w:rFonts w:hint="eastAsia"/>
          <w:lang w:val="en-US" w:eastAsia="zh-CN"/>
        </w:rPr>
        <w:t>图2 机箱正视图示意图</w:t>
      </w:r>
      <w:bookmarkEnd w:id="49"/>
    </w:p>
    <w:p>
      <w:pPr>
        <w:pStyle w:val="3"/>
        <w:jc w:val="left"/>
        <w:outlineLvl w:val="9"/>
        <w:rPr>
          <w:rFonts w:hint="default" w:ascii="宋体" w:hAnsi="宋体" w:eastAsia="宋体"/>
          <w:b w:val="0"/>
          <w:sz w:val="28"/>
          <w:szCs w:val="28"/>
          <w:lang w:val="en-US" w:eastAsia="zh-CN"/>
        </w:rPr>
      </w:pPr>
      <w:bookmarkStart w:id="50" w:name="_Toc15576"/>
      <w:r>
        <w:rPr>
          <w:rFonts w:hint="eastAsia" w:ascii="宋体" w:hAnsi="宋体"/>
          <w:b w:val="0"/>
          <w:sz w:val="28"/>
          <w:szCs w:val="28"/>
          <w:lang w:val="en-US" w:eastAsia="zh-CN"/>
        </w:rPr>
        <w:t>注：上述图示仅为示意，仅用于报价人评估和响应该技术规范时参考。</w:t>
      </w:r>
      <w:bookmarkEnd w:id="50"/>
    </w:p>
    <w:sectPr>
      <w:headerReference r:id="rId4" w:type="first"/>
      <w:footerReference r:id="rId6" w:type="first"/>
      <w:footerReference r:id="rId5" w:type="default"/>
      <w:pgSz w:w="11906" w:h="16838"/>
      <w:pgMar w:top="1440" w:right="1797" w:bottom="1440" w:left="1797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YQiHei-E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rPr>
        <w:rStyle w:val="16"/>
        <w:rFonts w:hint="eastAsia"/>
      </w:rPr>
      <w:t xml:space="preserve">－ </w:t>
    </w: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i</w:t>
    </w:r>
    <w:r>
      <w:fldChar w:fldCharType="end"/>
    </w:r>
    <w:r>
      <w:rPr>
        <w:rStyle w:val="16"/>
        <w:rFonts w:hint="eastAsia"/>
      </w:rPr>
      <w:t xml:space="preserve"> 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9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8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right"/>
    </w:pPr>
    <w:r>
      <w:rPr>
        <w:rFonts w:hint="eastAsia"/>
      </w:rPr>
      <w:t>科研综合管理系统技术规范书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26B0D"/>
    <w:multiLevelType w:val="singleLevel"/>
    <w:tmpl w:val="DCA26B0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41C1F370"/>
    <w:multiLevelType w:val="singleLevel"/>
    <w:tmpl w:val="41C1F37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504D6557"/>
    <w:multiLevelType w:val="singleLevel"/>
    <w:tmpl w:val="504D655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5A1AA6DA"/>
    <w:multiLevelType w:val="singleLevel"/>
    <w:tmpl w:val="5A1AA6D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756D29A0"/>
    <w:multiLevelType w:val="multilevel"/>
    <w:tmpl w:val="756D29A0"/>
    <w:lvl w:ilvl="0" w:tentative="0">
      <w:start w:val="1"/>
      <w:numFmt w:val="decimal"/>
      <w:pStyle w:val="4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宋体"/>
        <w:b/>
        <w:bCs/>
        <w:i w:val="0"/>
        <w:spacing w:val="-12"/>
        <w:sz w:val="28"/>
        <w:szCs w:val="44"/>
      </w:rPr>
    </w:lvl>
    <w:lvl w:ilvl="1" w:tentative="0">
      <w:start w:val="1"/>
      <w:numFmt w:val="decimal"/>
      <w:pStyle w:val="5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宋体"/>
        <w:sz w:val="28"/>
        <w:szCs w:val="24"/>
      </w:rPr>
    </w:lvl>
    <w:lvl w:ilvl="2" w:tentative="0">
      <w:start w:val="1"/>
      <w:numFmt w:val="decimal"/>
      <w:pStyle w:val="6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5">
    <w:nsid w:val="7AAD1C7C"/>
    <w:multiLevelType w:val="singleLevel"/>
    <w:tmpl w:val="7AAD1C7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294AED"/>
    <w:rsid w:val="000D00A7"/>
    <w:rsid w:val="000F353F"/>
    <w:rsid w:val="001267FF"/>
    <w:rsid w:val="003C1B06"/>
    <w:rsid w:val="00414513"/>
    <w:rsid w:val="005557B0"/>
    <w:rsid w:val="00684795"/>
    <w:rsid w:val="007057FF"/>
    <w:rsid w:val="008114E3"/>
    <w:rsid w:val="008373D4"/>
    <w:rsid w:val="00950B22"/>
    <w:rsid w:val="00A50564"/>
    <w:rsid w:val="00AB7424"/>
    <w:rsid w:val="00EF65D8"/>
    <w:rsid w:val="022C58DB"/>
    <w:rsid w:val="05CF589A"/>
    <w:rsid w:val="064B4F28"/>
    <w:rsid w:val="093008B5"/>
    <w:rsid w:val="0CD50CAA"/>
    <w:rsid w:val="0D8C7FA5"/>
    <w:rsid w:val="0FCA7719"/>
    <w:rsid w:val="10640272"/>
    <w:rsid w:val="11C155DE"/>
    <w:rsid w:val="13AF76B2"/>
    <w:rsid w:val="145E7FAB"/>
    <w:rsid w:val="16A05CFE"/>
    <w:rsid w:val="17FE7760"/>
    <w:rsid w:val="18AE3C18"/>
    <w:rsid w:val="1BAD4789"/>
    <w:rsid w:val="1BB906A4"/>
    <w:rsid w:val="1CA91F9C"/>
    <w:rsid w:val="1E6C1577"/>
    <w:rsid w:val="1F3607A3"/>
    <w:rsid w:val="20941009"/>
    <w:rsid w:val="2347514C"/>
    <w:rsid w:val="23715840"/>
    <w:rsid w:val="237622A3"/>
    <w:rsid w:val="24D55A56"/>
    <w:rsid w:val="266A03C2"/>
    <w:rsid w:val="2DFD4440"/>
    <w:rsid w:val="301710FD"/>
    <w:rsid w:val="31CC5247"/>
    <w:rsid w:val="37D9315A"/>
    <w:rsid w:val="384F61E6"/>
    <w:rsid w:val="3E0E5FDB"/>
    <w:rsid w:val="3E6E0E55"/>
    <w:rsid w:val="40274372"/>
    <w:rsid w:val="40822FAC"/>
    <w:rsid w:val="416A1118"/>
    <w:rsid w:val="41B132FD"/>
    <w:rsid w:val="435D4F14"/>
    <w:rsid w:val="43C41AFC"/>
    <w:rsid w:val="44333D06"/>
    <w:rsid w:val="470E1B49"/>
    <w:rsid w:val="488662E9"/>
    <w:rsid w:val="493E5AEF"/>
    <w:rsid w:val="4B6F1A26"/>
    <w:rsid w:val="4D5B5B28"/>
    <w:rsid w:val="4D7E7A1E"/>
    <w:rsid w:val="4F1650FF"/>
    <w:rsid w:val="4F693D0E"/>
    <w:rsid w:val="4F8D3C49"/>
    <w:rsid w:val="534D3F10"/>
    <w:rsid w:val="54AD5699"/>
    <w:rsid w:val="54C500F9"/>
    <w:rsid w:val="54C70A8C"/>
    <w:rsid w:val="554504D6"/>
    <w:rsid w:val="55CA1D75"/>
    <w:rsid w:val="573C3459"/>
    <w:rsid w:val="57A56899"/>
    <w:rsid w:val="58294AED"/>
    <w:rsid w:val="5E24441F"/>
    <w:rsid w:val="5F3D5D54"/>
    <w:rsid w:val="5FDA57DD"/>
    <w:rsid w:val="60D6087D"/>
    <w:rsid w:val="621C3352"/>
    <w:rsid w:val="62703B53"/>
    <w:rsid w:val="64F9742C"/>
    <w:rsid w:val="65255485"/>
    <w:rsid w:val="66913C27"/>
    <w:rsid w:val="66D46744"/>
    <w:rsid w:val="66D71C76"/>
    <w:rsid w:val="68EC07FA"/>
    <w:rsid w:val="69812456"/>
    <w:rsid w:val="699D3C1D"/>
    <w:rsid w:val="6A8859E6"/>
    <w:rsid w:val="6D134EAC"/>
    <w:rsid w:val="6DE861A6"/>
    <w:rsid w:val="6F75093E"/>
    <w:rsid w:val="71DF74D5"/>
    <w:rsid w:val="722F18CD"/>
    <w:rsid w:val="73136E24"/>
    <w:rsid w:val="73FB0564"/>
    <w:rsid w:val="7501397F"/>
    <w:rsid w:val="76B03A2A"/>
    <w:rsid w:val="771823E8"/>
    <w:rsid w:val="788C4CD2"/>
    <w:rsid w:val="79CA7C6E"/>
    <w:rsid w:val="7A765096"/>
    <w:rsid w:val="7C894DEE"/>
    <w:rsid w:val="7CDD4752"/>
    <w:rsid w:val="7CEA74AE"/>
    <w:rsid w:val="7CFF2C51"/>
    <w:rsid w:val="7E3A0AA7"/>
    <w:rsid w:val="7F84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4"/>
    <w:qFormat/>
    <w:uiPriority w:val="0"/>
    <w:pPr>
      <w:keepNext/>
      <w:keepLines/>
      <w:widowControl/>
      <w:numPr>
        <w:ilvl w:val="0"/>
        <w:numId w:val="1"/>
      </w:numPr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 w:val="32"/>
      <w:szCs w:val="28"/>
    </w:rPr>
  </w:style>
  <w:style w:type="paragraph" w:styleId="5">
    <w:name w:val="heading 2"/>
    <w:basedOn w:val="1"/>
    <w:next w:val="1"/>
    <w:link w:val="25"/>
    <w:qFormat/>
    <w:uiPriority w:val="9"/>
    <w:pPr>
      <w:keepNext/>
      <w:keepLines/>
      <w:numPr>
        <w:ilvl w:val="1"/>
        <w:numId w:val="1"/>
      </w:numPr>
      <w:spacing w:line="360" w:lineRule="auto"/>
      <w:jc w:val="left"/>
      <w:outlineLvl w:val="1"/>
    </w:pPr>
    <w:rPr>
      <w:rFonts w:ascii="仿宋_GB2312" w:hAnsi="仿宋_GB2312" w:eastAsia="仿宋_GB2312"/>
      <w:b/>
      <w:bCs/>
      <w:sz w:val="32"/>
      <w:szCs w:val="28"/>
    </w:rPr>
  </w:style>
  <w:style w:type="paragraph" w:styleId="6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line="415" w:lineRule="auto"/>
      <w:outlineLvl w:val="2"/>
    </w:pPr>
    <w:rPr>
      <w:rFonts w:ascii="仿宋" w:hAnsi="仿宋" w:eastAsia="仿宋_GB2312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Normal Indent"/>
    <w:basedOn w:val="1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toc 2"/>
    <w:basedOn w:val="1"/>
    <w:next w:val="1"/>
    <w:qFormat/>
    <w:uiPriority w:val="39"/>
    <w:pPr>
      <w:ind w:left="420" w:leftChars="200"/>
    </w:pPr>
  </w:style>
  <w:style w:type="table" w:styleId="13">
    <w:name w:val="Table Grid"/>
    <w:basedOn w:val="12"/>
    <w:qFormat/>
    <w:uiPriority w:val="0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page number"/>
    <w:basedOn w:val="14"/>
    <w:qFormat/>
    <w:uiPriority w:val="0"/>
  </w:style>
  <w:style w:type="character" w:styleId="17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8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19">
    <w:name w:val="Normal Indent1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20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21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paragraph" w:customStyle="1" w:styleId="22">
    <w:name w:val="00-正文"/>
    <w:basedOn w:val="23"/>
    <w:qFormat/>
    <w:uiPriority w:val="0"/>
    <w:pPr>
      <w:widowControl w:val="0"/>
      <w:spacing w:line="560" w:lineRule="exact"/>
    </w:pPr>
    <w:rPr>
      <w:rFonts w:ascii="Times New Roman" w:eastAsia="仿宋_GB2312"/>
      <w:kern w:val="2"/>
      <w:sz w:val="32"/>
      <w:szCs w:val="32"/>
    </w:rPr>
  </w:style>
  <w:style w:type="paragraph" w:customStyle="1" w:styleId="23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4">
    <w:name w:val="标题 1 Char"/>
    <w:link w:val="4"/>
    <w:qFormat/>
    <w:uiPriority w:val="0"/>
    <w:rPr>
      <w:rFonts w:ascii="仿宋_GB2312" w:hAnsi="仿宋_GB2312" w:eastAsia="黑体"/>
      <w:b/>
      <w:bCs/>
      <w:kern w:val="44"/>
      <w:sz w:val="32"/>
      <w:szCs w:val="28"/>
    </w:rPr>
  </w:style>
  <w:style w:type="character" w:customStyle="1" w:styleId="25">
    <w:name w:val="标题 2 Char"/>
    <w:link w:val="5"/>
    <w:qFormat/>
    <w:uiPriority w:val="9"/>
    <w:rPr>
      <w:rFonts w:ascii="仿宋_GB2312" w:hAnsi="仿宋_GB2312" w:eastAsia="仿宋_GB2312"/>
      <w:b/>
      <w:bCs/>
      <w:sz w:val="32"/>
      <w:szCs w:val="28"/>
    </w:rPr>
  </w:style>
  <w:style w:type="character" w:customStyle="1" w:styleId="26">
    <w:name w:val="fontstyle01"/>
    <w:basedOn w:val="14"/>
    <w:qFormat/>
    <w:uiPriority w:val="0"/>
    <w:rPr>
      <w:rFonts w:ascii="HYQiHei-EES" w:hAnsi="HYQiHei-EES" w:eastAsia="HYQiHei-EES" w:cs="HYQiHei-EES"/>
      <w:color w:val="000000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508</Words>
  <Characters>2900</Characters>
  <Lines>24</Lines>
  <Paragraphs>6</Paragraphs>
  <TotalTime>10</TotalTime>
  <ScaleCrop>false</ScaleCrop>
  <LinksUpToDate>false</LinksUpToDate>
  <CharactersWithSpaces>3402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2025-11-04T03:58:00Z</dcterms:created>
  <dc:creator>liuyang3</dc:creator>
  <cp:lastModifiedBy>王晓敏</cp:lastModifiedBy>
  <dcterms:modified xsi:type="dcterms:W3CDTF">2026-03-04T07:19:09Z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BE87CF296743488B844E2BBE9B5A220B</vt:lpwstr>
  </property>
</Properties>
</file>