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880" w:firstLineChars="900"/>
        <w:rPr>
          <w:rFonts w:hint="eastAsia" w:eastAsiaTheme="minorEastAsia"/>
          <w:lang w:eastAsia="zh-CN"/>
        </w:rPr>
      </w:pPr>
      <w:r>
        <w:rPr>
          <w:rFonts w:hint="eastAsia"/>
          <w:sz w:val="32"/>
          <w:szCs w:val="32"/>
          <w:lang w:eastAsia="zh-CN"/>
        </w:rPr>
        <w:t>技术要求说明书</w:t>
      </w:r>
    </w:p>
    <w:p>
      <w:pPr>
        <w:rPr>
          <w:rFonts w:hint="eastAsia"/>
        </w:rPr>
      </w:pPr>
    </w:p>
    <w:p>
      <w:pPr>
        <w:numPr>
          <w:ilvl w:val="0"/>
          <w:numId w:val="1"/>
        </w:numPr>
        <w:rPr>
          <w:rFonts w:hint="eastAsia"/>
        </w:rPr>
      </w:pPr>
      <w:r>
        <w:rPr>
          <w:rFonts w:hint="eastAsia"/>
        </w:rPr>
        <w:t xml:space="preserve"> 项目名称： 柳州供电局2026-2027年危险废物回收处置项目</w:t>
      </w:r>
    </w:p>
    <w:p>
      <w:pPr>
        <w:numPr>
          <w:ilvl w:val="0"/>
          <w:numId w:val="0"/>
        </w:numPr>
        <w:rPr>
          <w:rFonts w:hint="eastAsia"/>
        </w:rPr>
      </w:pPr>
    </w:p>
    <w:p>
      <w:pPr>
        <w:rPr>
          <w:rFonts w:hint="eastAsia"/>
        </w:rPr>
      </w:pPr>
      <w:r>
        <w:rPr>
          <w:rFonts w:hint="eastAsia"/>
        </w:rPr>
        <w:t>第二条  服务的内容、方式和要求</w:t>
      </w:r>
    </w:p>
    <w:p>
      <w:pPr>
        <w:rPr>
          <w:rFonts w:hint="eastAsia"/>
        </w:rPr>
      </w:pPr>
      <w:r>
        <w:rPr>
          <w:rFonts w:hint="eastAsia"/>
        </w:rPr>
        <w:t xml:space="preserve">2.1 服务内容： 为柳州网区范围内产生的危险废物进行处置。 </w:t>
      </w:r>
    </w:p>
    <w:p>
      <w:pPr>
        <w:rPr>
          <w:rFonts w:hint="eastAsia"/>
        </w:rPr>
      </w:pPr>
      <w:r>
        <w:rPr>
          <w:rFonts w:hint="eastAsia"/>
        </w:rPr>
        <w:t>2.2 服务方式： 乙方上门回收。</w:t>
      </w:r>
    </w:p>
    <w:p>
      <w:pPr>
        <w:rPr>
          <w:rFonts w:hint="eastAsia"/>
        </w:rPr>
      </w:pPr>
      <w:r>
        <w:rPr>
          <w:rFonts w:hint="eastAsia"/>
        </w:rPr>
        <w:t>2.3 服务要求： 乙方接到甲方通知5个工作日内安排回收处置。</w:t>
      </w:r>
    </w:p>
    <w:p>
      <w:pPr>
        <w:rPr>
          <w:rFonts w:hint="eastAsia"/>
        </w:rPr>
      </w:pPr>
      <w:r>
        <w:rPr>
          <w:rFonts w:hint="eastAsia"/>
        </w:rPr>
        <w:t xml:space="preserve">2.4 服务范围： </w:t>
      </w:r>
    </w:p>
    <w:tbl>
      <w:tblPr>
        <w:tblStyle w:val="4"/>
        <w:tblW w:w="76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2183"/>
        <w:gridCol w:w="1420"/>
        <w:gridCol w:w="1421"/>
        <w:gridCol w:w="20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vAlign w:val="center"/>
          </w:tcPr>
          <w:p>
            <w:pPr>
              <w:widowControl/>
              <w:jc w:val="center"/>
              <w:textAlignment w:val="center"/>
              <w:rPr>
                <w:rFonts w:asciiTheme="minorEastAsia" w:hAnsiTheme="minorEastAsia" w:eastAsiaTheme="minorEastAsia" w:cstheme="minorEastAsia"/>
                <w:color w:val="000000"/>
                <w:kern w:val="0"/>
                <w:sz w:val="28"/>
                <w:szCs w:val="28"/>
                <w:u w:val="single"/>
              </w:rPr>
            </w:pPr>
            <w:r>
              <w:rPr>
                <w:rFonts w:hint="eastAsia" w:ascii="宋体" w:hAnsi="宋体" w:cs="宋体"/>
                <w:color w:val="000000"/>
                <w:kern w:val="0"/>
                <w:sz w:val="20"/>
              </w:rPr>
              <w:t>序号</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8"/>
                <w:szCs w:val="28"/>
                <w:u w:val="single"/>
              </w:rPr>
            </w:pPr>
            <w:r>
              <w:rPr>
                <w:rFonts w:hint="eastAsia" w:ascii="宋体" w:hAnsi="宋体" w:cs="宋体"/>
                <w:color w:val="000000"/>
                <w:kern w:val="0"/>
                <w:sz w:val="20"/>
              </w:rPr>
              <w:t>名称</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8"/>
                <w:szCs w:val="28"/>
                <w:u w:val="single"/>
              </w:rPr>
            </w:pPr>
            <w:r>
              <w:rPr>
                <w:rFonts w:hint="eastAsia" w:ascii="宋体" w:hAnsi="宋体" w:cs="宋体"/>
                <w:color w:val="000000"/>
                <w:kern w:val="0"/>
                <w:sz w:val="20"/>
              </w:rPr>
              <w:t>废物类别代码</w:t>
            </w:r>
          </w:p>
        </w:tc>
        <w:tc>
          <w:tcPr>
            <w:tcW w:w="1421" w:type="dxa"/>
            <w:vAlign w:val="center"/>
          </w:tcPr>
          <w:p>
            <w:pPr>
              <w:widowControl/>
              <w:jc w:val="center"/>
              <w:textAlignment w:val="center"/>
              <w:rPr>
                <w:rFonts w:hint="default" w:asciiTheme="minorEastAsia" w:hAnsiTheme="minorEastAsia" w:eastAsiaTheme="minorEastAsia" w:cstheme="minorEastAsia"/>
                <w:color w:val="000000"/>
                <w:kern w:val="0"/>
                <w:sz w:val="20"/>
                <w:lang w:val="en-US" w:eastAsia="zh-CN"/>
              </w:rPr>
            </w:pPr>
            <w:r>
              <w:rPr>
                <w:rFonts w:hint="eastAsia" w:asciiTheme="minorEastAsia" w:hAnsiTheme="minorEastAsia" w:eastAsiaTheme="minorEastAsia" w:cstheme="minorEastAsia"/>
                <w:color w:val="000000"/>
                <w:kern w:val="0"/>
                <w:sz w:val="20"/>
                <w:lang w:val="en-US" w:eastAsia="zh-CN"/>
              </w:rPr>
              <w:t>单位</w:t>
            </w:r>
          </w:p>
        </w:tc>
        <w:tc>
          <w:tcPr>
            <w:tcW w:w="2007" w:type="dxa"/>
            <w:vAlign w:val="center"/>
          </w:tcPr>
          <w:p>
            <w:pPr>
              <w:widowControl/>
              <w:jc w:val="center"/>
              <w:textAlignment w:val="center"/>
              <w:rPr>
                <w:rFonts w:asciiTheme="minorEastAsia" w:hAnsiTheme="minorEastAsia" w:eastAsiaTheme="minorEastAsia" w:cstheme="minorEastAsia"/>
                <w:color w:val="000000"/>
                <w:kern w:val="0"/>
                <w:sz w:val="28"/>
                <w:szCs w:val="28"/>
                <w:u w:val="single"/>
              </w:rPr>
            </w:pPr>
            <w:r>
              <w:rPr>
                <w:rFonts w:hint="eastAsia" w:ascii="宋体" w:hAnsi="宋体" w:cs="宋体"/>
                <w:color w:val="000000"/>
                <w:kern w:val="0"/>
                <w:sz w:val="20"/>
              </w:rPr>
              <w:t>预计处置数量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1</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废药品、药物</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0"/>
              </w:rPr>
              <w:t>HW03</w:t>
            </w:r>
          </w:p>
        </w:tc>
        <w:tc>
          <w:tcPr>
            <w:tcW w:w="1421" w:type="dxa"/>
            <w:vAlign w:val="center"/>
          </w:tcPr>
          <w:p>
            <w:pPr>
              <w:widowControl/>
              <w:jc w:val="center"/>
              <w:textAlignment w:val="center"/>
              <w:rPr>
                <w:rFonts w:hint="default" w:asciiTheme="minorEastAsia" w:hAnsiTheme="minorEastAsia" w:eastAsiaTheme="minorEastAsia" w:cstheme="minorEastAsia"/>
                <w:color w:val="000000"/>
                <w:kern w:val="0"/>
                <w:sz w:val="20"/>
                <w:lang w:val="en-US" w:eastAsia="zh-CN"/>
              </w:rPr>
            </w:pPr>
            <w:r>
              <w:rPr>
                <w:rFonts w:hint="eastAsia" w:asciiTheme="minorEastAsia" w:hAnsiTheme="minorEastAsia" w:eastAsiaTheme="minorEastAsia" w:cstheme="minorEastAsia"/>
                <w:color w:val="000000"/>
                <w:kern w:val="0"/>
                <w:sz w:val="20"/>
                <w:lang w:val="en-US" w:eastAsia="zh-CN"/>
              </w:rPr>
              <w:t>kg</w:t>
            </w:r>
          </w:p>
        </w:tc>
        <w:tc>
          <w:tcPr>
            <w:tcW w:w="2007" w:type="dxa"/>
            <w:vAlign w:val="center"/>
          </w:tcPr>
          <w:p>
            <w:pPr>
              <w:widowControl/>
              <w:jc w:val="center"/>
              <w:textAlignment w:val="center"/>
              <w:rPr>
                <w:rFonts w:hint="default" w:asciiTheme="minorEastAsia" w:hAnsiTheme="minorEastAsia" w:eastAsiaTheme="minorEastAsia" w:cstheme="minorEastAsia"/>
                <w:color w:val="000000"/>
                <w:kern w:val="0"/>
                <w:sz w:val="28"/>
                <w:szCs w:val="28"/>
                <w:lang w:val="en-US" w:eastAsia="zh-CN"/>
              </w:rPr>
            </w:pPr>
            <w:r>
              <w:rPr>
                <w:rFonts w:hint="eastAsia" w:asciiTheme="minorEastAsia" w:hAnsiTheme="minorEastAsia" w:cstheme="minorEastAsia"/>
                <w:color w:val="000000"/>
                <w:kern w:val="0"/>
                <w:sz w:val="20"/>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2</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废涂料、油漆</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0"/>
              </w:rPr>
              <w:t>HW12</w:t>
            </w:r>
          </w:p>
        </w:tc>
        <w:tc>
          <w:tcPr>
            <w:tcW w:w="1421" w:type="dxa"/>
            <w:vAlign w:val="center"/>
          </w:tcPr>
          <w:p>
            <w:pPr>
              <w:widowControl/>
              <w:jc w:val="center"/>
              <w:textAlignment w:val="center"/>
              <w:rPr>
                <w:rFonts w:hint="eastAsia"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lang w:val="en-US" w:eastAsia="zh-CN"/>
              </w:rPr>
              <w:t>kg</w:t>
            </w:r>
          </w:p>
        </w:tc>
        <w:tc>
          <w:tcPr>
            <w:tcW w:w="2007" w:type="dxa"/>
            <w:vAlign w:val="center"/>
          </w:tcPr>
          <w:p>
            <w:pPr>
              <w:widowControl/>
              <w:jc w:val="center"/>
              <w:textAlignment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0"/>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3</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油漆桶</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0"/>
              </w:rPr>
              <w:t>HW12</w:t>
            </w:r>
          </w:p>
        </w:tc>
        <w:tc>
          <w:tcPr>
            <w:tcW w:w="1421" w:type="dxa"/>
            <w:vAlign w:val="center"/>
          </w:tcPr>
          <w:p>
            <w:pPr>
              <w:widowControl/>
              <w:jc w:val="center"/>
              <w:textAlignment w:val="center"/>
              <w:rPr>
                <w:rFonts w:hint="eastAsia"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lang w:val="en-US" w:eastAsia="zh-CN"/>
              </w:rPr>
              <w:t>kg</w:t>
            </w:r>
          </w:p>
        </w:tc>
        <w:tc>
          <w:tcPr>
            <w:tcW w:w="2007" w:type="dxa"/>
            <w:vAlign w:val="center"/>
          </w:tcPr>
          <w:p>
            <w:pPr>
              <w:widowControl/>
              <w:jc w:val="center"/>
              <w:textAlignment w:val="center"/>
              <w:rPr>
                <w:rFonts w:hint="default" w:asciiTheme="minorEastAsia" w:hAnsiTheme="minorEastAsia" w:eastAsiaTheme="minorEastAsia" w:cstheme="minorEastAsia"/>
                <w:color w:val="000000"/>
                <w:kern w:val="0"/>
                <w:sz w:val="28"/>
                <w:szCs w:val="28"/>
                <w:lang w:val="en-US" w:eastAsia="zh-CN"/>
              </w:rPr>
            </w:pPr>
            <w:r>
              <w:rPr>
                <w:rFonts w:hint="eastAsia" w:asciiTheme="minorEastAsia" w:hAnsiTheme="minorEastAsia" w:cstheme="minorEastAsia"/>
                <w:color w:val="000000"/>
                <w:kern w:val="0"/>
                <w:sz w:val="20"/>
                <w:lang w:val="en-US" w:eastAsia="zh-CN"/>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4</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废硒鼓、墨盒</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0"/>
              </w:rPr>
              <w:t>HW12</w:t>
            </w:r>
          </w:p>
        </w:tc>
        <w:tc>
          <w:tcPr>
            <w:tcW w:w="1421" w:type="dxa"/>
            <w:vAlign w:val="center"/>
          </w:tcPr>
          <w:p>
            <w:pPr>
              <w:widowControl/>
              <w:jc w:val="center"/>
              <w:textAlignment w:val="center"/>
              <w:rPr>
                <w:rFonts w:hint="eastAsia"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lang w:val="en-US" w:eastAsia="zh-CN"/>
              </w:rPr>
              <w:t>kg</w:t>
            </w:r>
          </w:p>
        </w:tc>
        <w:tc>
          <w:tcPr>
            <w:tcW w:w="2007" w:type="dxa"/>
            <w:vAlign w:val="center"/>
          </w:tcPr>
          <w:p>
            <w:pPr>
              <w:widowControl/>
              <w:jc w:val="center"/>
              <w:textAlignment w:val="center"/>
              <w:rPr>
                <w:rFonts w:hint="default" w:asciiTheme="minorEastAsia" w:hAnsiTheme="minorEastAsia" w:eastAsiaTheme="minorEastAsia" w:cstheme="minorEastAsia"/>
                <w:color w:val="000000"/>
                <w:kern w:val="0"/>
                <w:sz w:val="28"/>
                <w:szCs w:val="28"/>
                <w:lang w:val="en-US" w:eastAsia="zh-CN"/>
              </w:rPr>
            </w:pPr>
            <w:r>
              <w:rPr>
                <w:rFonts w:hint="eastAsia" w:asciiTheme="minorEastAsia" w:hAnsiTheme="minorEastAsia" w:cstheme="minorEastAsia"/>
                <w:color w:val="000000"/>
                <w:kern w:val="0"/>
                <w:sz w:val="20"/>
                <w:lang w:val="en-US" w:eastAsia="zh-CN"/>
              </w:rPr>
              <w:t>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5</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实验废液</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8"/>
                <w:szCs w:val="28"/>
              </w:rPr>
            </w:pPr>
            <w:r>
              <w:rPr>
                <w:rFonts w:hint="eastAsia" w:asciiTheme="minorEastAsia" w:hAnsiTheme="minorEastAsia" w:eastAsiaTheme="minorEastAsia" w:cstheme="minorEastAsia"/>
                <w:color w:val="000000"/>
                <w:kern w:val="0"/>
                <w:sz w:val="20"/>
              </w:rPr>
              <w:t>HW49</w:t>
            </w:r>
          </w:p>
        </w:tc>
        <w:tc>
          <w:tcPr>
            <w:tcW w:w="1421" w:type="dxa"/>
            <w:vAlign w:val="center"/>
          </w:tcPr>
          <w:p>
            <w:pPr>
              <w:widowControl/>
              <w:jc w:val="center"/>
              <w:textAlignment w:val="center"/>
              <w:rPr>
                <w:rFonts w:hint="eastAsia"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lang w:val="en-US" w:eastAsia="zh-CN"/>
              </w:rPr>
              <w:t>kg</w:t>
            </w:r>
          </w:p>
        </w:tc>
        <w:tc>
          <w:tcPr>
            <w:tcW w:w="2007" w:type="dxa"/>
            <w:vAlign w:val="center"/>
          </w:tcPr>
          <w:p>
            <w:pPr>
              <w:widowControl/>
              <w:jc w:val="center"/>
              <w:textAlignment w:val="center"/>
              <w:rPr>
                <w:rFonts w:hint="default" w:asciiTheme="minorEastAsia" w:hAnsiTheme="minorEastAsia" w:eastAsiaTheme="minorEastAsia" w:cstheme="minorEastAsia"/>
                <w:color w:val="000000"/>
                <w:kern w:val="0"/>
                <w:sz w:val="28"/>
                <w:szCs w:val="28"/>
                <w:lang w:val="en-US" w:eastAsia="zh-CN"/>
              </w:rPr>
            </w:pPr>
            <w:r>
              <w:rPr>
                <w:rFonts w:hint="eastAsia" w:asciiTheme="minorEastAsia" w:hAnsiTheme="minorEastAsia" w:cstheme="minorEastAsia"/>
                <w:color w:val="000000"/>
                <w:kern w:val="0"/>
                <w:sz w:val="20"/>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8" w:type="dxa"/>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6</w:t>
            </w:r>
          </w:p>
        </w:tc>
        <w:tc>
          <w:tcPr>
            <w:tcW w:w="2183"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运输费</w:t>
            </w:r>
          </w:p>
        </w:tc>
        <w:tc>
          <w:tcPr>
            <w:tcW w:w="1420" w:type="dxa"/>
            <w:vAlign w:val="center"/>
          </w:tcPr>
          <w:p>
            <w:pPr>
              <w:widowControl/>
              <w:jc w:val="center"/>
              <w:textAlignment w:val="center"/>
              <w:rPr>
                <w:rFonts w:asciiTheme="minorEastAsia" w:hAnsiTheme="minorEastAsia" w:eastAsiaTheme="minorEastAsia" w:cstheme="minorEastAsia"/>
                <w:color w:val="000000"/>
                <w:kern w:val="0"/>
                <w:sz w:val="20"/>
              </w:rPr>
            </w:pPr>
            <w:r>
              <w:rPr>
                <w:rFonts w:hint="eastAsia" w:asciiTheme="minorEastAsia" w:hAnsiTheme="minorEastAsia" w:eastAsiaTheme="minorEastAsia" w:cstheme="minorEastAsia"/>
                <w:color w:val="000000"/>
                <w:kern w:val="0"/>
                <w:sz w:val="20"/>
              </w:rPr>
              <w:t>/</w:t>
            </w:r>
          </w:p>
        </w:tc>
        <w:tc>
          <w:tcPr>
            <w:tcW w:w="1421" w:type="dxa"/>
            <w:vAlign w:val="center"/>
          </w:tcPr>
          <w:p>
            <w:pPr>
              <w:widowControl/>
              <w:jc w:val="center"/>
              <w:textAlignment w:val="center"/>
              <w:rPr>
                <w:rFonts w:hint="eastAsia" w:asciiTheme="minorEastAsia" w:hAnsiTheme="minorEastAsia" w:eastAsiaTheme="minorEastAsia" w:cstheme="minorEastAsia"/>
                <w:color w:val="000000"/>
                <w:kern w:val="0"/>
                <w:sz w:val="20"/>
                <w:lang w:eastAsia="zh-CN"/>
              </w:rPr>
            </w:pPr>
            <w:r>
              <w:rPr>
                <w:rFonts w:hint="eastAsia" w:asciiTheme="minorEastAsia" w:hAnsiTheme="minorEastAsia" w:cstheme="minorEastAsia"/>
                <w:color w:val="000000"/>
                <w:kern w:val="0"/>
                <w:sz w:val="20"/>
                <w:lang w:eastAsia="zh-CN"/>
              </w:rPr>
              <w:t>趟</w:t>
            </w:r>
          </w:p>
        </w:tc>
        <w:tc>
          <w:tcPr>
            <w:tcW w:w="2007" w:type="dxa"/>
            <w:vAlign w:val="center"/>
          </w:tcPr>
          <w:p>
            <w:pPr>
              <w:widowControl/>
              <w:jc w:val="center"/>
              <w:textAlignment w:val="center"/>
              <w:rPr>
                <w:rFonts w:hint="eastAsia" w:asciiTheme="minorEastAsia" w:hAnsiTheme="minorEastAsia" w:eastAsiaTheme="minorEastAsia" w:cstheme="minorEastAsia"/>
                <w:color w:val="000000"/>
                <w:kern w:val="0"/>
                <w:sz w:val="20"/>
                <w:lang w:eastAsia="zh-CN"/>
              </w:rPr>
            </w:pPr>
            <w:r>
              <w:rPr>
                <w:rFonts w:hint="eastAsia" w:asciiTheme="minorEastAsia" w:hAnsiTheme="minorEastAsia" w:cstheme="minorEastAsia"/>
                <w:color w:val="000000"/>
                <w:kern w:val="0"/>
                <w:sz w:val="20"/>
                <w:lang w:val="en-US" w:eastAsia="zh-CN"/>
              </w:rPr>
              <w:t>6</w:t>
            </w:r>
          </w:p>
        </w:tc>
      </w:tr>
    </w:tbl>
    <w:p>
      <w:pPr>
        <w:rPr>
          <w:rFonts w:hint="eastAsia"/>
        </w:rPr>
      </w:pPr>
    </w:p>
    <w:p>
      <w:pPr>
        <w:rPr>
          <w:rFonts w:hint="eastAsia"/>
        </w:rPr>
      </w:pPr>
      <w:r>
        <w:rPr>
          <w:rFonts w:hint="eastAsia"/>
        </w:rPr>
        <w:t xml:space="preserve">                        </w:t>
      </w:r>
    </w:p>
    <w:p>
      <w:pPr>
        <w:rPr>
          <w:rFonts w:hint="eastAsia"/>
        </w:rPr>
      </w:pPr>
      <w:r>
        <w:rPr>
          <w:rFonts w:hint="eastAsia"/>
        </w:rPr>
        <w:t xml:space="preserve">2.5 其他：       </w:t>
      </w:r>
    </w:p>
    <w:p>
      <w:pPr>
        <w:rPr>
          <w:rFonts w:hint="eastAsia"/>
        </w:rPr>
      </w:pPr>
      <w:r>
        <w:rPr>
          <w:rFonts w:hint="eastAsia"/>
        </w:rPr>
        <w:t>第三条  服务人员组成</w:t>
      </w:r>
    </w:p>
    <w:p>
      <w:pPr>
        <w:rPr>
          <w:rFonts w:hint="eastAsia"/>
        </w:rPr>
      </w:pPr>
      <w:r>
        <w:rPr>
          <w:rFonts w:hint="eastAsia"/>
        </w:rPr>
        <w:t>3.1 乙方指派人员组成服务团队。未经甲方同意，乙方不得随意更换服务人员。如果甲方认为乙方指派的人员不能胜任的，乙方应当及时更换。乙方指派的项目负责人和人员应实际参与本合同的服务工作。</w:t>
      </w:r>
    </w:p>
    <w:p>
      <w:pPr>
        <w:rPr>
          <w:rFonts w:hint="eastAsia"/>
        </w:rPr>
      </w:pPr>
      <w:r>
        <w:rPr>
          <w:rFonts w:hint="eastAsia"/>
        </w:rPr>
        <w:t xml:space="preserve">  </w:t>
      </w:r>
    </w:p>
    <w:p>
      <w:pPr>
        <w:rPr>
          <w:rFonts w:hint="eastAsia"/>
        </w:rPr>
      </w:pPr>
      <w:r>
        <w:rPr>
          <w:rFonts w:hint="eastAsia"/>
        </w:rPr>
        <w:t>第四条  服务地点和履行期限</w:t>
      </w:r>
    </w:p>
    <w:p>
      <w:pPr>
        <w:rPr>
          <w:rFonts w:hint="eastAsia"/>
        </w:rPr>
      </w:pPr>
      <w:r>
        <w:rPr>
          <w:rFonts w:hint="eastAsia"/>
        </w:rPr>
        <w:t xml:space="preserve">4.1 服务地点： 柳州网区。 </w:t>
      </w:r>
    </w:p>
    <w:p>
      <w:pPr>
        <w:rPr>
          <w:rFonts w:hint="eastAsia"/>
        </w:rPr>
      </w:pPr>
      <w:r>
        <w:rPr>
          <w:rFonts w:hint="eastAsia"/>
        </w:rPr>
        <w:t>4.2 履行期限： 自合同签订日至202</w:t>
      </w:r>
      <w:r>
        <w:rPr>
          <w:rFonts w:hint="eastAsia"/>
          <w:lang w:val="en-US" w:eastAsia="zh-CN"/>
        </w:rPr>
        <w:t>7</w:t>
      </w:r>
      <w:r>
        <w:rPr>
          <w:rFonts w:hint="eastAsia"/>
        </w:rPr>
        <w:t>年12月31日。</w:t>
      </w:r>
    </w:p>
    <w:p>
      <w:pPr>
        <w:rPr>
          <w:rFonts w:hint="eastAsia"/>
        </w:rPr>
      </w:pPr>
      <w:r>
        <w:rPr>
          <w:rFonts w:hint="eastAsia"/>
        </w:rPr>
        <w:t xml:space="preserve"> </w:t>
      </w:r>
    </w:p>
    <w:p>
      <w:pPr>
        <w:rPr>
          <w:rFonts w:hint="eastAsia"/>
        </w:rPr>
      </w:pPr>
      <w:r>
        <w:rPr>
          <w:rFonts w:hint="eastAsia"/>
        </w:rPr>
        <w:t>第五条  材料或资料提供</w:t>
      </w:r>
    </w:p>
    <w:p>
      <w:pPr>
        <w:rPr>
          <w:rFonts w:hint="eastAsia"/>
        </w:rPr>
      </w:pPr>
      <w:r>
        <w:rPr>
          <w:rFonts w:hint="eastAsia"/>
        </w:rPr>
        <w:t>5.1 乙方提出所需材料、资料及数据清单，甲方审核确认后提供。</w:t>
      </w:r>
    </w:p>
    <w:p>
      <w:pPr>
        <w:rPr>
          <w:rFonts w:hint="eastAsia"/>
        </w:rPr>
      </w:pPr>
      <w:r>
        <w:rPr>
          <w:rFonts w:hint="eastAsia"/>
        </w:rPr>
        <w:t>5.2 乙方根据需要，可要求甲方补充必要的材料、资料及数据，甲方审核确认后提供。</w:t>
      </w:r>
    </w:p>
    <w:p>
      <w:pPr>
        <w:rPr>
          <w:rFonts w:hint="eastAsia"/>
        </w:rPr>
      </w:pPr>
      <w:r>
        <w:rPr>
          <w:rFonts w:hint="eastAsia"/>
        </w:rPr>
        <w:t>5.3 双方联系人应在确认的移交清单上签字，清单应注明移交时间和方式。</w:t>
      </w:r>
    </w:p>
    <w:p>
      <w:pPr>
        <w:rPr>
          <w:rFonts w:hint="eastAsia"/>
        </w:rPr>
      </w:pPr>
      <w:r>
        <w:rPr>
          <w:rFonts w:hint="eastAsia"/>
        </w:rPr>
        <w:t>5.4 乙方对于甲方提供的材料、资料、数据应当妥善保管，并只能用于本合同项下的服务工作。本合同履行完毕后，乙方应当将上述材料、资料、数据全部退还给甲方，并不得以复制、扫描等任何方式保存甲方的资料信息。</w:t>
      </w:r>
    </w:p>
    <w:p>
      <w:pPr>
        <w:rPr>
          <w:rFonts w:hint="eastAsia"/>
        </w:rPr>
      </w:pPr>
      <w:r>
        <w:rPr>
          <w:rFonts w:hint="eastAsia"/>
        </w:rPr>
        <w:t xml:space="preserve">   </w:t>
      </w:r>
    </w:p>
    <w:p>
      <w:pPr>
        <w:rPr>
          <w:rFonts w:hint="eastAsia"/>
        </w:rPr>
      </w:pPr>
      <w:r>
        <w:rPr>
          <w:rFonts w:hint="eastAsia"/>
        </w:rPr>
        <w:t>第六条  甲方协作事项</w:t>
      </w:r>
    </w:p>
    <w:p>
      <w:pPr>
        <w:rPr>
          <w:rFonts w:hint="eastAsia"/>
        </w:rPr>
      </w:pPr>
      <w:r>
        <w:rPr>
          <w:rFonts w:hint="eastAsia"/>
        </w:rPr>
        <w:t>6.1、甲方负责向乙方提供有关处置物品的资料，如品种、数量、含量、成分、包装情况、使用情况及贮存情况等，并保证提供的资料真实</w:t>
      </w:r>
      <w:r>
        <w:rPr>
          <w:rFonts w:hint="eastAsia"/>
          <w:lang w:eastAsia="zh-CN"/>
        </w:rPr>
        <w:t>有效</w:t>
      </w:r>
      <w:r>
        <w:rPr>
          <w:rFonts w:hint="eastAsia"/>
        </w:rPr>
        <w:t>。</w:t>
      </w:r>
    </w:p>
    <w:p>
      <w:pPr>
        <w:rPr>
          <w:rFonts w:hint="eastAsia"/>
        </w:rPr>
      </w:pPr>
      <w:r>
        <w:rPr>
          <w:rFonts w:hint="eastAsia"/>
        </w:rPr>
        <w:t>6.2、甲方负责被处置物品的分类收集，并符合国家《危险废物收集、贮存、运输技术规范》的规范，</w:t>
      </w:r>
      <w:r>
        <w:rPr>
          <w:rFonts w:hint="eastAsia"/>
          <w:lang w:eastAsia="zh-CN"/>
        </w:rPr>
        <w:t>乙方</w:t>
      </w:r>
      <w:r>
        <w:rPr>
          <w:rFonts w:hint="eastAsia"/>
        </w:rPr>
        <w:t>确保物品在正常的搬动、运输、贮存过程中不会泄漏、损坏等。禁止性质不相容的危险废物混装，如因混装造成的一切后果由</w:t>
      </w:r>
      <w:r>
        <w:rPr>
          <w:rFonts w:hint="eastAsia"/>
          <w:lang w:eastAsia="zh-CN"/>
        </w:rPr>
        <w:t>乙方</w:t>
      </w:r>
      <w:r>
        <w:rPr>
          <w:rFonts w:hint="eastAsia"/>
        </w:rPr>
        <w:t>承担。</w:t>
      </w:r>
    </w:p>
    <w:p>
      <w:pPr>
        <w:rPr>
          <w:rFonts w:hint="eastAsia"/>
        </w:rPr>
      </w:pPr>
      <w:r>
        <w:rPr>
          <w:rFonts w:hint="eastAsia"/>
        </w:rPr>
        <w:t>6.3、甲方授权乙方委托有资质的第三方负责运输。</w:t>
      </w:r>
    </w:p>
    <w:p>
      <w:pPr>
        <w:rPr>
          <w:rFonts w:hint="eastAsia"/>
        </w:rPr>
      </w:pPr>
      <w:r>
        <w:rPr>
          <w:rFonts w:hint="eastAsia"/>
        </w:rPr>
        <w:t>6.4、双方协商安排废物的接收时间及程序，甲方应至少提前</w:t>
      </w:r>
      <w:r>
        <w:rPr>
          <w:rFonts w:hint="eastAsia"/>
          <w:lang w:val="en-US" w:eastAsia="zh-CN"/>
        </w:rPr>
        <w:t>5</w:t>
      </w:r>
      <w:r>
        <w:rPr>
          <w:rFonts w:hint="eastAsia"/>
        </w:rPr>
        <w:t>日通知乙方接收废物</w:t>
      </w:r>
    </w:p>
    <w:p>
      <w:pPr>
        <w:rPr>
          <w:rFonts w:hint="eastAsia"/>
        </w:rPr>
      </w:pPr>
      <w:r>
        <w:rPr>
          <w:rFonts w:hint="eastAsia"/>
        </w:rPr>
        <w:t>6.5、废物装车完毕后负责运输的车辆司机签收即视同委托运输的第三方接收，其后由运输方负责废物的安全直到乙方接收危险废物。</w:t>
      </w:r>
    </w:p>
    <w:p>
      <w:pPr>
        <w:rPr>
          <w:rFonts w:hint="eastAsia"/>
        </w:rPr>
      </w:pPr>
      <w:r>
        <w:rPr>
          <w:rFonts w:hint="eastAsia"/>
        </w:rPr>
        <w:t>6.6、危险废物的转移按《危险废物转移管理办法》执行，甲方应按要求及时填报“广西固废企业申报管理系统”并做好“转移计划”。甲方应协助乙方对转移物品的核查，如转移物品与系统填写的内容或合同签订内容不符合，乙方有权不予接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B77874"/>
    <w:multiLevelType w:val="singleLevel"/>
    <w:tmpl w:val="BAB77874"/>
    <w:lvl w:ilvl="0" w:tentative="0">
      <w:start w:val="1"/>
      <w:numFmt w:val="chineseCounting"/>
      <w:suff w:val="space"/>
      <w:lvlText w:val="第%1条"/>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957D8E"/>
    <w:rsid w:val="00A32489"/>
    <w:rsid w:val="112E7911"/>
    <w:rsid w:val="24054AAC"/>
    <w:rsid w:val="2FE31A60"/>
    <w:rsid w:val="34957D8E"/>
    <w:rsid w:val="36AF5831"/>
    <w:rsid w:val="3B6700C8"/>
    <w:rsid w:val="3F6F6622"/>
    <w:rsid w:val="41D03B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table" w:styleId="4">
    <w:name w:val="Table Grid"/>
    <w:basedOn w:val="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10</TotalTime>
  <ScaleCrop>false</ScaleCrop>
  <LinksUpToDate>false</LinksUpToDate>
  <CharactersWithSpaces>0</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2025-01-23T02:52:00Z</dcterms:created>
  <dc:creator>汤继光</dc:creator>
  <cp:lastModifiedBy>汤继光</cp:lastModifiedBy>
  <dcterms:modified xsi:type="dcterms:W3CDTF">2026-02-04T01:23:13Z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1C524C2E188E46E2937E084F2B29A045</vt:lpwstr>
  </property>
</Properties>
</file>