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E162CF">
      <w:pPr>
        <w:jc w:val="center"/>
        <w:rPr>
          <w:rFonts w:hint="eastAsia" w:ascii="黑体" w:hAnsi="黑体" w:eastAsia="黑体" w:cs="黑体"/>
          <w:b/>
          <w:bCs/>
          <w:kern w:val="0"/>
          <w:sz w:val="36"/>
          <w:szCs w:val="36"/>
          <w:highlight w:val="none"/>
          <w:lang w:val="en-US" w:eastAsia="zh-CN" w:bidi="ar-SA"/>
        </w:rPr>
      </w:pPr>
    </w:p>
    <w:p w14:paraId="3AFCD0D3">
      <w:pPr>
        <w:jc w:val="center"/>
        <w:rPr>
          <w:rFonts w:hint="eastAsia" w:ascii="黑体" w:hAnsi="黑体" w:eastAsia="黑体" w:cs="黑体"/>
          <w:b/>
          <w:bCs/>
          <w:kern w:val="0"/>
          <w:sz w:val="36"/>
          <w:szCs w:val="36"/>
          <w:highlight w:val="none"/>
          <w:lang w:val="en-US" w:eastAsia="zh-CN" w:bidi="ar-SA"/>
        </w:rPr>
      </w:pPr>
    </w:p>
    <w:p w14:paraId="107CC8C6">
      <w:pPr>
        <w:jc w:val="center"/>
        <w:rPr>
          <w:rFonts w:hint="eastAsia" w:ascii="黑体" w:hAnsi="黑体" w:eastAsia="黑体" w:cs="黑体"/>
          <w:b/>
          <w:bCs/>
          <w:kern w:val="0"/>
          <w:sz w:val="36"/>
          <w:szCs w:val="36"/>
          <w:highlight w:val="none"/>
          <w:lang w:val="en-US" w:eastAsia="zh-CN" w:bidi="ar-SA"/>
        </w:rPr>
      </w:pPr>
      <w:r>
        <w:rPr>
          <w:rFonts w:hint="eastAsia" w:ascii="黑体" w:hAnsi="黑体" w:eastAsia="黑体" w:cs="黑体"/>
          <w:b/>
          <w:bCs/>
          <w:kern w:val="0"/>
          <w:sz w:val="36"/>
          <w:szCs w:val="36"/>
          <w:highlight w:val="none"/>
          <w:lang w:val="en-US" w:eastAsia="zh-CN" w:bidi="ar-SA"/>
        </w:rPr>
        <w:t>2026年云南电力建设监理咨询有限责任公司</w:t>
      </w:r>
    </w:p>
    <w:p w14:paraId="39626060">
      <w:pPr>
        <w:jc w:val="center"/>
        <w:rPr>
          <w:rFonts w:hint="eastAsia" w:ascii="黑体" w:hAnsi="黑体" w:eastAsia="黑体" w:cs="黑体"/>
          <w:b/>
          <w:bCs/>
          <w:kern w:val="0"/>
          <w:sz w:val="36"/>
          <w:szCs w:val="36"/>
          <w:highlight w:val="none"/>
          <w:lang w:val="en-US" w:eastAsia="zh-CN" w:bidi="ar-SA"/>
        </w:rPr>
      </w:pPr>
      <w:r>
        <w:rPr>
          <w:rFonts w:hint="eastAsia" w:ascii="黑体" w:hAnsi="黑体" w:eastAsia="黑体" w:cs="黑体"/>
          <w:b/>
          <w:bCs/>
          <w:kern w:val="0"/>
          <w:sz w:val="36"/>
          <w:szCs w:val="36"/>
          <w:highlight w:val="none"/>
          <w:lang w:val="en-US" w:eastAsia="zh-CN" w:bidi="ar-SA"/>
        </w:rPr>
        <w:t>会议设备功放购置项目</w:t>
      </w:r>
    </w:p>
    <w:p w14:paraId="2E8009F3">
      <w:pPr>
        <w:spacing w:before="100" w:beforeAutospacing="1" w:after="100" w:afterAutospacing="1"/>
        <w:jc w:val="center"/>
        <w:rPr>
          <w:rFonts w:ascii="仿宋_GB2312" w:hAnsi="仿宋" w:eastAsia="仿宋_GB2312"/>
          <w:b/>
          <w:sz w:val="44"/>
          <w:szCs w:val="72"/>
          <w:highlight w:val="none"/>
        </w:rPr>
      </w:pPr>
      <w:r>
        <w:rPr>
          <w:rFonts w:hint="eastAsia" w:ascii="仿宋_GB2312" w:hAnsi="仿宋" w:eastAsia="仿宋_GB2312"/>
          <w:b/>
          <w:sz w:val="44"/>
          <w:szCs w:val="72"/>
          <w:highlight w:val="none"/>
          <w:lang w:eastAsia="zh-CN"/>
        </w:rPr>
        <w:t>（</w:t>
      </w:r>
      <w:r>
        <w:rPr>
          <w:rFonts w:hint="eastAsia" w:ascii="仿宋_GB2312" w:hAnsi="仿宋" w:eastAsia="仿宋_GB2312"/>
          <w:b/>
          <w:sz w:val="44"/>
          <w:szCs w:val="72"/>
          <w:highlight w:val="none"/>
          <w:lang w:val="en-US" w:eastAsia="zh-CN"/>
        </w:rPr>
        <w:t>货物类</w:t>
      </w:r>
      <w:r>
        <w:rPr>
          <w:rFonts w:hint="eastAsia" w:ascii="仿宋_GB2312" w:hAnsi="仿宋" w:eastAsia="仿宋_GB2312"/>
          <w:b/>
          <w:sz w:val="44"/>
          <w:szCs w:val="72"/>
          <w:highlight w:val="none"/>
          <w:lang w:eastAsia="zh-CN"/>
        </w:rPr>
        <w:t>）</w:t>
      </w:r>
    </w:p>
    <w:p w14:paraId="71DBF023">
      <w:pPr>
        <w:jc w:val="center"/>
        <w:rPr>
          <w:rFonts w:ascii="仿宋_GB2312" w:hAnsi="仿宋" w:eastAsia="仿宋_GB2312"/>
          <w:b/>
          <w:color w:val="000000"/>
          <w:sz w:val="44"/>
          <w:highlight w:val="none"/>
        </w:rPr>
      </w:pPr>
    </w:p>
    <w:p w14:paraId="4FBB87AB">
      <w:pPr>
        <w:jc w:val="center"/>
        <w:rPr>
          <w:rFonts w:hint="eastAsia" w:ascii="仿宋_GB2312" w:hAnsi="仿宋" w:eastAsia="仿宋_GB2312"/>
          <w:b/>
          <w:color w:val="000000"/>
          <w:sz w:val="44"/>
          <w:highlight w:val="none"/>
        </w:rPr>
      </w:pPr>
      <w:bookmarkStart w:id="0" w:name="OLE_LINK2"/>
      <w:r>
        <w:rPr>
          <w:rFonts w:hint="eastAsia" w:ascii="仿宋_GB2312" w:hAnsi="仿宋" w:eastAsia="仿宋_GB2312"/>
          <w:b/>
          <w:color w:val="000000"/>
          <w:sz w:val="44"/>
          <w:highlight w:val="none"/>
        </w:rPr>
        <w:t>技术服务规范</w:t>
      </w:r>
    </w:p>
    <w:bookmarkEnd w:id="0"/>
    <w:p w14:paraId="0F29D873"/>
    <w:p w14:paraId="6A96A73F">
      <w:pPr>
        <w:pStyle w:val="5"/>
      </w:pPr>
    </w:p>
    <w:p w14:paraId="20F4BAAA">
      <w:pPr>
        <w:pStyle w:val="6"/>
      </w:pPr>
    </w:p>
    <w:p w14:paraId="254E4A94"/>
    <w:p w14:paraId="02734C22"/>
    <w:p w14:paraId="061781D2">
      <w:pPr>
        <w:pStyle w:val="5"/>
      </w:pPr>
    </w:p>
    <w:p w14:paraId="6D3C4EEB">
      <w:pPr>
        <w:pStyle w:val="6"/>
      </w:pPr>
    </w:p>
    <w:p w14:paraId="4237DE7F"/>
    <w:p w14:paraId="5F4C7854">
      <w:pPr>
        <w:jc w:val="center"/>
        <w:rPr>
          <w:rFonts w:ascii="黑体" w:eastAsia="黑体"/>
          <w:b/>
          <w:color w:val="000000"/>
          <w:sz w:val="52"/>
          <w:highlight w:val="none"/>
        </w:rPr>
      </w:pPr>
    </w:p>
    <w:p w14:paraId="16B105BD">
      <w:pPr>
        <w:jc w:val="center"/>
        <w:rPr>
          <w:rFonts w:hint="eastAsia" w:ascii="仿宋_GB2312" w:hAnsi="仿宋_GB2312" w:eastAsia="仿宋_GB2312" w:cs="仿宋_GB2312"/>
          <w:color w:val="000000"/>
          <w:sz w:val="28"/>
          <w:highlight w:val="none"/>
          <w:lang w:val="en-US" w:eastAsia="zh-CN"/>
        </w:rPr>
      </w:pPr>
      <w:r>
        <w:rPr>
          <w:rFonts w:hint="eastAsia" w:ascii="仿宋_GB2312" w:hAnsi="仿宋_GB2312" w:eastAsia="仿宋_GB2312" w:cs="仿宋_GB2312"/>
          <w:color w:val="000000"/>
          <w:sz w:val="28"/>
          <w:highlight w:val="none"/>
          <w:lang w:val="en-US" w:eastAsia="zh-CN"/>
        </w:rPr>
        <w:t>云南电力建设监理咨询有限责任公司</w:t>
      </w:r>
    </w:p>
    <w:p w14:paraId="5AFBAC9C">
      <w:pPr>
        <w:jc w:val="center"/>
        <w:rPr>
          <w:rFonts w:ascii="仿宋_GB2312" w:hAnsi="仿宋" w:eastAsia="仿宋_GB2312"/>
          <w:color w:val="000000"/>
          <w:sz w:val="28"/>
          <w:highlight w:val="none"/>
        </w:rPr>
      </w:pPr>
      <w:r>
        <w:rPr>
          <w:rFonts w:hint="eastAsia" w:ascii="仿宋_GB2312" w:hAnsi="仿宋_GB2312" w:eastAsia="仿宋_GB2312" w:cs="仿宋_GB2312"/>
          <w:color w:val="000000"/>
          <w:sz w:val="28"/>
          <w:highlight w:val="none"/>
          <w:lang w:val="en-US" w:eastAsia="zh-CN"/>
        </w:rPr>
        <w:t>2026</w:t>
      </w:r>
      <w:r>
        <w:rPr>
          <w:rFonts w:hint="eastAsia" w:ascii="仿宋_GB2312" w:hAnsi="仿宋_GB2312" w:eastAsia="仿宋_GB2312" w:cs="仿宋_GB2312"/>
          <w:color w:val="000000"/>
          <w:sz w:val="28"/>
          <w:highlight w:val="none"/>
        </w:rPr>
        <w:t>年</w:t>
      </w:r>
      <w:r>
        <w:rPr>
          <w:rFonts w:hint="eastAsia" w:ascii="仿宋_GB2312" w:hAnsi="仿宋_GB2312" w:eastAsia="仿宋_GB2312" w:cs="仿宋_GB2312"/>
          <w:color w:val="000000"/>
          <w:sz w:val="28"/>
          <w:highlight w:val="none"/>
          <w:lang w:val="en-US" w:eastAsia="zh-CN"/>
        </w:rPr>
        <w:t>3</w:t>
      </w:r>
      <w:r>
        <w:rPr>
          <w:rFonts w:hint="eastAsia" w:ascii="仿宋_GB2312" w:hAnsi="仿宋_GB2312" w:eastAsia="仿宋_GB2312" w:cs="仿宋_GB2312"/>
          <w:color w:val="000000"/>
          <w:sz w:val="28"/>
          <w:highlight w:val="none"/>
        </w:rPr>
        <w:t>月</w:t>
      </w:r>
    </w:p>
    <w:p w14:paraId="10BB0406">
      <w:pPr>
        <w:rPr>
          <w:rFonts w:hint="eastAsia" w:ascii="黑体" w:hAnsi="黑体" w:eastAsia="黑体" w:cs="黑体"/>
          <w:b/>
          <w:bCs/>
          <w:kern w:val="0"/>
          <w:sz w:val="36"/>
          <w:szCs w:val="36"/>
          <w:highlight w:val="none"/>
          <w:lang w:val="en-US" w:eastAsia="zh-CN" w:bidi="ar-SA"/>
        </w:rPr>
      </w:pPr>
      <w:r>
        <w:br w:type="page"/>
      </w:r>
    </w:p>
    <w:p w14:paraId="2118B331">
      <w:pPr>
        <w:pStyle w:val="11"/>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default" w:ascii="仿宋" w:hAnsi="仿宋" w:eastAsia="仿宋" w:cs="仿宋"/>
          <w:b/>
          <w:bCs/>
          <w:i w:val="0"/>
          <w:iCs w:val="0"/>
          <w:color w:val="000000"/>
          <w:kern w:val="2"/>
          <w:sz w:val="28"/>
          <w:szCs w:val="28"/>
          <w:highlight w:val="none"/>
          <w:lang w:val="en-US" w:eastAsia="zh-CN" w:bidi="ar-SA"/>
        </w:rPr>
      </w:pPr>
      <w:r>
        <w:rPr>
          <w:rFonts w:hint="eastAsia" w:ascii="仿宋" w:hAnsi="仿宋" w:eastAsia="仿宋" w:cs="仿宋"/>
          <w:b/>
          <w:bCs/>
          <w:i w:val="0"/>
          <w:iCs w:val="0"/>
          <w:color w:val="000000"/>
          <w:kern w:val="2"/>
          <w:sz w:val="28"/>
          <w:szCs w:val="28"/>
          <w:highlight w:val="none"/>
          <w:lang w:val="en-US" w:eastAsia="zh-CN" w:bidi="ar-SA"/>
        </w:rPr>
        <w:t>一、前言</w:t>
      </w:r>
    </w:p>
    <w:p w14:paraId="0FD062F0">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为确保本次采购的得胜（Takstar）EKA-10N数字功放设备在性能、质量、兼容性及售后服务等方面满足使用需求，特制定本技术规范及售后服务要求规范书。本文件作为零星采购及验收的重要依据，供采购方、供应商及相关方共同遵循。</w:t>
      </w:r>
    </w:p>
    <w:p w14:paraId="0E6BC5D6">
      <w:pPr>
        <w:pStyle w:val="11"/>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i w:val="0"/>
          <w:iCs w:val="0"/>
          <w:color w:val="000000"/>
          <w:kern w:val="2"/>
          <w:sz w:val="28"/>
          <w:szCs w:val="28"/>
          <w:highlight w:val="none"/>
          <w:lang w:val="en-US" w:eastAsia="zh-CN" w:bidi="ar-SA"/>
        </w:rPr>
      </w:pPr>
      <w:r>
        <w:rPr>
          <w:rFonts w:hint="eastAsia" w:ascii="仿宋" w:hAnsi="仿宋" w:eastAsia="仿宋" w:cs="仿宋"/>
          <w:b/>
          <w:bCs/>
          <w:i w:val="0"/>
          <w:iCs w:val="0"/>
          <w:color w:val="000000"/>
          <w:kern w:val="2"/>
          <w:sz w:val="28"/>
          <w:szCs w:val="28"/>
          <w:highlight w:val="none"/>
          <w:lang w:val="en-US" w:eastAsia="zh-CN" w:bidi="ar-SA"/>
        </w:rPr>
        <w:t>二、设备概述</w:t>
      </w:r>
    </w:p>
    <w:p w14:paraId="50E04131">
      <w:pPr>
        <w:keepNext w:val="0"/>
        <w:keepLines w:val="0"/>
        <w:widowControl/>
        <w:suppressLineNumbers w:val="0"/>
        <w:ind w:firstLine="560" w:firstLineChars="200"/>
        <w:jc w:val="left"/>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本次采购设备为得胜（Takstar）EKA-10N数字功率放大器，适用于会议系统、多功能厅等场所的音频扩声需求。设备应具备高保真音质、稳定输出、智能保护及良好的系统兼容性。</w:t>
      </w:r>
    </w:p>
    <w:p w14:paraId="14E253D3">
      <w:pPr>
        <w:pStyle w:val="11"/>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i w:val="0"/>
          <w:iCs w:val="0"/>
          <w:color w:val="000000"/>
          <w:kern w:val="2"/>
          <w:sz w:val="28"/>
          <w:szCs w:val="28"/>
          <w:highlight w:val="none"/>
          <w:lang w:val="en-US" w:eastAsia="zh-CN" w:bidi="ar-SA"/>
        </w:rPr>
      </w:pPr>
      <w:r>
        <w:rPr>
          <w:rFonts w:hint="eastAsia" w:ascii="仿宋" w:hAnsi="仿宋" w:eastAsia="仿宋" w:cs="仿宋"/>
          <w:b/>
          <w:bCs/>
          <w:i w:val="0"/>
          <w:iCs w:val="0"/>
          <w:color w:val="000000"/>
          <w:kern w:val="2"/>
          <w:sz w:val="28"/>
          <w:szCs w:val="28"/>
          <w:highlight w:val="none"/>
          <w:lang w:val="en-US" w:eastAsia="zh-CN" w:bidi="ar-SA"/>
        </w:rPr>
        <w:t>三、技术规范要求</w:t>
      </w:r>
    </w:p>
    <w:p w14:paraId="64C998CC">
      <w:pPr>
        <w:pStyle w:val="11"/>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i w:val="0"/>
          <w:iCs w:val="0"/>
          <w:color w:val="000000"/>
          <w:kern w:val="2"/>
          <w:sz w:val="28"/>
          <w:szCs w:val="28"/>
          <w:highlight w:val="none"/>
          <w:lang w:val="en-US" w:eastAsia="zh-CN" w:bidi="ar-SA"/>
        </w:rPr>
      </w:pPr>
      <w:r>
        <w:rPr>
          <w:rFonts w:hint="eastAsia" w:ascii="仿宋" w:hAnsi="仿宋" w:eastAsia="仿宋" w:cs="仿宋"/>
          <w:b/>
          <w:bCs/>
          <w:i w:val="0"/>
          <w:iCs w:val="0"/>
          <w:color w:val="000000"/>
          <w:kern w:val="2"/>
          <w:sz w:val="28"/>
          <w:szCs w:val="28"/>
          <w:highlight w:val="none"/>
          <w:lang w:val="en-US" w:eastAsia="zh-CN" w:bidi="ar-SA"/>
        </w:rPr>
        <w:t>基本技术参数</w:t>
      </w:r>
    </w:p>
    <w:p w14:paraId="2637663C">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最大不失真功率(4Ω)：1400W</w:t>
      </w:r>
    </w:p>
    <w:p w14:paraId="55F54B39">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最大不失真功率(8Ω)：1000W</w:t>
      </w:r>
    </w:p>
    <w:p w14:paraId="6FC2514F">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输入电压：AC220V，1KHz</w:t>
      </w:r>
    </w:p>
    <w:p w14:paraId="2037916B">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最大谐波失真:0.5%</w:t>
      </w:r>
    </w:p>
    <w:p w14:paraId="04F712A6">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输入增益:41dB/38dB/35dB/32dB</w:t>
      </w:r>
    </w:p>
    <w:p w14:paraId="48195A96">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输入阻抗:30k/15k，平衡，非平衡</w:t>
      </w:r>
    </w:p>
    <w:p w14:paraId="2DE2FFED">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频率响应:20-20000Hz (±0.3dB)</w:t>
      </w:r>
    </w:p>
    <w:p w14:paraId="16EF2C95">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转换速率：≥12V/us</w:t>
      </w:r>
    </w:p>
    <w:p w14:paraId="1B660640">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阻尼系数：≥300</w:t>
      </w:r>
    </w:p>
    <w:p w14:paraId="597BD03B">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通道隔离：＞60dB @1KHz</w:t>
      </w:r>
    </w:p>
    <w:p w14:paraId="42700C71">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信噪比：＞100dB</w:t>
      </w:r>
    </w:p>
    <w:p w14:paraId="6DF7A3B0">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总谐波失真+噪音:＜0.3% 8Ω，1W @1kHz</w:t>
      </w:r>
    </w:p>
    <w:p w14:paraId="6F8886B4">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互调失真:＜0.5%</w:t>
      </w:r>
    </w:p>
    <w:p w14:paraId="451EA735">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面板指示灯:电源,保护,削峰,信号</w:t>
      </w:r>
    </w:p>
    <w:p w14:paraId="67EB6F53">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供电电压：220V/50Hz</w:t>
      </w:r>
    </w:p>
    <w:p w14:paraId="59CD4A4F">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外型尺寸：483×88×447mm（含把手）</w:t>
      </w:r>
    </w:p>
    <w:p w14:paraId="34FE244B">
      <w:pPr>
        <w:pStyle w:val="11"/>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i w:val="0"/>
          <w:iCs w:val="0"/>
          <w:color w:val="000000"/>
          <w:kern w:val="2"/>
          <w:sz w:val="28"/>
          <w:szCs w:val="28"/>
          <w:highlight w:val="none"/>
          <w:lang w:val="en-US" w:eastAsia="zh-CN" w:bidi="ar-SA"/>
        </w:rPr>
      </w:pPr>
      <w:r>
        <w:rPr>
          <w:rFonts w:hint="eastAsia" w:ascii="仿宋" w:hAnsi="仿宋" w:eastAsia="仿宋" w:cs="仿宋"/>
          <w:b/>
          <w:bCs/>
          <w:i w:val="0"/>
          <w:iCs w:val="0"/>
          <w:color w:val="000000"/>
          <w:kern w:val="2"/>
          <w:sz w:val="28"/>
          <w:szCs w:val="28"/>
          <w:highlight w:val="none"/>
          <w:lang w:val="en-US" w:eastAsia="zh-CN" w:bidi="ar-SA"/>
        </w:rPr>
        <w:t>配件与包装</w:t>
      </w:r>
    </w:p>
    <w:p w14:paraId="3AEF3D1C">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每台设备应包含：</w:t>
      </w:r>
    </w:p>
    <w:p w14:paraId="4E0A3E09">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主机一台</w:t>
      </w:r>
    </w:p>
    <w:p w14:paraId="69C78B02">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电源线一根</w:t>
      </w:r>
    </w:p>
    <w:p w14:paraId="4FF30EF5">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安装机架耳托一对</w:t>
      </w:r>
    </w:p>
    <w:p w14:paraId="4D7B4430">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使用说明书（中文版）</w:t>
      </w:r>
    </w:p>
    <w:p w14:paraId="37165D76">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合格证、保修卡</w:t>
      </w:r>
    </w:p>
    <w:p w14:paraId="7C67FA14">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包装应坚固防震，适合长途运输，外箱标注产品型号、数量、生产日期及防潮防压标识。</w:t>
      </w:r>
    </w:p>
    <w:p w14:paraId="4AAF3067">
      <w:pPr>
        <w:pStyle w:val="11"/>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i w:val="0"/>
          <w:iCs w:val="0"/>
          <w:color w:val="000000"/>
          <w:kern w:val="2"/>
          <w:sz w:val="28"/>
          <w:szCs w:val="28"/>
          <w:highlight w:val="none"/>
          <w:lang w:val="en-US" w:eastAsia="zh-CN" w:bidi="ar-SA"/>
        </w:rPr>
      </w:pPr>
      <w:r>
        <w:rPr>
          <w:rFonts w:hint="eastAsia" w:ascii="仿宋" w:hAnsi="仿宋" w:eastAsia="仿宋" w:cs="仿宋"/>
          <w:b/>
          <w:bCs/>
          <w:i w:val="0"/>
          <w:iCs w:val="0"/>
          <w:color w:val="000000"/>
          <w:kern w:val="2"/>
          <w:sz w:val="28"/>
          <w:szCs w:val="28"/>
          <w:highlight w:val="none"/>
          <w:lang w:val="en-US" w:eastAsia="zh-CN" w:bidi="ar-SA"/>
        </w:rPr>
        <w:t>四、售后服务要求</w:t>
      </w:r>
    </w:p>
    <w:p w14:paraId="2821A182">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1. 质保期：整机提供不低于3年免费质保服务，自验收合格之日起计算，质保期内因产品质量问题导致的故障，供应商须提供免费维修或更换服务。</w:t>
      </w:r>
    </w:p>
    <w:p w14:paraId="25B129D7">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2. 响应与维修服务</w:t>
      </w:r>
    </w:p>
    <w:p w14:paraId="4E638904">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基于整个会议音响系统接到故障报修后：2小时内电话或在线响应，质保期内12小时以内到达现场，提供7×24小时技术支持热线及在线服务通道。</w:t>
      </w:r>
    </w:p>
    <w:p w14:paraId="281C30C0">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3. 备件支持</w:t>
      </w:r>
    </w:p>
    <w:p w14:paraId="54570C0B">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供应商应在该设备质保期内免费提供维修所需备件，基于整个会议音响系统异常时，可提供临时备用或测试设备。</w:t>
      </w:r>
    </w:p>
    <w:p w14:paraId="729BE899">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质保期满后，应保证至少5年内持续供应原厂备件，并以不高于采购价的80%提供更换服务。</w:t>
      </w:r>
    </w:p>
    <w:p w14:paraId="7734337F">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4. 技术培训</w:t>
      </w:r>
    </w:p>
    <w:p w14:paraId="2D4BC319">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供应商须为采购方技术人员提供不少于1次现场技术培训，内容包括： 设备安装与调试、 软件操作与参数设置、日常维护与故障排查、提供培训手册及操作视频资料。</w:t>
      </w:r>
    </w:p>
    <w:p w14:paraId="3C4C20CE">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5. 验收标准</w:t>
      </w:r>
    </w:p>
    <w:p w14:paraId="20EFE7BC">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 设备到货后，采购方将依据本规范进行验收，内容包括：设备型号、数量、外观检查，通电测试与功能验证， 输出功率与音质测试，设备上架安装，该设备其他设备的协同功能测试，验收不合格，采购方有权拒收或要求更换。</w:t>
      </w:r>
    </w:p>
    <w:p w14:paraId="719D1BCA">
      <w:pPr>
        <w:pStyle w:val="11"/>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i w:val="0"/>
          <w:iCs w:val="0"/>
          <w:color w:val="000000"/>
          <w:kern w:val="2"/>
          <w:sz w:val="28"/>
          <w:szCs w:val="28"/>
          <w:highlight w:val="none"/>
          <w:lang w:val="en-US" w:eastAsia="zh-CN" w:bidi="ar-SA"/>
        </w:rPr>
      </w:pPr>
      <w:r>
        <w:rPr>
          <w:rFonts w:hint="eastAsia" w:ascii="仿宋" w:hAnsi="仿宋" w:eastAsia="仿宋" w:cs="仿宋"/>
          <w:b/>
          <w:bCs/>
          <w:i w:val="0"/>
          <w:iCs w:val="0"/>
          <w:color w:val="000000"/>
          <w:kern w:val="2"/>
          <w:sz w:val="28"/>
          <w:szCs w:val="28"/>
          <w:highlight w:val="none"/>
          <w:lang w:val="en-US" w:eastAsia="zh-CN" w:bidi="ar-SA"/>
        </w:rPr>
        <w:t>五、应遵循的管理规定</w:t>
      </w:r>
    </w:p>
    <w:p w14:paraId="05A4FC7E">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1.根据</w:t>
      </w:r>
      <w:r>
        <w:rPr>
          <w:rFonts w:hint="eastAsia" w:ascii="仿宋" w:hAnsi="仿宋" w:eastAsia="仿宋" w:cs="仿宋"/>
          <w:i w:val="0"/>
          <w:iCs w:val="0"/>
          <w:color w:val="000000"/>
          <w:kern w:val="2"/>
          <w:sz w:val="28"/>
          <w:szCs w:val="28"/>
          <w:highlight w:val="none"/>
          <w:lang w:val="en-US" w:eastAsia="zh-CN" w:bidi="ar-SA"/>
        </w:rPr>
        <w:t>采购方</w:t>
      </w:r>
      <w:r>
        <w:rPr>
          <w:rFonts w:hint="eastAsia" w:ascii="仿宋" w:hAnsi="仿宋" w:eastAsia="仿宋" w:cs="仿宋"/>
          <w:sz w:val="28"/>
          <w:szCs w:val="28"/>
          <w:highlight w:val="none"/>
          <w:lang w:val="en-US" w:eastAsia="zh-CN"/>
        </w:rPr>
        <w:t>上级单位的管理规定，</w:t>
      </w:r>
      <w:bookmarkStart w:id="1" w:name="OLE_LINK1"/>
      <w:r>
        <w:rPr>
          <w:rFonts w:hint="eastAsia" w:ascii="仿宋" w:hAnsi="仿宋" w:eastAsia="仿宋" w:cs="仿宋"/>
          <w:sz w:val="28"/>
          <w:szCs w:val="28"/>
          <w:highlight w:val="none"/>
          <w:lang w:val="en-US" w:eastAsia="zh-CN"/>
        </w:rPr>
        <w:t>在到货签收前南网电子商城已上架与该采购设备基本技术参数相当时，我方有权终止本采购项目，选择从南网电子商城下单的权益。</w:t>
      </w:r>
    </w:p>
    <w:bookmarkEnd w:id="1"/>
    <w:p w14:paraId="3215D06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sz w:val="28"/>
          <w:szCs w:val="28"/>
          <w:highlight w:val="none"/>
          <w:lang w:val="en-US" w:eastAsia="zh-CN"/>
        </w:rPr>
        <w:t>2</w:t>
      </w:r>
      <w:r>
        <w:rPr>
          <w:rFonts w:hint="eastAsia" w:ascii="仿宋" w:hAnsi="仿宋" w:eastAsia="仿宋" w:cs="仿宋"/>
          <w:i w:val="0"/>
          <w:iCs w:val="0"/>
          <w:color w:val="000000"/>
          <w:kern w:val="2"/>
          <w:sz w:val="28"/>
          <w:szCs w:val="28"/>
          <w:highlight w:val="none"/>
          <w:lang w:val="en-US" w:eastAsia="zh-CN" w:bidi="ar-SA"/>
        </w:rPr>
        <w:t>.在交货及安装地点供应商有固定运维团队覆盖，并提供运维团队能满足服务要求的证明材料。</w:t>
      </w:r>
    </w:p>
    <w:p w14:paraId="3E95E61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default"/>
          <w:sz w:val="28"/>
          <w:szCs w:val="28"/>
          <w:lang w:val="en-US" w:eastAsia="zh-CN"/>
        </w:rPr>
      </w:pPr>
      <w:r>
        <w:rPr>
          <w:rFonts w:hint="eastAsia" w:ascii="仿宋" w:hAnsi="仿宋" w:eastAsia="仿宋" w:cs="仿宋"/>
          <w:sz w:val="28"/>
          <w:szCs w:val="28"/>
          <w:highlight w:val="none"/>
          <w:lang w:val="en-US" w:eastAsia="zh-CN"/>
        </w:rPr>
        <w:t>3.监督：在采购过程中发现违规违纪问题，需要反映线索的请联系：监督电话党群</w:t>
      </w:r>
      <w:r>
        <w:rPr>
          <w:rFonts w:hint="eastAsia" w:ascii="仿宋" w:hAnsi="仿宋" w:eastAsia="仿宋" w:cs="仿宋"/>
          <w:sz w:val="28"/>
          <w:szCs w:val="28"/>
          <w:lang w:val="en-US" w:eastAsia="zh-CN"/>
        </w:rPr>
        <w:t>部李莲：13578163316、监督电话综合办公室（党办）马丽：13700635385。</w:t>
      </w:r>
    </w:p>
    <w:p w14:paraId="791B384D">
      <w:pPr>
        <w:pStyle w:val="11"/>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i w:val="0"/>
          <w:iCs w:val="0"/>
          <w:color w:val="000000"/>
          <w:kern w:val="2"/>
          <w:sz w:val="28"/>
          <w:szCs w:val="28"/>
          <w:highlight w:val="none"/>
          <w:lang w:val="en-US" w:eastAsia="zh-CN" w:bidi="ar-SA"/>
        </w:rPr>
      </w:pPr>
      <w:r>
        <w:rPr>
          <w:rFonts w:hint="eastAsia" w:ascii="仿宋" w:hAnsi="仿宋" w:eastAsia="仿宋" w:cs="仿宋"/>
          <w:b/>
          <w:bCs/>
          <w:i w:val="0"/>
          <w:iCs w:val="0"/>
          <w:color w:val="000000"/>
          <w:kern w:val="2"/>
          <w:sz w:val="28"/>
          <w:szCs w:val="28"/>
          <w:highlight w:val="none"/>
          <w:lang w:val="en-US" w:eastAsia="zh-CN" w:bidi="ar-SA"/>
        </w:rPr>
        <w:t>六、结算方式</w:t>
      </w:r>
    </w:p>
    <w:p w14:paraId="7764938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此采购设备安装调试，通过验收后，供应商应在5个工作日内开具增值税专用发票，采购方在20个工作日内完成对公付款。</w:t>
      </w:r>
    </w:p>
    <w:p w14:paraId="731B0F81">
      <w:pPr>
        <w:pStyle w:val="11"/>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i w:val="0"/>
          <w:iCs w:val="0"/>
          <w:color w:val="000000"/>
          <w:kern w:val="2"/>
          <w:sz w:val="28"/>
          <w:szCs w:val="28"/>
          <w:highlight w:val="none"/>
          <w:lang w:val="en-US" w:eastAsia="zh-CN" w:bidi="ar-SA"/>
        </w:rPr>
      </w:pPr>
      <w:r>
        <w:rPr>
          <w:rFonts w:hint="eastAsia" w:ascii="仿宋" w:hAnsi="仿宋" w:eastAsia="仿宋" w:cs="仿宋"/>
          <w:b/>
          <w:bCs/>
          <w:i w:val="0"/>
          <w:iCs w:val="0"/>
          <w:color w:val="000000"/>
          <w:kern w:val="2"/>
          <w:sz w:val="28"/>
          <w:szCs w:val="28"/>
          <w:highlight w:val="none"/>
          <w:lang w:val="en-US" w:eastAsia="zh-CN" w:bidi="ar-SA"/>
        </w:rPr>
        <w:t>七、其他要求</w:t>
      </w:r>
    </w:p>
    <w:p w14:paraId="01B97ED1">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1. 供应商须提供原厂授权证明及产品合格证明文件。</w:t>
      </w:r>
    </w:p>
    <w:p w14:paraId="35D1BEB0">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2. 所有设备必须为全新、未使用过的原装正品，严禁翻新或改装。</w:t>
      </w:r>
    </w:p>
    <w:p w14:paraId="239DD5D5">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3. 新上架设备及整个机柜原有其他设备线路的规范梳理及整理。</w:t>
      </w:r>
      <w:bookmarkStart w:id="2" w:name="_GoBack"/>
      <w:bookmarkEnd w:id="2"/>
    </w:p>
    <w:p w14:paraId="72B742D9">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4. 交货周期：成交通知书发出之日起5个工作日内完成交货及安装调试。</w:t>
      </w:r>
    </w:p>
    <w:p w14:paraId="61E82F7B">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5. 交货地点：云南昆明市五华区丽江路65号</w:t>
      </w:r>
    </w:p>
    <w:p w14:paraId="5FDA79D9">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p>
    <w:p w14:paraId="43A91932">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p>
    <w:p w14:paraId="57FDAB21">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云南电力建设监理咨询有限责任公司</w:t>
      </w:r>
    </w:p>
    <w:p w14:paraId="18664982">
      <w:pPr>
        <w:pStyle w:val="11"/>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2026年03月05日</w:t>
      </w:r>
    </w:p>
    <w:p w14:paraId="1997153D"/>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3B8B0">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ECF5C">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EBECF5C">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93093">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A1A55"/>
    <w:rsid w:val="04B24229"/>
    <w:rsid w:val="05F2518E"/>
    <w:rsid w:val="0B34742E"/>
    <w:rsid w:val="0D284A9F"/>
    <w:rsid w:val="15786BC0"/>
    <w:rsid w:val="18355BD0"/>
    <w:rsid w:val="1D5C728F"/>
    <w:rsid w:val="27DD2B2D"/>
    <w:rsid w:val="2A3F1B7B"/>
    <w:rsid w:val="2C9502B8"/>
    <w:rsid w:val="30DF547C"/>
    <w:rsid w:val="365D137A"/>
    <w:rsid w:val="3DD42AB2"/>
    <w:rsid w:val="46A41095"/>
    <w:rsid w:val="49CF7426"/>
    <w:rsid w:val="4A137D46"/>
    <w:rsid w:val="52000968"/>
    <w:rsid w:val="5C706B5B"/>
    <w:rsid w:val="5DAB4DB2"/>
    <w:rsid w:val="5E087DBF"/>
    <w:rsid w:val="5FEC48FC"/>
    <w:rsid w:val="61975313"/>
    <w:rsid w:val="63EC02FC"/>
    <w:rsid w:val="712F4243"/>
    <w:rsid w:val="732C5FD6"/>
    <w:rsid w:val="732E03E7"/>
    <w:rsid w:val="773330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5">
    <w:name w:val="Body Text"/>
    <w:basedOn w:val="6"/>
    <w:next w:val="6"/>
    <w:qFormat/>
    <w:uiPriority w:val="0"/>
    <w:pPr>
      <w:widowControl w:val="0"/>
      <w:spacing w:after="120"/>
      <w:jc w:val="both"/>
    </w:pPr>
    <w:rPr>
      <w:kern w:val="2"/>
      <w:sz w:val="21"/>
    </w:rPr>
  </w:style>
  <w:style w:type="paragraph" w:styleId="6">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1">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12</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2026-03-04T12:41:00Z</dcterms:created>
  <dc:creator>djjladmin</dc:creator>
  <cp:lastModifiedBy>李银康</cp:lastModifiedBy>
  <dcterms:modified xsi:type="dcterms:W3CDTF">2026-03-05T02:13:13Z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F2590BBE217A4FA083A7938EE48B9CC3</vt:lpwstr>
  </property>
</Properties>
</file>