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600" w:lineRule="exact"/>
        <w:jc w:val="center"/>
        <w:textAlignment w:val="auto"/>
        <w:rPr>
          <w:rFonts w:hint="default"/>
          <w:lang w:val="en-US" w:eastAsia="zh-CN"/>
        </w:rPr>
      </w:pPr>
      <w:bookmarkStart w:id="0" w:name="heading_2"/>
      <w:r>
        <w:rPr>
          <w:rFonts w:hint="eastAsia" w:ascii="方正小标宋_GBK" w:hAnsi="方正小标宋_GBK" w:eastAsia="方正小标宋_GBK" w:cs="方正小标宋_GBK"/>
          <w:snapToGrid w:val="0"/>
          <w:sz w:val="36"/>
          <w:szCs w:val="36"/>
          <w:lang w:val="en-US" w:eastAsia="zh-CN"/>
        </w:rPr>
        <w:t>海南电力交易中心有限责任公司新办公场所交易大厅遮阳系统采购安装项目技术规范书</w:t>
      </w:r>
    </w:p>
    <w:bookmarkEnd w:id="0"/>
    <w:p>
      <w:pPr>
        <w:numPr>
          <w:ilvl w:val="-1"/>
          <w:numId w:val="0"/>
        </w:numPr>
        <w:spacing w:before="380" w:after="140" w:line="288" w:lineRule="auto"/>
        <w:ind w:left="0" w:leftChars="0" w:firstLine="0" w:firstLineChars="0"/>
        <w:jc w:val="left"/>
        <w:outlineLvl w:val="0"/>
        <w:rPr>
          <w:rFonts w:hint="eastAsia" w:ascii="宋体" w:hAnsi="宋体" w:eastAsia="宋体" w:cs="宋体"/>
          <w:b/>
          <w:sz w:val="36"/>
        </w:rPr>
      </w:pPr>
    </w:p>
    <w:p>
      <w:pPr>
        <w:pStyle w:val="7"/>
        <w:numPr>
          <w:ilvl w:val="0"/>
          <w:numId w:val="0"/>
        </w:numPr>
        <w:ind w:left="0" w:leftChars="0" w:firstLine="562" w:firstLineChars="200"/>
        <w:outlineLvl w:val="0"/>
        <w:rPr>
          <w:rFonts w:hint="eastAsia" w:ascii="仿宋_GB2312" w:hAnsi="宋体" w:eastAsia="仿宋_GB2312"/>
          <w:b/>
          <w:color w:val="auto"/>
          <w:sz w:val="28"/>
          <w:szCs w:val="28"/>
          <w:lang w:val="en-US" w:eastAsia="zh-CN"/>
        </w:rPr>
      </w:pPr>
      <w:r>
        <w:rPr>
          <w:rFonts w:hint="eastAsia" w:ascii="仿宋_GB2312" w:hAnsi="宋体" w:eastAsia="仿宋_GB2312"/>
          <w:b/>
          <w:color w:val="auto"/>
          <w:sz w:val="28"/>
          <w:szCs w:val="28"/>
          <w:lang w:val="en-US" w:eastAsia="zh-CN"/>
        </w:rPr>
        <w:t>一、采购范围及报价要求</w:t>
      </w:r>
    </w:p>
    <w:p>
      <w:pPr>
        <w:pStyle w:val="7"/>
        <w:numPr>
          <w:ilvl w:val="-1"/>
          <w:numId w:val="0"/>
        </w:numPr>
        <w:ind w:left="0" w:leftChars="0" w:firstLine="638" w:firstLineChars="228"/>
        <w:outlineLvl w:val="9"/>
        <w:rPr>
          <w:rFonts w:hint="eastAsia" w:ascii="仿宋" w:hAnsi="仿宋" w:eastAsia="仿宋" w:cs="Times New Roman"/>
          <w:b w:val="0"/>
          <w:bCs w:val="0"/>
          <w:color w:val="auto"/>
          <w:sz w:val="28"/>
          <w:szCs w:val="28"/>
          <w:lang w:val="en-US" w:eastAsia="zh-CN"/>
        </w:rPr>
      </w:pPr>
      <w:r>
        <w:rPr>
          <w:rFonts w:hint="eastAsia" w:ascii="仿宋" w:hAnsi="仿宋" w:eastAsia="仿宋"/>
          <w:color w:val="auto"/>
          <w:sz w:val="28"/>
          <w:szCs w:val="28"/>
          <w:lang w:val="en-US" w:eastAsia="zh-CN"/>
        </w:rPr>
        <w:t>海南电力交易中心有限责任公司新办公场所位于海口市秀英区长滨东三街8号南方电网综合能源大厦36层，现需要为新办公场所交易大厅采购安装</w:t>
      </w:r>
      <w:r>
        <w:rPr>
          <w:rFonts w:hint="eastAsia" w:ascii="仿宋" w:hAnsi="仿宋" w:eastAsia="仿宋" w:cs="Times New Roman"/>
          <w:snapToGrid/>
          <w:color w:val="auto"/>
          <w:sz w:val="28"/>
          <w:szCs w:val="28"/>
          <w:lang w:val="en-US" w:eastAsia="zh-CN"/>
        </w:rPr>
        <w:t>遮阳系统</w:t>
      </w:r>
      <w:r>
        <w:rPr>
          <w:rFonts w:hint="eastAsia" w:ascii="仿宋" w:hAnsi="仿宋" w:eastAsia="仿宋" w:cs="Times New Roman"/>
          <w:color w:val="auto"/>
          <w:sz w:val="28"/>
          <w:szCs w:val="28"/>
          <w:lang w:val="en-US" w:eastAsia="zh-CN"/>
        </w:rPr>
        <w:t>。</w:t>
      </w:r>
    </w:p>
    <w:p>
      <w:pPr>
        <w:pStyle w:val="7"/>
        <w:ind w:firstLine="638" w:firstLineChars="228"/>
        <w:rPr>
          <w:rFonts w:hint="eastAsia"/>
        </w:rPr>
      </w:pPr>
      <w:r>
        <w:rPr>
          <w:rFonts w:hint="eastAsia" w:ascii="仿宋" w:hAnsi="仿宋" w:eastAsia="仿宋" w:cs="Times New Roman"/>
          <w:color w:val="auto"/>
          <w:sz w:val="28"/>
          <w:szCs w:val="28"/>
          <w:lang w:val="en-US" w:eastAsia="zh-CN"/>
        </w:rPr>
        <w:t>报价须知：报价含开展</w:t>
      </w:r>
      <w:r>
        <w:rPr>
          <w:rFonts w:hint="eastAsia" w:ascii="仿宋" w:hAnsi="仿宋" w:eastAsia="仿宋" w:cs="Times New Roman"/>
          <w:snapToGrid/>
          <w:color w:val="auto"/>
          <w:sz w:val="28"/>
          <w:szCs w:val="28"/>
          <w:lang w:val="en-US" w:eastAsia="zh-CN"/>
        </w:rPr>
        <w:t>遮阳系统</w:t>
      </w:r>
      <w:r>
        <w:rPr>
          <w:rFonts w:hint="eastAsia" w:ascii="仿宋" w:hAnsi="仿宋" w:eastAsia="仿宋" w:cs="Times New Roman"/>
          <w:color w:val="auto"/>
          <w:sz w:val="28"/>
          <w:szCs w:val="28"/>
          <w:lang w:val="en-US" w:eastAsia="zh-CN"/>
        </w:rPr>
        <w:t>采</w:t>
      </w:r>
      <w:r>
        <w:rPr>
          <w:rFonts w:hint="eastAsia" w:ascii="仿宋" w:hAnsi="仿宋" w:eastAsia="仿宋"/>
          <w:color w:val="auto"/>
          <w:sz w:val="28"/>
          <w:szCs w:val="28"/>
          <w:lang w:val="en-US" w:eastAsia="zh-CN"/>
        </w:rPr>
        <w:t>购、安装、调试及质保期维修等工作所需人工费、材料费、运输费、机械费、安装费等所有费用。</w:t>
      </w:r>
    </w:p>
    <w:p>
      <w:pPr>
        <w:spacing w:before="320" w:after="120" w:line="288" w:lineRule="auto"/>
        <w:ind w:left="0"/>
        <w:jc w:val="left"/>
        <w:outlineLvl w:val="1"/>
        <w:rPr>
          <w:rFonts w:hint="eastAsia" w:ascii="仿宋_GB2312" w:hAnsi="宋体" w:eastAsia="仿宋_GB2312" w:cs="Times New Roman"/>
          <w:b/>
          <w:color w:val="auto"/>
          <w:sz w:val="28"/>
          <w:szCs w:val="28"/>
          <w:lang w:val="en-US" w:eastAsia="zh-CN"/>
        </w:rPr>
      </w:pPr>
      <w:bookmarkStart w:id="1" w:name="heading_11"/>
      <w:bookmarkStart w:id="2" w:name="heading_5"/>
      <w:r>
        <w:rPr>
          <w:rFonts w:hint="eastAsia" w:ascii="仿宋_GB2312" w:hAnsi="宋体" w:eastAsia="仿宋_GB2312" w:cs="Times New Roman"/>
          <w:b/>
          <w:color w:val="auto"/>
          <w:sz w:val="28"/>
          <w:szCs w:val="28"/>
          <w:lang w:val="en-US" w:eastAsia="zh-CN"/>
        </w:rPr>
        <w:t>二、技术要求</w:t>
      </w:r>
      <w:bookmarkEnd w:id="1"/>
    </w:p>
    <w:p>
      <w:pPr>
        <w:pStyle w:val="7"/>
        <w:numPr>
          <w:ilvl w:val="0"/>
          <w:numId w:val="0"/>
        </w:numPr>
        <w:ind w:firstLine="560"/>
        <w:jc w:val="both"/>
        <w:outlineLvl w:val="0"/>
        <w:rPr>
          <w:rFonts w:hint="eastAsia" w:ascii="仿宋" w:hAnsi="仿宋" w:eastAsia="仿宋" w:cs="Times New Roman"/>
          <w:b w:val="0"/>
          <w:color w:val="auto"/>
          <w:kern w:val="2"/>
          <w:sz w:val="28"/>
          <w:szCs w:val="28"/>
          <w:lang w:val="en-US" w:eastAsia="zh-CN" w:bidi="ar-SA"/>
        </w:rPr>
      </w:pPr>
      <w:r>
        <w:rPr>
          <w:rFonts w:hint="eastAsia" w:ascii="仿宋" w:hAnsi="仿宋" w:eastAsia="仿宋" w:cs="Times New Roman"/>
          <w:b w:val="0"/>
          <w:color w:val="auto"/>
          <w:kern w:val="2"/>
          <w:sz w:val="28"/>
          <w:szCs w:val="28"/>
          <w:lang w:val="en-US" w:eastAsia="zh-CN" w:bidi="ar-SA"/>
        </w:rPr>
        <w:t>（一）双层遮阳帘（布艺帘+纱帘）技术要求</w:t>
      </w:r>
    </w:p>
    <w:p>
      <w:pPr>
        <w:pStyle w:val="7"/>
        <w:numPr>
          <w:ilvl w:val="0"/>
          <w:numId w:val="0"/>
        </w:numPr>
        <w:ind w:firstLine="560"/>
        <w:jc w:val="both"/>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b w:val="0"/>
          <w:color w:val="auto"/>
          <w:kern w:val="2"/>
          <w:sz w:val="28"/>
          <w:szCs w:val="28"/>
          <w:lang w:val="en-US" w:eastAsia="zh-CN" w:bidi="ar-SA"/>
        </w:rPr>
        <w:t>1.2倍褶皱布艺遮阳帘</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（1）材质标准：面料环保、阻燃、防紫外线，符合GB 50222《建筑内部装修设计防火规范》B1级及以上标准，无异味、色牢度≥4级、经久耐用，触感细腻。</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（2）褶皱要求：按单扇窗户实际宽度2倍制作褶皱，褶皱分布均匀，垂感良好，定型工艺牢固，反复开合/升降后无变形、无松垮，遮光无漏缝；中上、中下两扇窗帘拼接处无明显缝隙，外观协调。</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（3）遮光性能：遮光率≥90%，满足办公环境光线控制需求，2倍褶皱结构需确保全闭合状态下无明显漏光，拼接处无漏光。</w:t>
      </w:r>
    </w:p>
    <w:p>
      <w:pPr>
        <w:pStyle w:val="7"/>
        <w:numPr>
          <w:ilvl w:val="0"/>
          <w:numId w:val="0"/>
        </w:numPr>
        <w:ind w:firstLine="56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4）外观要求：颜色为浅灰色系、纹理为哑光素面，与大厅整体装修风格协调；中上、中下两扇窗帘颜色、纹理一致，无明显色差；与同位置纱帘搭配协调，需提供实物样品经甲方确认后生产；运行时无卡滞、无异响，表面无瑕疵。</w:t>
      </w:r>
    </w:p>
    <w:p>
      <w:pPr>
        <w:pStyle w:val="7"/>
        <w:numPr>
          <w:ilvl w:val="0"/>
          <w:numId w:val="0"/>
        </w:numPr>
        <w:ind w:firstLine="560" w:firstLineChars="200"/>
        <w:jc w:val="both"/>
        <w:outlineLvl w:val="0"/>
        <w:rPr>
          <w:rFonts w:hint="eastAsia" w:ascii="仿宋" w:hAnsi="仿宋" w:eastAsia="仿宋" w:cs="Times New Roman"/>
          <w:b w:val="0"/>
          <w:color w:val="auto"/>
          <w:kern w:val="2"/>
          <w:sz w:val="28"/>
          <w:szCs w:val="28"/>
          <w:lang w:val="en-US" w:eastAsia="zh-CN" w:bidi="ar-SA"/>
        </w:rPr>
      </w:pPr>
      <w:r>
        <w:rPr>
          <w:rFonts w:hint="eastAsia" w:ascii="仿宋" w:hAnsi="仿宋" w:eastAsia="仿宋" w:cs="Times New Roman"/>
          <w:b w:val="0"/>
          <w:color w:val="auto"/>
          <w:kern w:val="2"/>
          <w:sz w:val="28"/>
          <w:szCs w:val="28"/>
          <w:lang w:val="en-US" w:eastAsia="zh-CN" w:bidi="ar-SA"/>
        </w:rPr>
        <w:t>2.2倍褶皱纱帘</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（1）材质标准：采用高透环保聚酯纱线，透光不透人，防紫外线、防灰尘，柔韧耐用，不勾丝、不起球，无异味，符合GB 18401《国家纺织产品基本安全技术规范》A级标准。</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（2）褶皱要求：与同位置布艺帘一致，按单扇窗户实际宽度2倍制作褶皱，褶皱分布均匀，垂感柔和，定型牢固，反复电动开合后无变形、无松垮，运行顺畅。</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（3）透光性能：透光率≥85%，既能过滤强光、保护隐私，又不影响室内采光；全闭合状态下无明显透光不均现象，拼接处无漏光、无褶皱错位。</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4）外观要求：颜色为浅白纱系（与布艺帘同色系浅色调），中上、中下两扇纱帘颜色、纹理一致，无明显色差；表面无跳线、无污渍，运行时无卡滞、无异响，与布艺帘分层安装不干涉；需提供实物样品经甲方确认后生产。</w:t>
      </w:r>
    </w:p>
    <w:p>
      <w:pPr>
        <w:pStyle w:val="7"/>
        <w:numPr>
          <w:ilvl w:val="0"/>
          <w:numId w:val="0"/>
        </w:numPr>
        <w:ind w:firstLine="560"/>
        <w:jc w:val="both"/>
        <w:outlineLvl w:val="0"/>
        <w:rPr>
          <w:rFonts w:hint="eastAsia" w:ascii="仿宋" w:hAnsi="仿宋" w:eastAsia="仿宋" w:cs="Times New Roman"/>
          <w:b w:val="0"/>
          <w:color w:val="auto"/>
          <w:kern w:val="2"/>
          <w:sz w:val="28"/>
          <w:szCs w:val="28"/>
          <w:lang w:val="en-US" w:eastAsia="zh-CN" w:bidi="ar-SA"/>
        </w:rPr>
      </w:pPr>
      <w:r>
        <w:rPr>
          <w:rFonts w:hint="eastAsia" w:ascii="仿宋" w:hAnsi="仿宋" w:eastAsia="仿宋" w:cs="Times New Roman"/>
          <w:b w:val="0"/>
          <w:color w:val="auto"/>
          <w:kern w:val="2"/>
          <w:sz w:val="28"/>
          <w:szCs w:val="28"/>
          <w:lang w:val="en-US" w:eastAsia="zh-CN" w:bidi="ar-SA"/>
        </w:rPr>
        <w:t>（二）电动驱动系统</w:t>
      </w:r>
    </w:p>
    <w:p>
      <w:pPr>
        <w:pStyle w:val="7"/>
        <w:numPr>
          <w:ilvl w:val="0"/>
          <w:numId w:val="0"/>
        </w:numPr>
        <w:ind w:firstLine="560" w:firstLineChars="200"/>
        <w:jc w:val="both"/>
        <w:outlineLvl w:val="0"/>
        <w:rPr>
          <w:rFonts w:hint="eastAsia" w:ascii="仿宋" w:hAnsi="仿宋" w:eastAsia="仿宋" w:cs="Times New Roman"/>
          <w:b w:val="0"/>
          <w:color w:val="auto"/>
          <w:kern w:val="2"/>
          <w:sz w:val="28"/>
          <w:szCs w:val="28"/>
          <w:lang w:val="en-US" w:eastAsia="zh-CN" w:bidi="ar-SA"/>
        </w:rPr>
      </w:pPr>
      <w:r>
        <w:rPr>
          <w:rFonts w:hint="eastAsia" w:ascii="仿宋" w:hAnsi="仿宋" w:eastAsia="仿宋" w:cs="Times New Roman"/>
          <w:b w:val="0"/>
          <w:color w:val="auto"/>
          <w:kern w:val="2"/>
          <w:sz w:val="28"/>
          <w:szCs w:val="28"/>
          <w:lang w:val="en-US" w:eastAsia="zh-CN" w:bidi="ar-SA"/>
        </w:rPr>
        <w:t>1.电机技术参数</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（1）品牌要求：采用国内一线品牌直流电机（如杜亚、绿米、奥科），确保运行稳定性和使用寿命；布艺帘、纱帘电机为同品牌配套产品，兼容性强。</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（2）性能指标：运行平稳，布艺帘开合电机噪音≤50dB，纱帘开合电机噪音≤45dB；设计寿命≥10万次，满足办公环境长时间、高频率无故障运行需求；中上、中下分扇窗帘的同层电机运行同步性误差≤1秒。</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3）扭矩适配：布艺帘开合电机扭矩≥2.0N·m，适配单扇2倍褶皱布艺帘的重量；纱帘开合电机扭矩≥1.0N·m，适配单扇2倍褶皱纱帘重量，确保开合动作顺畅，无卡顿、无过载现象；升降电机扭矩≥3.0N·m，适配对应4扇窗户布艺帘升降需求，精准匹配单扇尺寸。</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4）安全保护：所有电机具备过热保护、过载保护功能；4台升降电机额外增加防坠、限位精准功能，避免帘体坠落或运行超程；中上两扇升降电机限位需精准匹配单扇尺寸，避免拼接处碰撞；布艺帘、纱帘电机独立限位，互不干扰。</w:t>
      </w:r>
    </w:p>
    <w:p>
      <w:pPr>
        <w:pStyle w:val="7"/>
        <w:numPr>
          <w:ilvl w:val="0"/>
          <w:numId w:val="0"/>
        </w:numPr>
        <w:ind w:firstLine="560"/>
        <w:jc w:val="both"/>
        <w:outlineLvl w:val="0"/>
        <w:rPr>
          <w:rFonts w:hint="eastAsia" w:ascii="仿宋" w:hAnsi="仿宋" w:eastAsia="仿宋" w:cs="Times New Roman"/>
          <w:b w:val="0"/>
          <w:color w:val="auto"/>
          <w:kern w:val="2"/>
          <w:sz w:val="28"/>
          <w:szCs w:val="28"/>
          <w:lang w:val="en-US" w:eastAsia="zh-CN" w:bidi="ar-SA"/>
        </w:rPr>
      </w:pPr>
      <w:r>
        <w:rPr>
          <w:rFonts w:hint="eastAsia" w:ascii="仿宋" w:hAnsi="仿宋" w:eastAsia="仿宋" w:cs="Times New Roman"/>
          <w:b w:val="0"/>
          <w:color w:val="auto"/>
          <w:kern w:val="2"/>
          <w:sz w:val="28"/>
          <w:szCs w:val="28"/>
          <w:lang w:val="en-US" w:eastAsia="zh-CN" w:bidi="ar-SA"/>
        </w:rPr>
        <w:t>2.轨道技术参数</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（1）材质规格：均采用6063-T5高强度铝合金材质，表面经电泳氧化处理，耐腐蚀，抗氧化，使用寿命≥10年；布艺帘轨道为加宽型（宽度≥35mm），纱帘轨道为轻型（宽度≥25mm），均适配双层安装需求。</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2）承重能力：布艺帘开合轨道、升降轨道单米承重≥15kg，匹配单扇2倍褶皱布艺帘+电机的总重量；纱帘开合轨道单米承重≥8kg，匹配单扇2倍褶皱纱帘+电机的总重量；中上、中下分扇轨道安装牢固，拼接处无松动、无变形；双层轨道连接件单点承重≥30kg，确保整体安装稳定。</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3）结构设计：开合轨道需预留≥10cm褶皱收纳空间，避免帘体挤压；双层轨道采用上下分层安装，间距≥5cm，互不干涉；升降轨道具备防偏移、顺滑导向结构，确保4台升降电机带动布艺帘升降动作精准；中上、中下分扇轨道拼接处采用无缝拼接件，平滑无卡顿，不影响窗帘运行；轨道端部设硅胶防撞件，避免运行碰撞损坏。</w:t>
      </w:r>
    </w:p>
    <w:p>
      <w:pPr>
        <w:pStyle w:val="7"/>
        <w:numPr>
          <w:ilvl w:val="0"/>
          <w:numId w:val="0"/>
        </w:numPr>
        <w:ind w:firstLine="560"/>
        <w:jc w:val="both"/>
        <w:outlineLvl w:val="0"/>
        <w:rPr>
          <w:rFonts w:hint="eastAsia" w:ascii="仿宋" w:hAnsi="仿宋" w:eastAsia="仿宋" w:cs="Times New Roman"/>
          <w:b w:val="0"/>
          <w:color w:val="auto"/>
          <w:kern w:val="2"/>
          <w:sz w:val="28"/>
          <w:szCs w:val="28"/>
          <w:lang w:val="en-US" w:eastAsia="zh-CN" w:bidi="ar-SA"/>
        </w:rPr>
      </w:pPr>
      <w:r>
        <w:rPr>
          <w:rFonts w:hint="eastAsia" w:ascii="仿宋" w:hAnsi="仿宋" w:eastAsia="仿宋" w:cs="Times New Roman"/>
          <w:b w:val="0"/>
          <w:color w:val="auto"/>
          <w:kern w:val="2"/>
          <w:sz w:val="28"/>
          <w:szCs w:val="28"/>
          <w:lang w:val="en-US" w:eastAsia="zh-CN" w:bidi="ar-SA"/>
        </w:rPr>
        <w:t>（三）智能控制系统</w:t>
      </w:r>
    </w:p>
    <w:p>
      <w:pPr>
        <w:pStyle w:val="7"/>
        <w:numPr>
          <w:ilvl w:val="0"/>
          <w:numId w:val="0"/>
        </w:numPr>
        <w:ind w:firstLine="560"/>
        <w:jc w:val="both"/>
        <w:outlineLvl w:val="0"/>
        <w:rPr>
          <w:rFonts w:hint="eastAsia" w:ascii="仿宋" w:hAnsi="仿宋" w:eastAsia="仿宋" w:cs="Times New Roman"/>
          <w:b w:val="0"/>
          <w:color w:val="auto"/>
          <w:kern w:val="2"/>
          <w:sz w:val="28"/>
          <w:szCs w:val="28"/>
          <w:lang w:val="en-US" w:eastAsia="zh-CN" w:bidi="ar-SA"/>
        </w:rPr>
      </w:pPr>
      <w:r>
        <w:rPr>
          <w:rFonts w:hint="eastAsia" w:ascii="仿宋" w:hAnsi="仿宋" w:eastAsia="仿宋" w:cs="Times New Roman"/>
          <w:b w:val="0"/>
          <w:color w:val="auto"/>
          <w:kern w:val="2"/>
          <w:sz w:val="28"/>
          <w:szCs w:val="28"/>
          <w:lang w:val="en-US" w:eastAsia="zh-CN" w:bidi="ar-SA"/>
        </w:rPr>
        <w:t>1.控制功能要求</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1）控制方式：支持智能场景控制面板、本地开关控制、遥控器控制、手机APP控制及楼宇自控系统（BA）对接，多端指令同步；可单独控制每扇窗户的布艺帘、纱帘（独立开合/升降），也可联动控制（同扇双层同步操作、同区域分扇同步操作），精准控制4台升降电机对应的布艺帘升降。</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2）场景控制：支持不少于5种预设场景（全开、半开、会议模式、午休模式、下班模式），可一键切换；场景参数（布艺帘/纱帘开合比例、布艺帘升降高度、运行顺序、延迟时间）可编辑、新增、删除；适配中上、中下分扇窗帘的双层联动场景设置，适配4台升降电机的运行逻辑。</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3）联动功能：预留光照传感器接口，可根据环境亮度自动调整布艺帘、纱帘的开合度；支持与大厦智能照明、空调系统联动，实现一体化场景控制；中上、中下两扇窗帘的双层帘体可同步联动或独立调节，互不干扰，4台升降电机可独立或联动运行。</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4）权限管理：支持多账号分级权限管理（管理员/普通用户），区分操作权限；智能场景控制面板可设置本地权限密码；可单独设置中上、中下各扇窗帘的布艺帘、纱帘控制权限，精准管控4台升降电机的操作范围。</w:t>
      </w:r>
    </w:p>
    <w:p>
      <w:pPr>
        <w:pStyle w:val="7"/>
        <w:numPr>
          <w:ilvl w:val="0"/>
          <w:numId w:val="0"/>
        </w:numPr>
        <w:ind w:firstLine="560"/>
        <w:jc w:val="both"/>
        <w:outlineLvl w:val="0"/>
        <w:rPr>
          <w:rFonts w:hint="eastAsia" w:ascii="仿宋" w:hAnsi="仿宋" w:eastAsia="仿宋" w:cs="Times New Roman"/>
          <w:b w:val="0"/>
          <w:color w:val="auto"/>
          <w:kern w:val="2"/>
          <w:sz w:val="28"/>
          <w:szCs w:val="28"/>
          <w:lang w:val="en-US" w:eastAsia="zh-CN" w:bidi="ar-SA"/>
        </w:rPr>
      </w:pPr>
      <w:r>
        <w:rPr>
          <w:rFonts w:hint="eastAsia" w:ascii="仿宋" w:hAnsi="仿宋" w:eastAsia="仿宋" w:cs="Times New Roman"/>
          <w:b w:val="0"/>
          <w:color w:val="auto"/>
          <w:kern w:val="2"/>
          <w:sz w:val="28"/>
          <w:szCs w:val="28"/>
          <w:lang w:val="en-US" w:eastAsia="zh-CN" w:bidi="ar-SA"/>
        </w:rPr>
        <w:t>2.系统稳定性要求</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1）响应速度：场景切换指令发出后，系统响应时间≤2秒，网关通讯延迟≤0.5秒，开合/升降动作同步性误差≤1秒；中上、中下分扇窗帘双层联动时同步性达标，布艺帘与纱帘运行无干涉，4台升降电机运行响应精准。</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（2）断电恢复：断电后重新上电，系统自动恢复至断电前状态或预设默认场景，网关本地存储场景参数不丢失；中上、中下各扇窗帘的布艺帘、纱帘状态同步恢复，4台升降电机独立记忆运行位置。</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3）故障隔离：单台电机（布艺帘/纱帘/升降电机）、控制面板故障不影响其他设备及整体场景控制，网关可定位故障点并在面板给出文字提示；中上、中下某一扇窗帘的单层帘体故障不影响另一层及其他窗帘运行，4台升降电机故障互不影响。</w:t>
      </w:r>
    </w:p>
    <w:p>
      <w:pPr>
        <w:pStyle w:val="7"/>
        <w:numPr>
          <w:ilvl w:val="0"/>
          <w:numId w:val="0"/>
        </w:numPr>
        <w:ind w:firstLine="560" w:firstLineChars="200"/>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（4）日志记录：系统记录最近30天场景操作、设备运行日志，便于追溯与排查问题，日志可在网关及APP端查看；可单独查看各扇窗帘的布艺帘、纱帘及4台升降电机的操作及运行日志，精准定位故障。</w:t>
      </w:r>
    </w:p>
    <w:bookmarkEnd w:id="2"/>
    <w:p>
      <w:pPr>
        <w:pStyle w:val="7"/>
        <w:keepNext w:val="0"/>
        <w:keepLines w:val="0"/>
        <w:pageBreakBefore w:val="0"/>
        <w:widowControl w:val="0"/>
        <w:numPr>
          <w:ilvl w:val="0"/>
          <w:numId w:val="0"/>
        </w:numPr>
        <w:kinsoku/>
        <w:wordWrap/>
        <w:overflowPunct/>
        <w:topLinePunct w:val="0"/>
        <w:autoSpaceDE/>
        <w:autoSpaceDN/>
        <w:bidi w:val="0"/>
        <w:adjustRightInd/>
        <w:snapToGrid/>
        <w:ind w:firstLine="562" w:firstLineChars="200"/>
        <w:jc w:val="both"/>
        <w:textAlignment w:val="auto"/>
        <w:outlineLvl w:val="0"/>
        <w:rPr>
          <w:rFonts w:hint="eastAsia" w:ascii="仿宋_GB2312" w:hAnsi="宋体" w:eastAsia="仿宋_GB2312"/>
          <w:b/>
          <w:color w:val="auto"/>
          <w:sz w:val="28"/>
          <w:szCs w:val="28"/>
          <w:lang w:val="en-US" w:eastAsia="zh-CN" w:bidi="ar-SA"/>
        </w:rPr>
      </w:pPr>
      <w:r>
        <w:rPr>
          <w:rFonts w:hint="eastAsia" w:ascii="仿宋_GB2312" w:hAnsi="宋体" w:eastAsia="仿宋_GB2312"/>
          <w:b/>
          <w:color w:val="auto"/>
          <w:sz w:val="28"/>
          <w:szCs w:val="28"/>
          <w:lang w:val="en-US" w:eastAsia="zh-CN" w:bidi="ar-SA"/>
        </w:rPr>
        <w:t>三</w:t>
      </w:r>
      <w:r>
        <w:rPr>
          <w:rFonts w:hint="eastAsia" w:ascii="仿宋_GB2312" w:hAnsi="宋体" w:eastAsia="仿宋_GB2312"/>
          <w:b/>
          <w:color w:val="auto"/>
          <w:sz w:val="28"/>
          <w:szCs w:val="28"/>
          <w:lang w:val="en-US" w:eastAsia="zh-CN" w:bidi="ar-SA"/>
          <w:rPrChange w:id="0" w:author="童清雄" w:date="2026-02-28T16:49:34Z">
            <w:rPr>
              <w:rFonts w:hint="eastAsia" w:ascii="仿宋_GB2312" w:hAnsi="宋体" w:eastAsia="仿宋_GB2312"/>
              <w:b/>
              <w:color w:val="auto"/>
              <w:sz w:val="28"/>
              <w:szCs w:val="28"/>
              <w:lang w:val="en-US" w:eastAsia="zh-CN" w:bidi="ar-SA"/>
            </w:rPr>
          </w:rPrChange>
        </w:rPr>
        <w:t>、售后及质保要求</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本次采购的窗帘产品整体质保期为1年，质保期自验收合格之日起计算。质保期内，产品出现质量问题（如面料褪色、破损、轨道卡顿、配件松动等），供应商需在接到通知后24小时内响应，48小时内到场维修或更换，维修、更换费用由供应商承担。</w:t>
      </w:r>
    </w:p>
    <w:p>
      <w:pPr>
        <w:numPr>
          <w:ilvl w:val="-1"/>
          <w:numId w:val="0"/>
        </w:numPr>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2.质保期外，供应商仍需提供终身维修服务，仅收取成本费用（需提前告知采购方费用标准），维修响应时间不超过24小时。</w:t>
      </w:r>
      <w:r>
        <w:rPr>
          <w:rFonts w:hint="eastAsia" w:ascii="仿宋" w:hAnsi="仿宋" w:eastAsia="仿宋"/>
          <w:color w:val="auto"/>
          <w:kern w:val="2"/>
          <w:sz w:val="28"/>
          <w:szCs w:val="28"/>
          <w:lang w:val="en-US" w:eastAsia="zh-CN" w:bidi="ar-SA"/>
        </w:rPr>
        <w:t>终身提供技术支持。</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3.供应商需提供产品使用说明书，明确遮阳系统清洗、保养注意事项，如需可安排专业人员上门指导保养方法。</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562" w:firstLineChars="200"/>
        <w:jc w:val="both"/>
        <w:textAlignment w:val="auto"/>
        <w:outlineLvl w:val="0"/>
        <w:rPr>
          <w:rFonts w:hint="eastAsia" w:ascii="仿宋_GB2312" w:hAnsi="宋体" w:eastAsia="仿宋_GB2312"/>
          <w:b/>
          <w:color w:val="auto"/>
          <w:sz w:val="28"/>
          <w:szCs w:val="28"/>
          <w:lang w:val="en-US" w:eastAsia="zh-CN" w:bidi="ar-SA"/>
        </w:rPr>
      </w:pPr>
      <w:bookmarkStart w:id="3" w:name="_GoBack"/>
      <w:r>
        <w:rPr>
          <w:rFonts w:hint="eastAsia" w:ascii="仿宋_GB2312" w:hAnsi="宋体" w:eastAsia="仿宋_GB2312"/>
          <w:b/>
          <w:color w:val="auto"/>
          <w:sz w:val="28"/>
          <w:szCs w:val="28"/>
          <w:lang w:val="en-US" w:eastAsia="zh-CN" w:bidi="ar-SA"/>
        </w:rPr>
        <w:t>四、其他要求</w:t>
      </w:r>
    </w:p>
    <w:bookmarkEnd w:id="3"/>
    <w:p>
      <w:pPr>
        <w:pStyle w:val="7"/>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包装与运输要求：产品采用防水、防潮、防震包装，避免运输过程中受损，包装上需标明产品名称、规格、数量、安装位置等信息。供应商负责将产品运输至指定地点（含卸货），运输费用由供应商承担，运输过程中出现的产品损坏、丢失等问题，由供应商负责更换或补齐。</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outlineLvl w:val="0"/>
        <w:rPr>
          <w:rFonts w:hint="default"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工期要求：供应商需在合同签订且现场测量完成后25个工作日内完成产品生产、运输及安装调试，确保按时交付使用，如需延期，需提前3个工作日书面告知采购方，经同意后方可延期，否则按合同约定承担违约责任。</w:t>
      </w:r>
    </w:p>
    <w:p>
      <w:pPr>
        <w:pStyle w:val="7"/>
        <w:keepNext w:val="0"/>
        <w:keepLines w:val="0"/>
        <w:pageBreakBefore w:val="0"/>
        <w:widowControl w:val="0"/>
        <w:numPr>
          <w:ilvl w:val="-1"/>
          <w:numId w:val="0"/>
        </w:numPr>
        <w:kinsoku/>
        <w:wordWrap/>
        <w:overflowPunct/>
        <w:topLinePunct w:val="0"/>
        <w:autoSpaceDE/>
        <w:autoSpaceDN/>
        <w:bidi w:val="0"/>
        <w:adjustRightInd/>
        <w:snapToGrid/>
        <w:ind w:firstLine="0" w:firstLineChars="0"/>
        <w:jc w:val="both"/>
        <w:textAlignment w:val="auto"/>
        <w:outlineLvl w:val="0"/>
        <w:rPr>
          <w:rFonts w:hint="eastAsia" w:ascii="仿宋_GB2312" w:hAnsi="宋体" w:eastAsia="仿宋_GB2312"/>
          <w:b/>
          <w:color w:val="auto"/>
          <w:sz w:val="28"/>
          <w:szCs w:val="28"/>
          <w:lang w:val="en-US" w:eastAsia="zh-CN"/>
        </w:rPr>
      </w:pPr>
    </w:p>
    <w:p>
      <w:pPr>
        <w:pStyle w:val="2"/>
        <w:rPr>
          <w:rFonts w:hint="eastAsia"/>
        </w:rPr>
      </w:pPr>
    </w:p>
    <w:p>
      <w:pPr>
        <w:spacing w:before="120" w:after="120" w:line="288" w:lineRule="auto"/>
        <w:jc w:val="left"/>
      </w:pPr>
    </w:p>
    <w:sectPr>
      <w:headerReference r:id="rId5" w:type="default"/>
      <w:footerReference r:id="rId6" w:type="default"/>
      <w:pgSz w:w="11905" w:h="1684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ind w:firstLine="480"/>
      </w:pPr>
      <w:r>
        <w:separator/>
      </w:r>
    </w:p>
  </w:footnote>
  <w:footnote w:type="continuationSeparator" w:id="1">
    <w:p>
      <w:pPr>
        <w:spacing w:before="0" w:after="0"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童清雄">
    <w15:presenceInfo w15:providerId="None" w15:userId="童清雄"/>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isplayHorizontalDrawingGridEvery w:val="1"/>
  <w:displayVerticalDrawingGridEvery w:val="1"/>
  <w:noPunctuationKerning w:val="1"/>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0D1444"/>
    <w:rsid w:val="04034FB5"/>
    <w:rsid w:val="05046014"/>
    <w:rsid w:val="0ECE4958"/>
    <w:rsid w:val="12A6603D"/>
    <w:rsid w:val="1757198A"/>
    <w:rsid w:val="29691AC5"/>
    <w:rsid w:val="2DC775BD"/>
    <w:rsid w:val="2E3879E1"/>
    <w:rsid w:val="333C551E"/>
    <w:rsid w:val="38E65EE7"/>
    <w:rsid w:val="3BE654D9"/>
    <w:rsid w:val="406B009A"/>
    <w:rsid w:val="45883177"/>
    <w:rsid w:val="5040398D"/>
    <w:rsid w:val="63091321"/>
    <w:rsid w:val="66FD07F4"/>
    <w:rsid w:val="68F86DC5"/>
    <w:rsid w:val="6F93081B"/>
    <w:rsid w:val="72F86CBC"/>
    <w:rsid w:val="73D17B0B"/>
    <w:rsid w:val="7DCC3803"/>
    <w:rsid w:val="7E170D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120" w:after="120" w:line="560" w:lineRule="exact"/>
      <w:ind w:firstLine="480" w:firstLineChars="200"/>
      <w:jc w:val="both"/>
    </w:pPr>
    <w:rPr>
      <w:rFonts w:ascii="Calibri" w:hAnsi="Calibri" w:eastAsia="宋体" w:cs="Times New Roman"/>
      <w:sz w:val="24"/>
      <w:szCs w:val="2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99"/>
    <w:rPr>
      <w:rFonts w:ascii="Calibri" w:hAnsi="Calibri"/>
      <w:kern w:val="1"/>
    </w:r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 w:type="paragraph" w:customStyle="1" w:styleId="6">
    <w:name w:val="样式1-表格"/>
    <w:basedOn w:val="1"/>
    <w:qFormat/>
    <w:uiPriority w:val="0"/>
    <w:pPr>
      <w:adjustRightInd w:val="0"/>
      <w:spacing w:line="288" w:lineRule="auto"/>
      <w:ind w:firstLine="0" w:firstLineChars="0"/>
      <w:jc w:val="left"/>
    </w:pPr>
    <w:rPr>
      <w:rFonts w:ascii="Arial" w:hAnsi="Arial" w:eastAsia="宋体" w:cs="Arial"/>
      <w:sz w:val="21"/>
      <w:szCs w:val="21"/>
    </w:rPr>
  </w:style>
  <w:style w:type="paragraph" w:styleId="7">
    <w:name w:val="List Paragraph"/>
    <w:basedOn w:val="1"/>
    <w:qFormat/>
    <w:uiPriority w:val="34"/>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Pages>
  <Words>4763</Words>
  <Characters>5168</Characters>
  <TotalTime>4</TotalTime>
  <ScaleCrop>false</ScaleCrop>
  <LinksUpToDate>false</LinksUpToDate>
  <CharactersWithSpaces>5186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2026-02-26T18:11:00Z</dcterms:created>
  <dc:creator>Apache POI</dc:creator>
  <cp:lastModifiedBy>童清雄</cp:lastModifiedBy>
  <dcterms:modified xsi:type="dcterms:W3CDTF">2026-02-28T08:49:46Z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eyJoZGlkIjoiMWUwM2Q3MzJiYjU5ZjNhM2M2NzVkMmRkMTViYTk1NDciLCJ1c2VySWQiOiIzNTkwODk3MjcifQ==</vt:lpwstr>
  </property>
  <property fmtid="{D5CDD505-2E9C-101B-9397-08002B2CF9AE}" pid="3" name="KSOProductBuildVer">
    <vt:lpwstr>2052-11.8.2.12085</vt:lpwstr>
  </property>
  <property fmtid="{D5CDD505-2E9C-101B-9397-08002B2CF9AE}" pid="4" name="ICV">
    <vt:lpwstr>3273C337ACBF44A4949B8FED2140E712</vt:lpwstr>
  </property>
</Properties>
</file>