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0BBCF5">
      <w:pPr>
        <w:pStyle w:val="2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球场围网更换及立柱横杆除锈翻新</w:t>
      </w:r>
    </w:p>
    <w:p w14:paraId="6701A49C">
      <w:pPr>
        <w:pStyle w:val="2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技术规范书</w:t>
      </w:r>
    </w:p>
    <w:p w14:paraId="2214CF64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1 总则</w:t>
      </w:r>
    </w:p>
    <w:p w14:paraId="2C4E9D4B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1.1 适用范围</w:t>
      </w:r>
    </w:p>
    <w:p w14:paraId="1C695CB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本规范适用于各类球场（包括足球场、篮球场、网球场等）围网系统的更换工程，以及立柱与横杆的除锈与翻新作业。内容涵盖材料选用、施工工艺、质量验收、安全与环保等全流程技术要求。</w:t>
      </w:r>
    </w:p>
    <w:p w14:paraId="52A4F85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1.2 引用标准</w:t>
      </w:r>
    </w:p>
    <w:p w14:paraId="08E47211"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《钢结构工程施工质量验收标准》GB 50205-2020</w:t>
      </w:r>
    </w:p>
    <w:p w14:paraId="0990762C"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《涂覆涂料前钢材表面处理 表面清洁度的目视评定》GB/T8923</w:t>
      </w:r>
    </w:p>
    <w:p w14:paraId="225C078E"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《隔离栅 第 2 部分：立柱、斜撑和门》GB/T26941.2-2011</w:t>
      </w:r>
    </w:p>
    <w:p w14:paraId="35824FFB"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《建筑钢结构防腐蚀技术规程》JGJ/T 251-2011</w:t>
      </w:r>
    </w:p>
    <w:p w14:paraId="62E5C86E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2 材料技术要求</w:t>
      </w:r>
    </w:p>
    <w:p w14:paraId="7AA9C120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2.1 围网系统材料</w:t>
      </w:r>
    </w:p>
    <w:p w14:paraId="26CC92A2"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网片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：应采用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380级热浸镀锌丝，镀锌层厚度不小于275g/m²，丝径允许偏差≤±0.05mm，网孔尺寸为50mm×50mm，抗拉强度不低于350MPa。</w:t>
      </w:r>
    </w:p>
    <w:p w14:paraId="3098B0CD"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立柱与横杆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：钢管外径为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60.2mm（DN50），材质为Q235B钢。</w:t>
      </w:r>
    </w:p>
    <w:p w14:paraId="448A19A0"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辅材：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扁条规格为25×3mm，长度按现场实际需求确定，材质为Q235B低碳钢。螺丝须为镀锌材质，其防腐性能应符合GB/T 3098.1标准要求。</w:t>
      </w:r>
    </w:p>
    <w:p w14:paraId="5AC450F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2.2 除锈与涂层材料</w:t>
      </w:r>
    </w:p>
    <w:p w14:paraId="5C98370D"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除锈材料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：包括钢丝刷、水砂纸等手工除锈工具。</w:t>
      </w:r>
    </w:p>
    <w:p w14:paraId="79CA5434"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涂层系统</w:t>
      </w:r>
      <w:r>
        <w:rPr>
          <w:rFonts w:hint="eastAsia" w:ascii="仿宋" w:hAnsi="仿宋" w:eastAsia="仿宋" w:cs="仿宋"/>
          <w:sz w:val="32"/>
          <w:szCs w:val="32"/>
        </w:rPr>
        <w:t>：</w:t>
      </w:r>
    </w:p>
    <w:p w14:paraId="5410248B"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底漆：环氧富锌底漆，锌含量不低于80%，干膜厚度80μm，附着力≥5MPa，耐盐雾性能不低于1000小时；</w:t>
      </w:r>
    </w:p>
    <w:p w14:paraId="5775A4EE"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面漆：高腐蚀区域选用氟碳面漆，一般区域可选用聚酯面漆，干膜厚度100μm，耐候性不低于8年，60°光泽度≥85；</w:t>
      </w:r>
    </w:p>
    <w:p w14:paraId="0B3C0DB3"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稀释剂：须为配套专用产品，VOC含量≤200g/L，并符合环保相关规定。</w:t>
      </w:r>
    </w:p>
    <w:p w14:paraId="28D684E5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3 施工准备</w:t>
      </w:r>
    </w:p>
    <w:p w14:paraId="527F2CB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3.1 现场勘察与规划</w:t>
      </w:r>
    </w:p>
    <w:p w14:paraId="00EC5448"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勘察内容应包括：锈蚀等级（依据GB/T 8923标准评定A-D级）、围网变形状况、基础结构强度及周边环境条件；</w:t>
      </w:r>
    </w:p>
    <w:p w14:paraId="1061F4A5"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施工分区应按“高腐蚀区＞锈蚀D级区＞普通区”确定优先级，采取分段施工方式，每段长度不超过100米，单段施工周期应控制在6小时以内。</w:t>
      </w:r>
    </w:p>
    <w:p w14:paraId="38603676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3.2 设备与人员配置</w:t>
      </w:r>
    </w:p>
    <w:p w14:paraId="2DACABFA"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主要设备：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角磨机、喷涂设备、电动手枪钻等；</w:t>
      </w:r>
    </w:p>
    <w:p w14:paraId="1742F820"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人员要求：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高空作业人员须持有效操作证，涂装工应具备5年以上相关工作经验。现场须配备专职安全员与质量检查员，施工前应完成技术交底。</w:t>
      </w:r>
    </w:p>
    <w:p w14:paraId="777AAE74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4 核心施工工艺</w:t>
      </w:r>
    </w:p>
    <w:p w14:paraId="1710334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4.1 旧围网拆除</w:t>
      </w:r>
    </w:p>
    <w:p w14:paraId="0EC9F1F7"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拆除顺序：应先拆卸网片连接件，再移除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网片本体；</w:t>
      </w:r>
    </w:p>
    <w:p w14:paraId="75A8C2AA"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拆除要求：拆除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物须分类堆放，可回收材料经除锈翻新后予以利用，废弃材料应集中处理。</w:t>
      </w:r>
    </w:p>
    <w:p w14:paraId="4E1C0CE7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4.2 立柱横杆除锈翻新</w:t>
      </w:r>
    </w:p>
    <w:p w14:paraId="15F15D44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4.2.1 表面预处理</w:t>
      </w:r>
    </w:p>
    <w:p w14:paraId="4B567379"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采用手工除锈方式，主要使用钢丝刷或砂纸对构件进行物理除锈。</w:t>
      </w:r>
    </w:p>
    <w:p w14:paraId="18EC2BD6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4.2.2 涂层施工</w:t>
      </w:r>
    </w:p>
    <w:p w14:paraId="48288051"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环境条件：施工环境温度应介于5–35℃之间，相对湿度不超过85%，严禁在雨、雪或大风天气条件下作业；</w:t>
      </w:r>
    </w:p>
    <w:p w14:paraId="65C9D7E2"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喷涂工艺：底漆实干2小时后方可涂刷面漆，宜采用喷涂机施工。底漆干膜厚度80μm，面漆干膜厚度100μm，应分多道喷涂，道次间隔不低于5分钟；</w:t>
      </w:r>
    </w:p>
    <w:p w14:paraId="4F944C98"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特殊处理：焊缝及连接部位应采用热缩膜包裹保护，涂层固化时间不少于72小时（室温环境）。</w:t>
      </w:r>
    </w:p>
    <w:p w14:paraId="7D39632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4.3 新围网安装</w:t>
      </w:r>
    </w:p>
    <w:p w14:paraId="6B9410D4"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网片固定：通过卡扣或螺栓将网片与横杆连接，须保证网片张力均匀、无松弛，平整度偏差不大于5mm/㎡；</w:t>
      </w:r>
    </w:p>
    <w:p w14:paraId="0E9DD276"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验收要点：连接件紧固扭矩不低于20Nm，围网安装高度偏差控制在±10mm以内。</w:t>
      </w:r>
    </w:p>
    <w:p w14:paraId="6EECE289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5 质量验收</w:t>
      </w:r>
    </w:p>
    <w:p w14:paraId="143ADE8A"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外观要求：涂层应无流挂、针孔、气泡等缺陷，网片无破损或变形；</w:t>
      </w:r>
    </w:p>
    <w:p w14:paraId="6E43632A">
      <w:pPr>
        <w:pStyle w:val="16"/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抽检比例：普通区域抽检30%，高腐蚀区域须100%检测，并出具涂层厚度与附着力检测报告；</w:t>
      </w:r>
    </w:p>
    <w:p w14:paraId="39A716A3">
      <w:pPr>
        <w:pStyle w:val="16"/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竣工资料：应包括材料合格证、施工过程记录、检测报告及维护手册等相关文件。</w:t>
      </w:r>
    </w:p>
    <w:p w14:paraId="25347E00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6 安全与环保</w:t>
      </w:r>
    </w:p>
    <w:p w14:paraId="5F3CB190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6.1 安全措施</w:t>
      </w:r>
    </w:p>
    <w:p w14:paraId="7DAB38DC">
      <w:pPr>
        <w:pStyle w:val="16"/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高空作业：必须佩戴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五点式安全带，搭设合格脚手架，作业区域下方设置警戒区；</w:t>
      </w:r>
    </w:p>
    <w:p w14:paraId="54147022">
      <w:pPr>
        <w:pStyle w:val="16"/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设备防护：喷漆操作人员须配备防毒面具，所有电气设备应可靠接地。</w:t>
      </w:r>
    </w:p>
    <w:p w14:paraId="74AE8C9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6.2 环保要求</w:t>
      </w:r>
    </w:p>
    <w:p w14:paraId="0D7C76E0">
      <w:pPr>
        <w:pStyle w:val="16"/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污染防控：应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控制喷漆作业范围，作业区域地面须做防护覆盖，防止涂料滴落对球场面层造成污染，稀释剂须妥善保管避免泄漏。</w:t>
      </w:r>
    </w:p>
    <w:p w14:paraId="5C253AC7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7 后期维护</w:t>
      </w:r>
    </w:p>
    <w:p w14:paraId="2D48DB75">
      <w:pPr>
        <w:pStyle w:val="16"/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日常检查：每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三个月进行一次全面巡检，重点检查螺栓紧固状态及涂层完好情况；</w:t>
      </w:r>
    </w:p>
    <w:p w14:paraId="40879217">
      <w:pPr>
        <w:pStyle w:val="16"/>
        <w:keepNext w:val="0"/>
        <w:keepLines w:val="0"/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修补工艺：涂层破损面积小于10cm²时，可采用砂纸打磨后局部补涂底漆和面漆；破损面积大于50cm²时应考虑局部更换构件。</w:t>
      </w:r>
    </w:p>
    <w:p w14:paraId="513D099C"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jc w:val="both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bookmarkStart w:id="0" w:name="_GoBack"/>
      <w:bookmarkEnd w:id="0"/>
    </w:p>
    <w:p w14:paraId="2D200800">
      <w:pPr>
        <w:pStyle w:val="16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jc w:val="both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</w:p>
    <w:sectPr>
      <w:pgSz w:w="11906" w:h="16838"/>
      <w:pgMar w:top="1440" w:right="1440" w:bottom="1440" w:left="144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97169F21-7D32-4FCC-855A-C0F4DBEA4830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B6689934-3067-494B-89AD-098A031CADB1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compatSetting w:name="compatibilityMode" w:uri="http://schemas.microsoft.com/office/word" w:val="15"/>
  </w:compat>
  <w:rsids>
    <w:rsidRoot w:val="00000000"/>
    <w:rsid w:val="1F9D2B0E"/>
    <w:rsid w:val="63147AE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2"/>
    </w:rPr>
  </w:style>
  <w:style w:type="paragraph" w:styleId="2">
    <w:name w:val="heading 1"/>
    <w:next w:val="1"/>
    <w:qFormat/>
    <w:uiPriority w:val="0"/>
    <w:pPr>
      <w:spacing w:before="380" w:after="140" w:line="288" w:lineRule="auto"/>
      <w:ind w:left="0"/>
      <w:jc w:val="left"/>
      <w:outlineLvl w:val="0"/>
    </w:pPr>
    <w:rPr>
      <w:rFonts w:ascii="Arial" w:hAnsi="Arial" w:eastAsia="等线" w:cs="Arial"/>
      <w:b/>
      <w:bCs/>
      <w:sz w:val="36"/>
      <w:szCs w:val="36"/>
    </w:rPr>
  </w:style>
  <w:style w:type="paragraph" w:styleId="3">
    <w:name w:val="heading 2"/>
    <w:next w:val="1"/>
    <w:qFormat/>
    <w:uiPriority w:val="0"/>
    <w:pPr>
      <w:spacing w:before="320" w:after="120" w:line="288" w:lineRule="auto"/>
      <w:ind w:left="0"/>
      <w:jc w:val="left"/>
      <w:outlineLvl w:val="1"/>
    </w:pPr>
    <w:rPr>
      <w:rFonts w:ascii="Arial" w:hAnsi="Arial" w:eastAsia="等线" w:cs="Arial"/>
      <w:b/>
      <w:bCs/>
      <w:sz w:val="32"/>
      <w:szCs w:val="32"/>
    </w:rPr>
  </w:style>
  <w:style w:type="paragraph" w:styleId="4">
    <w:name w:val="heading 3"/>
    <w:next w:val="1"/>
    <w:qFormat/>
    <w:uiPriority w:val="0"/>
    <w:pPr>
      <w:spacing w:before="300" w:after="120" w:line="288" w:lineRule="auto"/>
      <w:ind w:left="0"/>
      <w:jc w:val="left"/>
      <w:outlineLvl w:val="2"/>
    </w:pPr>
    <w:rPr>
      <w:rFonts w:ascii="Arial" w:hAnsi="Arial" w:eastAsia="等线" w:cs="Arial"/>
      <w:b/>
      <w:bCs/>
      <w:sz w:val="30"/>
      <w:szCs w:val="30"/>
    </w:rPr>
  </w:style>
  <w:style w:type="paragraph" w:styleId="5">
    <w:name w:val="heading 4"/>
    <w:next w:val="1"/>
    <w:qFormat/>
    <w:uiPriority w:val="0"/>
    <w:pPr>
      <w:spacing w:before="260" w:after="120" w:line="288" w:lineRule="auto"/>
      <w:ind w:left="0"/>
      <w:jc w:val="left"/>
      <w:outlineLvl w:val="3"/>
    </w:pPr>
    <w:rPr>
      <w:rFonts w:ascii="Arial" w:hAnsi="Arial" w:eastAsia="等线" w:cs="Arial"/>
      <w:b/>
      <w:bCs/>
      <w:sz w:val="28"/>
      <w:szCs w:val="28"/>
    </w:rPr>
  </w:style>
  <w:style w:type="paragraph" w:styleId="6">
    <w:name w:val="heading 5"/>
    <w:next w:val="1"/>
    <w:qFormat/>
    <w:uiPriority w:val="0"/>
    <w:pPr>
      <w:spacing w:before="240" w:after="120" w:line="288" w:lineRule="auto"/>
      <w:ind w:left="0"/>
      <w:jc w:val="left"/>
      <w:outlineLvl w:val="4"/>
    </w:pPr>
    <w:rPr>
      <w:rFonts w:ascii="Arial" w:hAnsi="Arial" w:eastAsia="等线" w:cs="Arial"/>
      <w:b/>
      <w:bCs/>
      <w:sz w:val="24"/>
      <w:szCs w:val="24"/>
    </w:rPr>
  </w:style>
  <w:style w:type="paragraph" w:styleId="7">
    <w:name w:val="heading 6"/>
    <w:next w:val="1"/>
    <w:qFormat/>
    <w:uiPriority w:val="0"/>
    <w:pPr>
      <w:spacing w:before="240" w:after="120" w:line="288" w:lineRule="auto"/>
      <w:ind w:left="0"/>
      <w:jc w:val="left"/>
      <w:outlineLvl w:val="5"/>
    </w:pPr>
    <w:rPr>
      <w:rFonts w:ascii="Arial" w:hAnsi="Arial" w:eastAsia="等线" w:cs="Arial"/>
      <w:b/>
      <w:bCs/>
      <w:sz w:val="24"/>
      <w:szCs w:val="24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note text"/>
    <w:link w:val="15"/>
    <w:semiHidden/>
    <w:unhideWhenUsed/>
    <w:qFormat/>
    <w:uiPriority w:val="99"/>
    <w:pPr>
      <w:spacing w:after="0" w:line="240" w:lineRule="auto"/>
    </w:pPr>
    <w:rPr>
      <w:rFonts w:ascii="Times New Roman" w:hAnsi="Times New Roman" w:eastAsia="宋体" w:cs="Times New Roman"/>
      <w:sz w:val="20"/>
      <w:szCs w:val="20"/>
    </w:rPr>
  </w:style>
  <w:style w:type="paragraph" w:styleId="9">
    <w:name w:val="Title"/>
    <w:qFormat/>
    <w:uiPriority w:val="0"/>
    <w:pPr>
      <w:spacing w:before="480" w:after="480" w:line="288" w:lineRule="auto"/>
      <w:ind w:left="0"/>
    </w:pPr>
    <w:rPr>
      <w:rFonts w:ascii="Arial" w:hAnsi="Arial" w:eastAsia="等线" w:cs="Arial"/>
      <w:b/>
      <w:bCs/>
      <w:sz w:val="52"/>
      <w:szCs w:val="52"/>
    </w:rPr>
  </w:style>
  <w:style w:type="character" w:styleId="12">
    <w:name w:val="Hyperlink"/>
    <w:unhideWhenUsed/>
    <w:qFormat/>
    <w:uiPriority w:val="99"/>
    <w:rPr>
      <w:color w:val="0563C1"/>
      <w:u w:val="single"/>
    </w:rPr>
  </w:style>
  <w:style w:type="character" w:styleId="13">
    <w:name w:val="footnote reference"/>
    <w:semiHidden/>
    <w:unhideWhenUsed/>
    <w:qFormat/>
    <w:uiPriority w:val="99"/>
    <w:rPr>
      <w:vertAlign w:val="superscript"/>
    </w:rPr>
  </w:style>
  <w:style w:type="paragraph" w:styleId="14">
    <w:name w:val="List Paragraph"/>
    <w:qFormat/>
    <w:uiPriority w:val="0"/>
    <w:rPr>
      <w:rFonts w:ascii="Times New Roman" w:hAnsi="Times New Roman" w:eastAsia="宋体" w:cs="Times New Roman"/>
      <w:sz w:val="21"/>
      <w:szCs w:val="22"/>
    </w:rPr>
  </w:style>
  <w:style w:type="character" w:customStyle="1" w:styleId="15">
    <w:name w:val="Footnote Text Char"/>
    <w:link w:val="8"/>
    <w:semiHidden/>
    <w:unhideWhenUsed/>
    <w:qFormat/>
    <w:uiPriority w:val="99"/>
    <w:rPr>
      <w:sz w:val="20"/>
      <w:szCs w:val="20"/>
    </w:rPr>
  </w:style>
  <w:style w:type="paragraph" w:customStyle="1" w:styleId="16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  <w:style w:type="paragraph" w:customStyle="1" w:styleId="17">
    <w:name w:val="_Style 14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color w:val="8F959E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1415</Words>
  <Characters>1604</Characters>
  <TotalTime>56</TotalTime>
  <ScaleCrop>false</ScaleCrop>
  <LinksUpToDate>false</LinksUpToDate>
  <CharactersWithSpaces>1732</CharactersWithSpaces>
  <Application>WPS Office_12.1.0.24657_F1E327BC-269C-435d-A152-05C5408002CA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2026-01-28T05:19:00Z</dcterms:created>
  <dc:creator>Un-named</dc:creator>
  <cp:lastModifiedBy>老山邦</cp:lastModifiedBy>
  <dcterms:modified xsi:type="dcterms:W3CDTF">2026-01-28T14:55:18Z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eyJoZGlkIjoiYTM0NzA4ZTBjZjI1YmFlMDQ0MjkyYTA4MjYwYTljMGIiLCJ1c2VySWQiOiI2OTQyOTA0OTUifQ==</vt:lpwstr>
  </property>
  <property fmtid="{D5CDD505-2E9C-101B-9397-08002B2CF9AE}" pid="3" name="KSOProductBuildVer">
    <vt:lpwstr>2052-12.1.0.24657</vt:lpwstr>
  </property>
  <property fmtid="{D5CDD505-2E9C-101B-9397-08002B2CF9AE}" pid="4" name="ICV">
    <vt:lpwstr>5885CB7863074295B6DC6BC2EA6B8FDC_13</vt:lpwstr>
  </property>
</Properties>
</file>