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51867">
      <w:pPr>
        <w:spacing w:line="360" w:lineRule="auto"/>
        <w:jc w:val="center"/>
        <w:rPr>
          <w:rFonts w:hint="eastAsia" w:ascii="黑体" w:hAnsi="黑体" w:eastAsia="黑体" w:cs="黑体"/>
          <w:b/>
          <w:bCs/>
          <w:sz w:val="32"/>
          <w:szCs w:val="32"/>
          <w:lang w:val="en-US" w:eastAsia="zh-CN"/>
        </w:rPr>
      </w:pPr>
    </w:p>
    <w:p w14:paraId="0F6E5D96">
      <w:pPr>
        <w:spacing w:line="360" w:lineRule="auto"/>
        <w:jc w:val="center"/>
        <w:rPr>
          <w:rFonts w:hint="eastAsia" w:ascii="黑体" w:hAnsi="黑体" w:eastAsia="黑体" w:cs="黑体"/>
          <w:b/>
          <w:bCs/>
          <w:sz w:val="32"/>
          <w:szCs w:val="32"/>
          <w:lang w:val="en-US" w:eastAsia="zh-CN"/>
        </w:rPr>
      </w:pPr>
    </w:p>
    <w:p w14:paraId="41025903">
      <w:pPr>
        <w:spacing w:line="360" w:lineRule="auto"/>
        <w:jc w:val="center"/>
        <w:rPr>
          <w:rFonts w:hint="eastAsia" w:ascii="黑体" w:hAnsi="黑体" w:eastAsia="黑体" w:cs="黑体"/>
          <w:b/>
          <w:bCs/>
          <w:sz w:val="32"/>
          <w:szCs w:val="32"/>
          <w:lang w:val="en-US" w:eastAsia="zh-CN"/>
        </w:rPr>
      </w:pPr>
    </w:p>
    <w:p w14:paraId="6C2E1461">
      <w:pPr>
        <w:spacing w:line="360" w:lineRule="auto"/>
        <w:jc w:val="center"/>
        <w:rPr>
          <w:rFonts w:hint="eastAsia" w:ascii="黑体" w:hAnsi="黑体" w:eastAsia="黑体" w:cs="黑体"/>
          <w:b/>
          <w:bCs/>
          <w:sz w:val="32"/>
          <w:szCs w:val="32"/>
          <w:lang w:val="en-US" w:eastAsia="zh-CN"/>
        </w:rPr>
      </w:pPr>
    </w:p>
    <w:p w14:paraId="0EF2524F">
      <w:pPr>
        <w:spacing w:line="360" w:lineRule="auto"/>
        <w:jc w:val="center"/>
        <w:rPr>
          <w:rFonts w:hint="eastAsia" w:ascii="黑体" w:hAnsi="黑体" w:eastAsia="黑体" w:cs="黑体"/>
          <w:b/>
          <w:bCs/>
          <w:sz w:val="32"/>
          <w:szCs w:val="32"/>
          <w:lang w:val="en-US" w:eastAsia="zh-CN"/>
        </w:rPr>
      </w:pPr>
    </w:p>
    <w:p w14:paraId="50820BA0">
      <w:pPr>
        <w:spacing w:line="360" w:lineRule="auto"/>
        <w:jc w:val="center"/>
        <w:rPr>
          <w:rFonts w:hint="eastAsia" w:ascii="黑体" w:hAnsi="黑体" w:eastAsia="黑体" w:cs="黑体"/>
          <w:b/>
          <w:bCs/>
          <w:sz w:val="32"/>
          <w:szCs w:val="32"/>
          <w:lang w:val="en-US" w:eastAsia="zh-CN"/>
        </w:rPr>
      </w:pPr>
    </w:p>
    <w:p w14:paraId="4981DF8E">
      <w:pPr>
        <w:spacing w:line="360" w:lineRule="auto"/>
        <w:jc w:val="center"/>
        <w:rPr>
          <w:rFonts w:hint="default" w:ascii="黑体" w:hAnsi="黑体" w:eastAsia="黑体" w:cs="黑体"/>
          <w:b/>
          <w:bCs/>
          <w:sz w:val="52"/>
          <w:szCs w:val="52"/>
          <w:lang w:val="en-US" w:eastAsia="zh-CN"/>
        </w:rPr>
      </w:pPr>
      <w:r>
        <w:rPr>
          <w:rFonts w:hint="eastAsia" w:ascii="黑体" w:hAnsi="黑体" w:eastAsia="黑体" w:cs="黑体"/>
          <w:b/>
          <w:bCs/>
          <w:sz w:val="52"/>
          <w:szCs w:val="52"/>
          <w:lang w:val="en-US" w:eastAsia="zh-CN"/>
        </w:rPr>
        <w:t>2026年贵州广思信息网络有限公司机柜盲板零星采购</w:t>
      </w:r>
    </w:p>
    <w:p w14:paraId="6183CAA9">
      <w:pPr>
        <w:spacing w:line="360" w:lineRule="auto"/>
        <w:jc w:val="center"/>
        <w:rPr>
          <w:rFonts w:ascii="黑体" w:hAnsi="黑体" w:eastAsia="黑体" w:cs="黑体"/>
          <w:b/>
          <w:bCs/>
          <w:sz w:val="52"/>
          <w:szCs w:val="52"/>
        </w:rPr>
      </w:pPr>
      <w:r>
        <w:rPr>
          <w:rFonts w:hint="eastAsia" w:ascii="黑体" w:hAnsi="黑体" w:eastAsia="黑体" w:cs="黑体"/>
          <w:b/>
          <w:bCs/>
          <w:sz w:val="52"/>
          <w:szCs w:val="52"/>
        </w:rPr>
        <w:t>技术规范书</w:t>
      </w:r>
    </w:p>
    <w:p w14:paraId="4D3FB8FD">
      <w:pPr>
        <w:spacing w:line="360" w:lineRule="auto"/>
        <w:rPr>
          <w:rFonts w:ascii="宋体" w:hAnsi="宋体" w:cs="宋体"/>
          <w:b/>
          <w:bCs/>
          <w:sz w:val="28"/>
          <w:szCs w:val="28"/>
        </w:rPr>
      </w:pPr>
    </w:p>
    <w:p w14:paraId="3433D3F9">
      <w:pPr>
        <w:spacing w:line="360" w:lineRule="auto"/>
        <w:rPr>
          <w:rFonts w:hint="eastAsia" w:ascii="宋体" w:hAnsi="宋体" w:cs="宋体"/>
          <w:b/>
          <w:bCs/>
          <w:sz w:val="28"/>
          <w:szCs w:val="28"/>
        </w:rPr>
      </w:pPr>
    </w:p>
    <w:p w14:paraId="741CA4B2">
      <w:pPr>
        <w:spacing w:line="360" w:lineRule="auto"/>
        <w:rPr>
          <w:rFonts w:hint="eastAsia" w:ascii="宋体" w:hAnsi="宋体" w:cs="宋体"/>
          <w:b/>
          <w:bCs/>
          <w:sz w:val="28"/>
          <w:szCs w:val="28"/>
        </w:rPr>
      </w:pPr>
    </w:p>
    <w:p w14:paraId="1F554BBD">
      <w:pPr>
        <w:spacing w:line="360" w:lineRule="auto"/>
        <w:rPr>
          <w:rFonts w:hint="eastAsia" w:ascii="宋体" w:hAnsi="宋体" w:cs="宋体"/>
          <w:b/>
          <w:bCs/>
          <w:sz w:val="28"/>
          <w:szCs w:val="28"/>
        </w:rPr>
      </w:pPr>
    </w:p>
    <w:p w14:paraId="4ABFE953">
      <w:pPr>
        <w:spacing w:line="360" w:lineRule="auto"/>
        <w:rPr>
          <w:rFonts w:hint="eastAsia" w:ascii="宋体" w:hAnsi="宋体" w:cs="宋体"/>
          <w:b/>
          <w:bCs/>
          <w:sz w:val="28"/>
          <w:szCs w:val="28"/>
        </w:rPr>
      </w:pPr>
    </w:p>
    <w:p w14:paraId="74A64C3C">
      <w:pPr>
        <w:spacing w:line="360" w:lineRule="auto"/>
        <w:rPr>
          <w:rFonts w:hint="eastAsia" w:ascii="宋体" w:hAnsi="宋体" w:cs="宋体"/>
          <w:b/>
          <w:bCs/>
          <w:sz w:val="28"/>
          <w:szCs w:val="28"/>
        </w:rPr>
      </w:pPr>
    </w:p>
    <w:p w14:paraId="7F495D55">
      <w:pPr>
        <w:spacing w:line="360" w:lineRule="auto"/>
        <w:rPr>
          <w:rFonts w:hint="eastAsia" w:ascii="宋体" w:hAnsi="宋体" w:cs="宋体"/>
          <w:b/>
          <w:bCs/>
          <w:sz w:val="28"/>
          <w:szCs w:val="28"/>
        </w:rPr>
      </w:pPr>
    </w:p>
    <w:p w14:paraId="3C38900A">
      <w:pPr>
        <w:spacing w:line="360" w:lineRule="auto"/>
        <w:rPr>
          <w:rFonts w:hint="eastAsia" w:ascii="宋体" w:hAnsi="宋体" w:cs="宋体"/>
          <w:b/>
          <w:bCs/>
          <w:sz w:val="28"/>
          <w:szCs w:val="28"/>
        </w:rPr>
      </w:pPr>
    </w:p>
    <w:p w14:paraId="763DD77B">
      <w:pPr>
        <w:spacing w:line="360" w:lineRule="auto"/>
        <w:rPr>
          <w:rFonts w:hint="eastAsia" w:ascii="宋体" w:hAnsi="宋体" w:cs="宋体"/>
          <w:b/>
          <w:bCs/>
          <w:sz w:val="28"/>
          <w:szCs w:val="28"/>
        </w:rPr>
      </w:pPr>
    </w:p>
    <w:p w14:paraId="2392B109">
      <w:pPr>
        <w:spacing w:line="360" w:lineRule="auto"/>
        <w:rPr>
          <w:rFonts w:hint="eastAsia" w:ascii="宋体" w:hAnsi="宋体" w:cs="宋体"/>
          <w:b/>
          <w:bCs/>
          <w:sz w:val="28"/>
          <w:szCs w:val="28"/>
        </w:rPr>
      </w:pPr>
    </w:p>
    <w:p w14:paraId="2AA795EC">
      <w:pPr>
        <w:spacing w:line="360" w:lineRule="auto"/>
        <w:rPr>
          <w:rFonts w:hint="eastAsia" w:ascii="宋体" w:hAnsi="宋体" w:cs="宋体"/>
          <w:b/>
          <w:bCs/>
          <w:sz w:val="28"/>
          <w:szCs w:val="28"/>
        </w:rPr>
      </w:pPr>
    </w:p>
    <w:p w14:paraId="4BC3E653">
      <w:pPr>
        <w:spacing w:line="360" w:lineRule="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 xml:space="preserve">                        2026年3月</w:t>
      </w:r>
    </w:p>
    <w:p w14:paraId="78E8DCB1">
      <w:pPr>
        <w:spacing w:line="360" w:lineRule="auto"/>
        <w:rPr>
          <w:rFonts w:hint="eastAsia" w:ascii="宋体" w:hAnsi="宋体" w:cs="宋体"/>
          <w:b/>
          <w:bCs/>
          <w:sz w:val="28"/>
          <w:szCs w:val="28"/>
        </w:rPr>
      </w:pPr>
    </w:p>
    <w:p w14:paraId="7834504B">
      <w:pPr>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技术规范书中标注★号的，供应商必须在标书中进行响应，若无响应，将作否决处理。</w:t>
      </w:r>
    </w:p>
    <w:p w14:paraId="69867EAA">
      <w:pPr>
        <w:keepNext w:val="0"/>
        <w:keepLines w:val="0"/>
        <w:pageBreakBefore w:val="0"/>
        <w:widowControl w:val="0"/>
        <w:numPr>
          <w:ilvl w:val="0"/>
          <w:numId w:val="3"/>
        </w:numPr>
        <w:kinsoku/>
        <w:wordWrap/>
        <w:overflowPunct/>
        <w:topLinePunct w:val="0"/>
        <w:autoSpaceDE/>
        <w:autoSpaceDN/>
        <w:bidi w:val="0"/>
        <w:adjustRightInd w:val="0"/>
        <w:snapToGrid w:val="0"/>
        <w:spacing w:line="580" w:lineRule="exact"/>
        <w:ind w:firstLine="602" w:firstLineChars="200"/>
        <w:jc w:val="both"/>
        <w:textAlignment w:val="auto"/>
        <w:rPr>
          <w:rFonts w:hint="eastAsia" w:ascii="仿宋" w:hAnsi="仿宋" w:eastAsia="仿宋" w:cs="仿宋"/>
          <w:b/>
          <w:bCs/>
          <w:color w:val="000000"/>
          <w:sz w:val="30"/>
          <w:szCs w:val="30"/>
          <w:highlight w:val="none"/>
          <w:shd w:val="clear" w:color="auto" w:fill="auto"/>
          <w:lang w:val="en-US" w:eastAsia="zh-CN"/>
        </w:rPr>
      </w:pPr>
      <w:r>
        <w:rPr>
          <w:rFonts w:hint="eastAsia" w:ascii="仿宋" w:hAnsi="仿宋" w:eastAsia="仿宋" w:cs="仿宋"/>
          <w:b/>
          <w:bCs/>
          <w:color w:val="000000"/>
          <w:sz w:val="30"/>
          <w:szCs w:val="30"/>
          <w:highlight w:val="none"/>
          <w:shd w:val="clear" w:color="auto" w:fill="auto"/>
          <w:lang w:val="en-US" w:eastAsia="zh-CN"/>
        </w:rPr>
        <w:t>项目概况:</w:t>
      </w:r>
    </w:p>
    <w:p w14:paraId="49126FC9">
      <w:pPr>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1.1 项目背景：</w:t>
      </w:r>
      <w:r>
        <w:rPr>
          <w:rFonts w:hint="eastAsia" w:ascii="仿宋" w:hAnsi="仿宋" w:eastAsia="仿宋" w:cs="仿宋"/>
          <w:sz w:val="30"/>
          <w:szCs w:val="30"/>
          <w:lang w:val="en-US" w:eastAsia="zh-CN"/>
        </w:rPr>
        <w:t>南方能源大数据中心已投运537个10kW的54U机柜，机柜设计为封闭冷热通道，为保障机房上架初期机房的环境温湿度，拟采购6000块2U的标准机柜盲板进行空U位封堵</w:t>
      </w:r>
      <w:r>
        <w:rPr>
          <w:rFonts w:hint="eastAsia" w:ascii="仿宋" w:hAnsi="仿宋" w:eastAsia="仿宋" w:cs="仿宋"/>
          <w:sz w:val="30"/>
          <w:szCs w:val="30"/>
        </w:rPr>
        <w:t>。</w:t>
      </w:r>
    </w:p>
    <w:p w14:paraId="4F00AF45">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rPr>
        <w:t>1.2 项目目标：</w:t>
      </w:r>
      <w:r>
        <w:rPr>
          <w:rFonts w:hint="eastAsia" w:ascii="仿宋" w:hAnsi="仿宋" w:eastAsia="仿宋" w:cs="仿宋"/>
          <w:sz w:val="30"/>
          <w:szCs w:val="30"/>
          <w:lang w:val="en-US" w:eastAsia="zh-CN"/>
        </w:rPr>
        <w:t>采购一批合格的阻燃机柜盲板</w:t>
      </w:r>
      <w:r>
        <w:rPr>
          <w:rFonts w:hint="eastAsia" w:ascii="仿宋" w:hAnsi="仿宋" w:eastAsia="仿宋" w:cs="仿宋"/>
          <w:sz w:val="30"/>
          <w:szCs w:val="30"/>
        </w:rPr>
        <w:t>。</w:t>
      </w:r>
      <w:bookmarkStart w:id="0" w:name="_Toc301258140"/>
    </w:p>
    <w:bookmarkEnd w:id="0"/>
    <w:p w14:paraId="53F991AE">
      <w:pPr>
        <w:keepNext w:val="0"/>
        <w:keepLines w:val="0"/>
        <w:pageBreakBefore w:val="0"/>
        <w:widowControl w:val="0"/>
        <w:numPr>
          <w:ilvl w:val="0"/>
          <w:numId w:val="3"/>
        </w:numPr>
        <w:kinsoku/>
        <w:wordWrap/>
        <w:overflowPunct/>
        <w:topLinePunct w:val="0"/>
        <w:autoSpaceDE/>
        <w:autoSpaceDN/>
        <w:bidi w:val="0"/>
        <w:adjustRightInd w:val="0"/>
        <w:snapToGrid w:val="0"/>
        <w:spacing w:line="580" w:lineRule="exact"/>
        <w:ind w:firstLine="602" w:firstLineChars="200"/>
        <w:jc w:val="both"/>
        <w:textAlignment w:val="auto"/>
        <w:rPr>
          <w:rFonts w:hint="eastAsia" w:ascii="仿宋" w:hAnsi="仿宋" w:eastAsia="仿宋" w:cs="仿宋"/>
          <w:b/>
          <w:bCs/>
          <w:color w:val="000000"/>
          <w:sz w:val="30"/>
          <w:szCs w:val="30"/>
          <w:highlight w:val="none"/>
          <w:shd w:val="clear" w:color="auto" w:fill="auto"/>
          <w:lang w:val="en-US" w:eastAsia="zh-CN"/>
        </w:rPr>
      </w:pPr>
      <w:r>
        <w:rPr>
          <w:rFonts w:hint="eastAsia" w:ascii="仿宋" w:hAnsi="仿宋" w:eastAsia="仿宋" w:cs="仿宋"/>
          <w:b/>
          <w:bCs/>
          <w:color w:val="000000"/>
          <w:sz w:val="30"/>
          <w:szCs w:val="30"/>
          <w:highlight w:val="none"/>
          <w:shd w:val="clear" w:color="auto" w:fill="auto"/>
          <w:lang w:val="en-US" w:eastAsia="zh-CN"/>
        </w:rPr>
        <w:t>采购内容</w:t>
      </w:r>
    </w:p>
    <w:p w14:paraId="6B8D2251">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1.采购内容：机柜盲板（2U）。</w:t>
      </w:r>
    </w:p>
    <w:tbl>
      <w:tblPr>
        <w:tblStyle w:val="13"/>
        <w:tblW w:w="9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9"/>
        <w:gridCol w:w="2703"/>
        <w:gridCol w:w="817"/>
        <w:gridCol w:w="1058"/>
        <w:gridCol w:w="3216"/>
      </w:tblGrid>
      <w:tr w14:paraId="37EF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299" w:type="dxa"/>
            <w:vAlign w:val="center"/>
          </w:tcPr>
          <w:p w14:paraId="3404683D">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产品名称</w:t>
            </w:r>
          </w:p>
        </w:tc>
        <w:tc>
          <w:tcPr>
            <w:tcW w:w="2703" w:type="dxa"/>
            <w:vAlign w:val="center"/>
          </w:tcPr>
          <w:p w14:paraId="4E1977E4">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主要技术要求</w:t>
            </w:r>
          </w:p>
        </w:tc>
        <w:tc>
          <w:tcPr>
            <w:tcW w:w="817" w:type="dxa"/>
            <w:vAlign w:val="center"/>
          </w:tcPr>
          <w:p w14:paraId="76EAA6C9">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型号</w:t>
            </w:r>
          </w:p>
        </w:tc>
        <w:tc>
          <w:tcPr>
            <w:tcW w:w="1058" w:type="dxa"/>
            <w:vAlign w:val="center"/>
          </w:tcPr>
          <w:p w14:paraId="1918E4C9">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数量</w:t>
            </w:r>
          </w:p>
          <w:p w14:paraId="6B0FC006">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（块）</w:t>
            </w:r>
          </w:p>
        </w:tc>
        <w:tc>
          <w:tcPr>
            <w:tcW w:w="3216" w:type="dxa"/>
            <w:vAlign w:val="center"/>
          </w:tcPr>
          <w:p w14:paraId="61001D27">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备注</w:t>
            </w:r>
          </w:p>
        </w:tc>
      </w:tr>
      <w:tr w14:paraId="4A32B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99" w:type="dxa"/>
            <w:vAlign w:val="center"/>
          </w:tcPr>
          <w:p w14:paraId="1FC54E5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机柜盲板</w:t>
            </w:r>
          </w:p>
        </w:tc>
        <w:tc>
          <w:tcPr>
            <w:tcW w:w="2703" w:type="dxa"/>
            <w:vAlign w:val="center"/>
          </w:tcPr>
          <w:p w14:paraId="02E5ED84">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1.包边后周边轮廓保持顺滑，不得磕碰、变形、伤，整体形状。</w:t>
            </w:r>
          </w:p>
          <w:p w14:paraId="25814052">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2.不得扭曲，仍然保持曲率连接。</w:t>
            </w:r>
          </w:p>
          <w:p w14:paraId="1CBE9A3E">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3.安装紧固后周边与后围配合处靠实。</w:t>
            </w:r>
          </w:p>
          <w:p w14:paraId="5004BF41">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4.产品表面应色泽均勻、光滑、不允许有裂纹、翘曲、发斑、脏污和影响外观的飞边、毛刺、擦伤等缺陷。</w:t>
            </w:r>
          </w:p>
          <w:p w14:paraId="071B9C37">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5.产品表面平整、美观、无麻点、划痕、裂痕、缩痕、翘曲、变形等影响使用性能的缺陷。</w:t>
            </w:r>
          </w:p>
          <w:p w14:paraId="379F5363">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6.浇口的去除不应影响外观和装配。</w:t>
            </w:r>
          </w:p>
          <w:p w14:paraId="2167A51C">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7.未注拔模角为1°~3°。</w:t>
            </w:r>
          </w:p>
          <w:p w14:paraId="2BA81779">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8.零件表面不允许有裂纹、起皱等缺陷。</w:t>
            </w:r>
          </w:p>
          <w:p w14:paraId="65BFD7AE">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9.去除尖角、毛刺。</w:t>
            </w:r>
          </w:p>
          <w:p w14:paraId="7431B98E">
            <w:pPr>
              <w:keepNext w:val="0"/>
              <w:keepLines w:val="0"/>
              <w:pageBreakBefore w:val="0"/>
              <w:widowControl w:val="0"/>
              <w:numPr>
                <w:numId w:val="0"/>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10.分体结构粘贴强度不低于本体强度。</w:t>
            </w:r>
          </w:p>
        </w:tc>
        <w:tc>
          <w:tcPr>
            <w:tcW w:w="817" w:type="dxa"/>
            <w:vAlign w:val="center"/>
          </w:tcPr>
          <w:p w14:paraId="25A5ADA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2U</w:t>
            </w:r>
          </w:p>
        </w:tc>
        <w:tc>
          <w:tcPr>
            <w:tcW w:w="1058" w:type="dxa"/>
            <w:vAlign w:val="center"/>
          </w:tcPr>
          <w:p w14:paraId="5098CF8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6000</w:t>
            </w:r>
          </w:p>
        </w:tc>
        <w:tc>
          <w:tcPr>
            <w:tcW w:w="3216" w:type="dxa"/>
            <w:vAlign w:val="center"/>
          </w:tcPr>
          <w:p w14:paraId="7DD3D63B">
            <w:pPr>
              <w:keepNext w:val="0"/>
              <w:keepLines w:val="0"/>
              <w:pageBreakBefore w:val="0"/>
              <w:widowControl w:val="0"/>
              <w:numPr>
                <w:ilvl w:val="0"/>
                <w:numId w:val="4"/>
              </w:numPr>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黑色</w:t>
            </w:r>
          </w:p>
          <w:p w14:paraId="0FB965D4">
            <w:pPr>
              <w:snapToGrid w:val="0"/>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2、采用阻燃塑质材料，所使用的塑料材料应符合《设备和器具用塑料部件的可燃性实验》（UL 94-2013）标准，燃烧性能应达到V-0级3、免工具快速装、卸，选用卡接固定方式。</w:t>
            </w:r>
          </w:p>
        </w:tc>
      </w:tr>
    </w:tbl>
    <w:p w14:paraId="5C8FA1CF">
      <w:pPr>
        <w:rPr>
          <w:rFonts w:hint="eastAsia" w:ascii="仿宋" w:hAnsi="仿宋" w:eastAsia="仿宋" w:cs="仿宋"/>
          <w:sz w:val="30"/>
          <w:szCs w:val="30"/>
          <w:lang w:val="en-US" w:eastAsia="zh-CN"/>
        </w:rPr>
      </w:pPr>
    </w:p>
    <w:p w14:paraId="277819D3">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2.交货期：合同签订之日起15天。</w:t>
      </w:r>
    </w:p>
    <w:p w14:paraId="66221124">
      <w:pPr>
        <w:spacing w:line="36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3.交付要求：合同签订后15内完成货物交付，具体按照合同要求执行。</w:t>
      </w:r>
    </w:p>
    <w:p w14:paraId="1533479B">
      <w:pPr>
        <w:keepNext w:val="0"/>
        <w:keepLines w:val="0"/>
        <w:pageBreakBefore w:val="0"/>
        <w:widowControl w:val="0"/>
        <w:numPr>
          <w:ilvl w:val="0"/>
          <w:numId w:val="3"/>
        </w:numPr>
        <w:kinsoku/>
        <w:wordWrap/>
        <w:overflowPunct/>
        <w:topLinePunct w:val="0"/>
        <w:autoSpaceDE/>
        <w:autoSpaceDN/>
        <w:bidi w:val="0"/>
        <w:adjustRightInd w:val="0"/>
        <w:snapToGrid w:val="0"/>
        <w:spacing w:line="580" w:lineRule="exact"/>
        <w:ind w:firstLine="600" w:firstLineChars="200"/>
        <w:jc w:val="both"/>
        <w:textAlignment w:val="auto"/>
        <w:rPr>
          <w:rFonts w:hint="eastAsia" w:ascii="仿宋" w:hAnsi="仿宋" w:eastAsia="仿宋" w:cs="仿宋"/>
          <w:b w:val="0"/>
          <w:bCs w:val="0"/>
          <w:color w:val="000000"/>
          <w:sz w:val="30"/>
          <w:szCs w:val="30"/>
          <w:highlight w:val="none"/>
          <w:shd w:val="clear" w:color="auto" w:fill="auto"/>
          <w:lang w:val="en-US" w:eastAsia="zh-CN"/>
        </w:rPr>
      </w:pPr>
      <w:r>
        <w:rPr>
          <w:rFonts w:hint="eastAsia" w:ascii="仿宋" w:hAnsi="仿宋" w:eastAsia="仿宋" w:cs="仿宋"/>
          <w:b w:val="0"/>
          <w:bCs w:val="0"/>
          <w:color w:val="000000"/>
          <w:sz w:val="30"/>
          <w:szCs w:val="30"/>
          <w:highlight w:val="none"/>
          <w:shd w:val="clear" w:color="auto" w:fill="auto"/>
          <w:lang w:val="en-US" w:eastAsia="zh-CN"/>
        </w:rPr>
        <w:t>技术要求</w:t>
      </w:r>
    </w:p>
    <w:p w14:paraId="278F3E8F">
      <w:pPr>
        <w:pStyle w:val="2"/>
        <w:numPr>
          <w:ilvl w:val="0"/>
          <w:numId w:val="5"/>
        </w:numPr>
        <w:ind w:firstLine="900" w:firstLineChars="3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企业要求。</w:t>
      </w:r>
    </w:p>
    <w:p w14:paraId="0E2696C2">
      <w:pPr>
        <w:keepNext w:val="0"/>
        <w:keepLines w:val="0"/>
        <w:pageBreakBefore w:val="0"/>
        <w:widowControl/>
        <w:numPr>
          <w:ilvl w:val="0"/>
          <w:numId w:val="6"/>
        </w:numPr>
        <w:suppressLineNumbers w:val="0"/>
        <w:kinsoku/>
        <w:wordWrap/>
        <w:overflowPunct/>
        <w:topLinePunct w:val="0"/>
        <w:autoSpaceDE/>
        <w:autoSpaceDN/>
        <w:bidi w:val="0"/>
        <w:ind w:left="425" w:leftChars="0" w:hanging="425" w:firstLineChars="0"/>
        <w:jc w:val="both"/>
        <w:textAlignment w:val="center"/>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报价人需是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14:paraId="4743E392">
      <w:pPr>
        <w:keepNext w:val="0"/>
        <w:keepLines w:val="0"/>
        <w:pageBreakBefore w:val="0"/>
        <w:widowControl/>
        <w:numPr>
          <w:ilvl w:val="0"/>
          <w:numId w:val="6"/>
        </w:numPr>
        <w:suppressLineNumbers w:val="0"/>
        <w:kinsoku/>
        <w:wordWrap/>
        <w:overflowPunct/>
        <w:topLinePunct w:val="0"/>
        <w:autoSpaceDE/>
        <w:autoSpaceDN/>
        <w:bidi w:val="0"/>
        <w:ind w:left="425" w:leftChars="0" w:hanging="425" w:firstLineChars="0"/>
        <w:jc w:val="both"/>
        <w:textAlignment w:val="center"/>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提供近三年经审计的财务报告(2022-2024年报告。如2024年报告未发布，则提供相关原因声明及2021-2023年报告；成立时间不足的按实际成立时间提供),审计意见非“否定意见”或非“无法表示意见”。若不能提供经审计的财务报告，则须提供本单位出具相应的年度财务报告，且提供财务报表数据真实、完整、准确的承诺函)，没有处于被责令停业或破产状态，且资产未被重组、接管和冻结</w:t>
      </w:r>
    </w:p>
    <w:p w14:paraId="5D863B9C">
      <w:pPr>
        <w:keepNext w:val="0"/>
        <w:keepLines w:val="0"/>
        <w:pageBreakBefore w:val="0"/>
        <w:widowControl/>
        <w:numPr>
          <w:ilvl w:val="0"/>
          <w:numId w:val="6"/>
        </w:numPr>
        <w:suppressLineNumbers w:val="0"/>
        <w:kinsoku/>
        <w:wordWrap/>
        <w:overflowPunct/>
        <w:topLinePunct w:val="0"/>
        <w:autoSpaceDE/>
        <w:autoSpaceDN/>
        <w:bidi w:val="0"/>
        <w:ind w:left="425" w:leftChars="0" w:hanging="425" w:firstLineChars="0"/>
        <w:jc w:val="both"/>
        <w:textAlignment w:val="center"/>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不接受联合体参与。</w:t>
      </w:r>
    </w:p>
    <w:p w14:paraId="78CEEDC0">
      <w:pPr>
        <w:keepNext w:val="0"/>
        <w:keepLines w:val="0"/>
        <w:pageBreakBefore w:val="0"/>
        <w:widowControl/>
        <w:numPr>
          <w:ilvl w:val="0"/>
          <w:numId w:val="6"/>
        </w:numPr>
        <w:suppressLineNumbers w:val="0"/>
        <w:kinsoku/>
        <w:wordWrap/>
        <w:overflowPunct/>
        <w:topLinePunct w:val="0"/>
        <w:autoSpaceDE/>
        <w:autoSpaceDN/>
        <w:bidi w:val="0"/>
        <w:ind w:left="425" w:leftChars="0" w:hanging="425" w:firstLineChars="0"/>
        <w:jc w:val="both"/>
        <w:textAlignment w:val="center"/>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投标人不得存在下列情形之一：</w:t>
      </w:r>
    </w:p>
    <w:p w14:paraId="18F6C1F7">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(1)与招标人存在利害关系且可能影响招标公正性；</w:t>
      </w:r>
    </w:p>
    <w:p w14:paraId="7225A1C3">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(2)与本招标项目（同一标包）的其他投标人为同一个单位负责人；</w:t>
      </w:r>
    </w:p>
    <w:p w14:paraId="7F1B72DF">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(3)与本招标项目（同一标包）的其他投标人存在控股、管理关系；</w:t>
      </w:r>
    </w:p>
    <w:p w14:paraId="222C5979">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(4)为本招标项目提供过设计、编制技术规范和其他文件的咨询服务；</w:t>
      </w:r>
    </w:p>
    <w:p w14:paraId="5ECBA1A2">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(5)为本招标项目的招标代理机构；</w:t>
      </w:r>
    </w:p>
    <w:p w14:paraId="056CE825">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(6)与本招标项目的招标代理机构同为一个法定代表人；</w:t>
      </w:r>
    </w:p>
    <w:p w14:paraId="6CF71B03">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(7)与本招标项目的招标代理机构存在控股或参股关系；</w:t>
      </w:r>
    </w:p>
    <w:p w14:paraId="508B4070">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(8)被依法暂停或者取消投标资格；</w:t>
      </w:r>
    </w:p>
    <w:p w14:paraId="6E01C7EE">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(9)被责令停产停业、暂扣或者吊销许可证、暂扣或者吊销执照；</w:t>
      </w:r>
    </w:p>
    <w:p w14:paraId="69E62102">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(10)进入清算程序，或被宣告破产，或其他丧失履约能力的情形；</w:t>
      </w:r>
    </w:p>
    <w:p w14:paraId="39339816">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(11)被“国家企业信用信息公示系统”（https://www.gsxt.gov.cn）中列入严重违法失信企业名单；</w:t>
      </w:r>
    </w:p>
    <w:p w14:paraId="5DCB40B8">
      <w:pPr>
        <w:numPr>
          <w:ilvl w:val="0"/>
          <w:numId w:val="0"/>
        </w:numPr>
        <w:shd w:val="clear" w:color="auto" w:fill="auto"/>
        <w:ind w:leftChars="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(12)被“信用中国”网站（www.creditchina.gov.cn）或“中国执行信息公开网”（http://zxgk.court.gov.cn/shixin）等各级信用信息共享平台中列入失信被执行人名单；</w:t>
      </w:r>
    </w:p>
    <w:p w14:paraId="5E77C588">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(13)在近三年内投标人或其法定代表人、拟委任的项目负责人有行贿犯罪行为的；</w:t>
      </w:r>
    </w:p>
    <w:p w14:paraId="43B2340F">
      <w:pPr>
        <w:numPr>
          <w:ilvl w:val="0"/>
          <w:numId w:val="0"/>
        </w:numPr>
        <w:shd w:val="clear" w:color="auto" w:fill="auto"/>
        <w:ind w:leftChars="0"/>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(14)被中国南方电网有限责任公司列入供应商处罚黑名单或供应商处罚预警名单的；</w:t>
      </w:r>
    </w:p>
    <w:p w14:paraId="07F2578F">
      <w:pPr>
        <w:pStyle w:val="2"/>
        <w:numPr>
          <w:numId w:val="0"/>
        </w:numPr>
        <w:rPr>
          <w:rFonts w:hint="eastAsia" w:ascii="仿宋" w:hAnsi="仿宋" w:eastAsia="仿宋" w:cs="仿宋"/>
          <w:sz w:val="30"/>
          <w:szCs w:val="30"/>
          <w:highlight w:val="none"/>
          <w:lang w:val="en-US" w:eastAsia="zh-CN"/>
        </w:rPr>
      </w:pPr>
      <w:r>
        <w:rPr>
          <w:rFonts w:hint="eastAsia" w:ascii="仿宋" w:hAnsi="仿宋" w:eastAsia="仿宋" w:cs="仿宋"/>
          <w:i w:val="0"/>
          <w:iCs w:val="0"/>
          <w:color w:val="auto"/>
          <w:sz w:val="24"/>
          <w:szCs w:val="24"/>
          <w:highlight w:val="none"/>
          <w:u w:val="none"/>
          <w:lang w:val="en-US" w:eastAsia="zh-CN"/>
        </w:rPr>
        <w:t>(15)法律法规和招标文件规定的其他不得存在的情形；</w:t>
      </w:r>
    </w:p>
    <w:p w14:paraId="72222270">
      <w:pPr>
        <w:pStyle w:val="2"/>
        <w:numPr>
          <w:ilvl w:val="0"/>
          <w:numId w:val="5"/>
        </w:numPr>
        <w:ind w:left="0" w:leftChars="0" w:firstLine="900" w:firstLineChars="3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进度要求。</w:t>
      </w:r>
    </w:p>
    <w:p w14:paraId="6B18D00E">
      <w:pPr>
        <w:pStyle w:val="10"/>
        <w:keepNext w:val="0"/>
        <w:keepLines w:val="0"/>
        <w:pageBreakBefore w:val="0"/>
        <w:widowControl w:val="0"/>
        <w:numPr>
          <w:ilvl w:val="0"/>
          <w:numId w:val="0"/>
        </w:numPr>
        <w:kinsoku/>
        <w:wordWrap/>
        <w:overflowPunct/>
        <w:topLinePunct w:val="0"/>
        <w:autoSpaceDE/>
        <w:autoSpaceDN/>
        <w:bidi w:val="0"/>
        <w:spacing w:line="580" w:lineRule="exact"/>
        <w:ind w:firstLine="600" w:firstLineChars="200"/>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成交方必须按照合同约定的交付进度要求实施，合同签订后技术图纸确认后，15天内完成货物交付。</w:t>
      </w:r>
    </w:p>
    <w:p w14:paraId="4DB4A8A1">
      <w:pPr>
        <w:pStyle w:val="2"/>
        <w:numPr>
          <w:ilvl w:val="0"/>
          <w:numId w:val="5"/>
        </w:numPr>
        <w:ind w:left="0" w:leftChars="0" w:firstLine="900" w:firstLineChars="3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质量要求。</w:t>
      </w:r>
    </w:p>
    <w:p w14:paraId="430FC983">
      <w:pPr>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1买方有权对合同货物进行抽检和到货验收，卖方应积极配合并提供抽检所需的资料和必要条件。卖方人员未按时赶赴现场，买方自行实施或委托具备相应资质的检验机构做出的抽检结果或验收结果，卖方应认可。</w:t>
      </w:r>
    </w:p>
    <w:p w14:paraId="10BE5E05">
      <w:pPr>
        <w:pageBreakBefore w:val="0"/>
        <w:widowControl w:val="0"/>
        <w:kinsoku/>
        <w:wordWrap/>
        <w:overflowPunct/>
        <w:topLinePunct w:val="0"/>
        <w:autoSpaceDE/>
        <w:autoSpaceDN/>
        <w:bidi w:val="0"/>
        <w:adjustRightInd/>
        <w:snapToGrid/>
        <w:ind w:firstLine="600" w:firstLineChars="200"/>
        <w:jc w:val="left"/>
        <w:textAlignment w:val="auto"/>
        <w:rPr>
          <w:rFonts w:hint="eastAsia" w:ascii="仿宋" w:hAnsi="仿宋" w:eastAsia="仿宋" w:cs="仿宋"/>
          <w:color w:val="auto"/>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.2合同货物的质量保证期和使用寿命应当符合国家标准或行业标准的要求。没有相关标准时，</w:t>
      </w:r>
      <w:r>
        <w:rPr>
          <w:rFonts w:hint="eastAsia" w:ascii="仿宋" w:hAnsi="仿宋" w:eastAsia="仿宋" w:cs="仿宋"/>
          <w:color w:val="auto"/>
          <w:sz w:val="30"/>
          <w:szCs w:val="30"/>
        </w:rPr>
        <w:t>各类物资的质保期和使用寿命应当满足产品设计要求。</w:t>
      </w:r>
    </w:p>
    <w:p w14:paraId="5320B7F1">
      <w:pPr>
        <w:pStyle w:val="2"/>
        <w:numPr>
          <w:ilvl w:val="0"/>
          <w:numId w:val="5"/>
        </w:numPr>
        <w:ind w:left="0" w:leftChars="0" w:firstLine="900" w:firstLineChars="300"/>
        <w:rPr>
          <w:rFonts w:hint="eastAsia" w:ascii="仿宋" w:hAnsi="仿宋" w:eastAsia="仿宋" w:cs="仿宋"/>
          <w:sz w:val="30"/>
          <w:szCs w:val="30"/>
          <w:highlight w:val="none"/>
          <w:lang w:val="en-US" w:eastAsia="zh-CN"/>
        </w:rPr>
      </w:pPr>
      <w:bookmarkStart w:id="1" w:name="_Toc28725"/>
      <w:bookmarkStart w:id="2" w:name="_Toc909"/>
      <w:bookmarkStart w:id="3" w:name="_Toc21267"/>
      <w:r>
        <w:rPr>
          <w:rFonts w:hint="eastAsia" w:ascii="仿宋" w:hAnsi="仿宋" w:eastAsia="仿宋" w:cs="仿宋"/>
          <w:sz w:val="30"/>
          <w:szCs w:val="30"/>
          <w:highlight w:val="none"/>
          <w:lang w:val="en-US" w:eastAsia="zh-CN"/>
        </w:rPr>
        <w:t>安全保密要求</w:t>
      </w:r>
      <w:bookmarkEnd w:id="1"/>
      <w:bookmarkEnd w:id="2"/>
      <w:bookmarkEnd w:id="3"/>
    </w:p>
    <w:p w14:paraId="4889A494">
      <w:pPr>
        <w:spacing w:line="360" w:lineRule="auto"/>
        <w:ind w:firstLine="600" w:firstLineChars="200"/>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为加强采购方企业的网络安全管理，提出以下保密要求：</w:t>
      </w:r>
    </w:p>
    <w:p w14:paraId="6E24FA03">
      <w:pPr>
        <w:spacing w:line="360" w:lineRule="auto"/>
        <w:ind w:firstLine="600" w:firstLineChars="200"/>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（1）报价人在服务期间，负有保护采购方企业的网络安全、信息安全和系统数据安全的义务和责任；负有保护所持有、接触属于或涉及南方电网公司商业秘密的信息安全的义务和责任。</w:t>
      </w:r>
    </w:p>
    <w:p w14:paraId="75D0DC9C">
      <w:pPr>
        <w:spacing w:line="360" w:lineRule="auto"/>
        <w:ind w:firstLine="600" w:firstLineChars="200"/>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（2）未经许可不得以任何方式对保密信息及工作成果进行复制、传播、泄漏、告知，不得将保密信息带离与采购人相关的办公场所。</w:t>
      </w:r>
    </w:p>
    <w:p w14:paraId="7687160F">
      <w:pPr>
        <w:spacing w:line="360" w:lineRule="auto"/>
        <w:ind w:firstLine="600" w:firstLineChars="200"/>
        <w:rPr>
          <w:rFonts w:hint="eastAsia" w:ascii="仿宋" w:hAnsi="仿宋" w:eastAsia="仿宋" w:cs="仿宋"/>
          <w:kern w:val="2"/>
          <w:sz w:val="30"/>
          <w:szCs w:val="30"/>
          <w:highlight w:val="none"/>
          <w:lang w:val="en-US" w:eastAsia="zh-CN" w:bidi="ar-SA"/>
        </w:rPr>
      </w:pPr>
      <w:r>
        <w:rPr>
          <w:rFonts w:hint="eastAsia" w:ascii="仿宋" w:hAnsi="仿宋" w:eastAsia="仿宋" w:cs="仿宋"/>
          <w:kern w:val="2"/>
          <w:sz w:val="30"/>
          <w:szCs w:val="30"/>
          <w:highlight w:val="none"/>
          <w:lang w:val="en-US" w:eastAsia="zh-CN" w:bidi="ar-SA"/>
        </w:rPr>
        <w:t>（3）无论何种原因导致合同解除或终止，本项目约定下的保密条款、保密内容及相关的违约责任的约定仍然生效。保密期限为签订合同之后至永久，保密范围为项目所涉及的任何资料。</w:t>
      </w:r>
    </w:p>
    <w:p w14:paraId="75FED773">
      <w:pPr>
        <w:pStyle w:val="2"/>
        <w:numPr>
          <w:ilvl w:val="0"/>
          <w:numId w:val="5"/>
        </w:numPr>
        <w:ind w:left="0" w:leftChars="0" w:firstLine="900" w:firstLineChars="30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结算与支付</w:t>
      </w:r>
    </w:p>
    <w:p w14:paraId="0E55525A">
      <w:pPr>
        <w:pStyle w:val="2"/>
        <w:keepNext w:val="0"/>
        <w:keepLines w:val="0"/>
        <w:pageBreakBefore w:val="0"/>
        <w:widowControl w:val="0"/>
        <w:numPr>
          <w:numId w:val="0"/>
        </w:numPr>
        <w:kinsoku/>
        <w:wordWrap/>
        <w:overflowPunct/>
        <w:topLinePunct w:val="0"/>
        <w:autoSpaceDE/>
        <w:autoSpaceDN/>
        <w:bidi w:val="0"/>
        <w:adjustRightInd/>
        <w:snapToGrid/>
        <w:spacing w:after="0"/>
        <w:ind w:leftChars="0" w:firstLine="600" w:firstLineChars="200"/>
        <w:textAlignment w:val="auto"/>
        <w:rPr>
          <w:rFonts w:hint="default"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货物交付经验收合格后，按采购方要求开具相应金额的增值税专用发票，甲方在收到发票后30个工作日内向乙方一次性支付全部货款，具体以合同签订为准。</w:t>
      </w:r>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panose1 w:val="02010600000101010101"/>
    <w:charset w:val="86"/>
    <w:family w:val="modern"/>
    <w:pitch w:val="default"/>
    <w:sig w:usb0="00000001" w:usb1="080E0800" w:usb2="00000002"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C2886"/>
    <w:multiLevelType w:val="singleLevel"/>
    <w:tmpl w:val="84DC2886"/>
    <w:lvl w:ilvl="0" w:tentative="0">
      <w:start w:val="1"/>
      <w:numFmt w:val="decimal"/>
      <w:suff w:val="nothing"/>
      <w:lvlText w:val="%1、"/>
      <w:lvlJc w:val="left"/>
    </w:lvl>
  </w:abstractNum>
  <w:abstractNum w:abstractNumId="1">
    <w:nsid w:val="93EEE12E"/>
    <w:multiLevelType w:val="singleLevel"/>
    <w:tmpl w:val="93EEE12E"/>
    <w:lvl w:ilvl="0" w:tentative="0">
      <w:start w:val="1"/>
      <w:numFmt w:val="decimal"/>
      <w:lvlText w:val="(%1)"/>
      <w:lvlJc w:val="left"/>
      <w:pPr>
        <w:ind w:left="425" w:hanging="425"/>
      </w:pPr>
      <w:rPr>
        <w:rFonts w:hint="default"/>
      </w:rPr>
    </w:lvl>
  </w:abstractNum>
  <w:abstractNum w:abstractNumId="2">
    <w:nsid w:val="B9AE0812"/>
    <w:multiLevelType w:val="singleLevel"/>
    <w:tmpl w:val="B9AE0812"/>
    <w:lvl w:ilvl="0" w:tentative="0">
      <w:start w:val="1"/>
      <w:numFmt w:val="decimal"/>
      <w:lvlText w:val="%1."/>
      <w:lvlJc w:val="left"/>
      <w:pPr>
        <w:tabs>
          <w:tab w:val="left" w:pos="312"/>
        </w:tabs>
      </w:pPr>
    </w:lvl>
  </w:abstractNum>
  <w:abstractNum w:abstractNumId="3">
    <w:nsid w:val="0000001C"/>
    <w:multiLevelType w:val="multilevel"/>
    <w:tmpl w:val="0000001C"/>
    <w:lvl w:ilvl="0" w:tentative="0">
      <w:start w:val="1"/>
      <w:numFmt w:val="none"/>
      <w:pStyle w:val="4"/>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4">
    <w:nsid w:val="1E907F40"/>
    <w:multiLevelType w:val="singleLevel"/>
    <w:tmpl w:val="1E907F40"/>
    <w:lvl w:ilvl="0" w:tentative="0">
      <w:start w:val="1"/>
      <w:numFmt w:val="chineseCounting"/>
      <w:suff w:val="nothing"/>
      <w:lvlText w:val="%1、"/>
      <w:lvlJc w:val="left"/>
      <w:rPr>
        <w:rFonts w:hint="eastAsia"/>
      </w:rPr>
    </w:lvl>
  </w:abstractNum>
  <w:abstractNum w:abstractNumId="5">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7"/>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9"/>
      <w:isLgl/>
      <w:lvlText w:val="%1.%2.%3.%4．"/>
      <w:lvlJc w:val="left"/>
      <w:pPr>
        <w:tabs>
          <w:tab w:val="left" w:pos="0"/>
        </w:tabs>
      </w:pPr>
      <w:rPr>
        <w:rFonts w:hint="default"/>
      </w:rPr>
    </w:lvl>
    <w:lvl w:ilvl="4" w:tentative="0">
      <w:start w:val="1"/>
      <w:numFmt w:val="bullet"/>
      <w:pStyle w:val="22"/>
      <w:lvlText w:val=""/>
      <w:lvlJc w:val="left"/>
      <w:pPr>
        <w:tabs>
          <w:tab w:val="left" w:pos="2100"/>
        </w:tabs>
        <w:ind w:left="2100" w:hanging="420"/>
      </w:pPr>
      <w:rPr>
        <w:rFonts w:hint="default" w:ascii="Wingdings" w:hAnsi="Wingdings"/>
      </w:rPr>
    </w:lvl>
    <w:lvl w:ilvl="5" w:tentative="0">
      <w:start w:val="1"/>
      <w:numFmt w:val="bullet"/>
      <w:pStyle w:val="23"/>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3"/>
  </w:num>
  <w:num w:numId="2">
    <w:abstractNumId w:val="5"/>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RiN2EzOTIwNTFkMWRjYjlhM2M2MjEwMTAzOTAyMTAifQ=="/>
  </w:docVars>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2AC2"/>
    <w:rsid w:val="000954B1"/>
    <w:rsid w:val="00095FB1"/>
    <w:rsid w:val="00097116"/>
    <w:rsid w:val="00097A1A"/>
    <w:rsid w:val="000A0084"/>
    <w:rsid w:val="000A04CE"/>
    <w:rsid w:val="000A619F"/>
    <w:rsid w:val="000A6F54"/>
    <w:rsid w:val="000B0FA7"/>
    <w:rsid w:val="000B2830"/>
    <w:rsid w:val="000B3336"/>
    <w:rsid w:val="000B5898"/>
    <w:rsid w:val="000C7581"/>
    <w:rsid w:val="000D0AAF"/>
    <w:rsid w:val="000D0C94"/>
    <w:rsid w:val="000D4A06"/>
    <w:rsid w:val="000D4DA9"/>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72D5"/>
    <w:rsid w:val="00130B3B"/>
    <w:rsid w:val="00133E20"/>
    <w:rsid w:val="0013578D"/>
    <w:rsid w:val="00136CBC"/>
    <w:rsid w:val="001378C5"/>
    <w:rsid w:val="00141B8F"/>
    <w:rsid w:val="00141DB6"/>
    <w:rsid w:val="0014371F"/>
    <w:rsid w:val="00146E3C"/>
    <w:rsid w:val="001507F7"/>
    <w:rsid w:val="0015156A"/>
    <w:rsid w:val="001516AB"/>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456"/>
    <w:rsid w:val="001D4537"/>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97884"/>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3D89"/>
    <w:rsid w:val="00446D5F"/>
    <w:rsid w:val="00447844"/>
    <w:rsid w:val="00453934"/>
    <w:rsid w:val="004550E7"/>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2611"/>
    <w:rsid w:val="004E508B"/>
    <w:rsid w:val="004E60FA"/>
    <w:rsid w:val="004F074C"/>
    <w:rsid w:val="004F0E90"/>
    <w:rsid w:val="004F25BE"/>
    <w:rsid w:val="004F793A"/>
    <w:rsid w:val="004F7C65"/>
    <w:rsid w:val="00500146"/>
    <w:rsid w:val="00501BF0"/>
    <w:rsid w:val="00507472"/>
    <w:rsid w:val="005077D5"/>
    <w:rsid w:val="00510251"/>
    <w:rsid w:val="00510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21EF"/>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5C37"/>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0569C"/>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1DAB"/>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24EE"/>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C5E85"/>
    <w:rsid w:val="00AC636C"/>
    <w:rsid w:val="00AC6C0D"/>
    <w:rsid w:val="00AD0F7E"/>
    <w:rsid w:val="00AD2A05"/>
    <w:rsid w:val="00AD2E7E"/>
    <w:rsid w:val="00AE36CC"/>
    <w:rsid w:val="00AE40BA"/>
    <w:rsid w:val="00AE4B73"/>
    <w:rsid w:val="00AF1D74"/>
    <w:rsid w:val="00AF1EDB"/>
    <w:rsid w:val="00AF27F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2B17"/>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E3995"/>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7E7201"/>
    <w:rsid w:val="0191755B"/>
    <w:rsid w:val="01934780"/>
    <w:rsid w:val="01973F78"/>
    <w:rsid w:val="021B4775"/>
    <w:rsid w:val="0241242E"/>
    <w:rsid w:val="02557C87"/>
    <w:rsid w:val="027C3466"/>
    <w:rsid w:val="02F94AB6"/>
    <w:rsid w:val="037A7E67"/>
    <w:rsid w:val="037F3E9B"/>
    <w:rsid w:val="03CA6E2E"/>
    <w:rsid w:val="03D41080"/>
    <w:rsid w:val="042711AF"/>
    <w:rsid w:val="04D010D8"/>
    <w:rsid w:val="051549F6"/>
    <w:rsid w:val="056874EA"/>
    <w:rsid w:val="05B9677F"/>
    <w:rsid w:val="06057329"/>
    <w:rsid w:val="061222BB"/>
    <w:rsid w:val="06293905"/>
    <w:rsid w:val="06911F79"/>
    <w:rsid w:val="06AE5BB8"/>
    <w:rsid w:val="070457D8"/>
    <w:rsid w:val="071C0C9F"/>
    <w:rsid w:val="082F0F7A"/>
    <w:rsid w:val="08904CC8"/>
    <w:rsid w:val="089657C0"/>
    <w:rsid w:val="08D672B4"/>
    <w:rsid w:val="0A014251"/>
    <w:rsid w:val="0A9E7CF1"/>
    <w:rsid w:val="0B1D330C"/>
    <w:rsid w:val="0B772A1C"/>
    <w:rsid w:val="0BA03EC3"/>
    <w:rsid w:val="0BA80E62"/>
    <w:rsid w:val="0BDC0057"/>
    <w:rsid w:val="0BE1258C"/>
    <w:rsid w:val="0BF910D7"/>
    <w:rsid w:val="0BF978D5"/>
    <w:rsid w:val="0C2B6078"/>
    <w:rsid w:val="0C564CAE"/>
    <w:rsid w:val="0C61547A"/>
    <w:rsid w:val="0C656B18"/>
    <w:rsid w:val="0D9773A6"/>
    <w:rsid w:val="0DE10621"/>
    <w:rsid w:val="0DEB76F2"/>
    <w:rsid w:val="0EDF7256"/>
    <w:rsid w:val="0F20395B"/>
    <w:rsid w:val="0F492922"/>
    <w:rsid w:val="0F824E23"/>
    <w:rsid w:val="0FB029A1"/>
    <w:rsid w:val="0FFE63BB"/>
    <w:rsid w:val="10702130"/>
    <w:rsid w:val="10AA5642"/>
    <w:rsid w:val="10E30B54"/>
    <w:rsid w:val="114E2471"/>
    <w:rsid w:val="11553800"/>
    <w:rsid w:val="11CB061D"/>
    <w:rsid w:val="11E15F7B"/>
    <w:rsid w:val="12105979"/>
    <w:rsid w:val="13051255"/>
    <w:rsid w:val="13B16CE7"/>
    <w:rsid w:val="13F00A79"/>
    <w:rsid w:val="14CD43E0"/>
    <w:rsid w:val="14DC3F17"/>
    <w:rsid w:val="155F6B97"/>
    <w:rsid w:val="15AD6E79"/>
    <w:rsid w:val="16134367"/>
    <w:rsid w:val="188B4B5A"/>
    <w:rsid w:val="18BB3E61"/>
    <w:rsid w:val="19AD3D96"/>
    <w:rsid w:val="19C84D8B"/>
    <w:rsid w:val="19CF4081"/>
    <w:rsid w:val="1A79352E"/>
    <w:rsid w:val="1AB40A7C"/>
    <w:rsid w:val="1CA7738D"/>
    <w:rsid w:val="1CF85987"/>
    <w:rsid w:val="1D2F2109"/>
    <w:rsid w:val="1DA653E3"/>
    <w:rsid w:val="1E8A5C6A"/>
    <w:rsid w:val="1F325180"/>
    <w:rsid w:val="1FA4111C"/>
    <w:rsid w:val="200E037A"/>
    <w:rsid w:val="20126D60"/>
    <w:rsid w:val="202645B9"/>
    <w:rsid w:val="204001A4"/>
    <w:rsid w:val="20566C4C"/>
    <w:rsid w:val="221C2913"/>
    <w:rsid w:val="2222756E"/>
    <w:rsid w:val="22A23EEC"/>
    <w:rsid w:val="22CD4BD8"/>
    <w:rsid w:val="22EB3D38"/>
    <w:rsid w:val="23243032"/>
    <w:rsid w:val="232B5C53"/>
    <w:rsid w:val="23860D94"/>
    <w:rsid w:val="238844DB"/>
    <w:rsid w:val="241F37F9"/>
    <w:rsid w:val="24247062"/>
    <w:rsid w:val="24A46895"/>
    <w:rsid w:val="272B1AF0"/>
    <w:rsid w:val="277D66B8"/>
    <w:rsid w:val="27A21C76"/>
    <w:rsid w:val="28011B94"/>
    <w:rsid w:val="282D2989"/>
    <w:rsid w:val="28EA6ACC"/>
    <w:rsid w:val="28FA23E3"/>
    <w:rsid w:val="293A1A3C"/>
    <w:rsid w:val="297C0BF7"/>
    <w:rsid w:val="2A151E03"/>
    <w:rsid w:val="2A4D1162"/>
    <w:rsid w:val="2ACF7D27"/>
    <w:rsid w:val="2B0D5945"/>
    <w:rsid w:val="2B75556B"/>
    <w:rsid w:val="2D152598"/>
    <w:rsid w:val="2D391C0B"/>
    <w:rsid w:val="2D4B565F"/>
    <w:rsid w:val="2DA404A0"/>
    <w:rsid w:val="2DE0224B"/>
    <w:rsid w:val="2E1F0FC6"/>
    <w:rsid w:val="2EC60DB5"/>
    <w:rsid w:val="2EE63891"/>
    <w:rsid w:val="2EF46AB6"/>
    <w:rsid w:val="2F1A5173"/>
    <w:rsid w:val="2F8D4788"/>
    <w:rsid w:val="309E61FE"/>
    <w:rsid w:val="312D39F9"/>
    <w:rsid w:val="314B3E80"/>
    <w:rsid w:val="315D40CA"/>
    <w:rsid w:val="31CC1D35"/>
    <w:rsid w:val="326441EE"/>
    <w:rsid w:val="32700042"/>
    <w:rsid w:val="33105381"/>
    <w:rsid w:val="33A878AA"/>
    <w:rsid w:val="35521C81"/>
    <w:rsid w:val="358405FC"/>
    <w:rsid w:val="35CE6E2D"/>
    <w:rsid w:val="36C22E36"/>
    <w:rsid w:val="36C721FA"/>
    <w:rsid w:val="37945201"/>
    <w:rsid w:val="37990820"/>
    <w:rsid w:val="38066D52"/>
    <w:rsid w:val="389A0351"/>
    <w:rsid w:val="390632B8"/>
    <w:rsid w:val="39263E5A"/>
    <w:rsid w:val="39BF2D7E"/>
    <w:rsid w:val="3AFE0B89"/>
    <w:rsid w:val="3C184D03"/>
    <w:rsid w:val="3CFC24D2"/>
    <w:rsid w:val="3D79652E"/>
    <w:rsid w:val="3FAE3F57"/>
    <w:rsid w:val="3FDD2A8F"/>
    <w:rsid w:val="4093139F"/>
    <w:rsid w:val="40E14D98"/>
    <w:rsid w:val="41374CEB"/>
    <w:rsid w:val="41F90668"/>
    <w:rsid w:val="420D3ABB"/>
    <w:rsid w:val="42786A9F"/>
    <w:rsid w:val="44B51409"/>
    <w:rsid w:val="459260C9"/>
    <w:rsid w:val="466B2BE9"/>
    <w:rsid w:val="467D7301"/>
    <w:rsid w:val="469D7909"/>
    <w:rsid w:val="46DA3884"/>
    <w:rsid w:val="46E025D7"/>
    <w:rsid w:val="473C746D"/>
    <w:rsid w:val="48400B70"/>
    <w:rsid w:val="48601071"/>
    <w:rsid w:val="48804E48"/>
    <w:rsid w:val="48996B7E"/>
    <w:rsid w:val="48CD3FB0"/>
    <w:rsid w:val="493279A7"/>
    <w:rsid w:val="4A405FF1"/>
    <w:rsid w:val="4A5B4CDC"/>
    <w:rsid w:val="4C5A40B7"/>
    <w:rsid w:val="4C8A18A8"/>
    <w:rsid w:val="4CE2191D"/>
    <w:rsid w:val="4D587BF8"/>
    <w:rsid w:val="4D6A5A8F"/>
    <w:rsid w:val="4D6E5EBA"/>
    <w:rsid w:val="4DB973F3"/>
    <w:rsid w:val="4E465CA3"/>
    <w:rsid w:val="4E4F1A54"/>
    <w:rsid w:val="4E677843"/>
    <w:rsid w:val="4EC866B8"/>
    <w:rsid w:val="4ECA68D4"/>
    <w:rsid w:val="4F365D17"/>
    <w:rsid w:val="4F511ADF"/>
    <w:rsid w:val="4F651826"/>
    <w:rsid w:val="4F6939F7"/>
    <w:rsid w:val="4F9B0D6F"/>
    <w:rsid w:val="4FD6251D"/>
    <w:rsid w:val="4FFF700F"/>
    <w:rsid w:val="509B0528"/>
    <w:rsid w:val="50FC3CD2"/>
    <w:rsid w:val="50FE2865"/>
    <w:rsid w:val="51510BE7"/>
    <w:rsid w:val="51516E38"/>
    <w:rsid w:val="516225BC"/>
    <w:rsid w:val="51BD2EA8"/>
    <w:rsid w:val="52A7086E"/>
    <w:rsid w:val="535A65D0"/>
    <w:rsid w:val="5367649F"/>
    <w:rsid w:val="53746E0E"/>
    <w:rsid w:val="5388614D"/>
    <w:rsid w:val="545033D7"/>
    <w:rsid w:val="54A61249"/>
    <w:rsid w:val="54F441EC"/>
    <w:rsid w:val="5560619F"/>
    <w:rsid w:val="558D5467"/>
    <w:rsid w:val="55CC2D88"/>
    <w:rsid w:val="562724C3"/>
    <w:rsid w:val="56800A2A"/>
    <w:rsid w:val="568850AA"/>
    <w:rsid w:val="56EF1810"/>
    <w:rsid w:val="57000C1F"/>
    <w:rsid w:val="570B0A9C"/>
    <w:rsid w:val="574C6B31"/>
    <w:rsid w:val="579D5152"/>
    <w:rsid w:val="585F1609"/>
    <w:rsid w:val="5894304C"/>
    <w:rsid w:val="58FE44E5"/>
    <w:rsid w:val="598C2146"/>
    <w:rsid w:val="599E47FD"/>
    <w:rsid w:val="5A160C1F"/>
    <w:rsid w:val="5A9E4ED2"/>
    <w:rsid w:val="5AF26F96"/>
    <w:rsid w:val="5B5E13AB"/>
    <w:rsid w:val="5B7031EF"/>
    <w:rsid w:val="5B9D5EE5"/>
    <w:rsid w:val="5C0C22DA"/>
    <w:rsid w:val="5C71213D"/>
    <w:rsid w:val="5C82259C"/>
    <w:rsid w:val="5CC20F61"/>
    <w:rsid w:val="5CF54B1C"/>
    <w:rsid w:val="5D457B6B"/>
    <w:rsid w:val="5E6D7C61"/>
    <w:rsid w:val="5E9465B6"/>
    <w:rsid w:val="5F922AF6"/>
    <w:rsid w:val="5FE771E7"/>
    <w:rsid w:val="60B60A66"/>
    <w:rsid w:val="60C0325C"/>
    <w:rsid w:val="619E0D44"/>
    <w:rsid w:val="62047183"/>
    <w:rsid w:val="622C60A3"/>
    <w:rsid w:val="629D4331"/>
    <w:rsid w:val="62B92A90"/>
    <w:rsid w:val="633A597E"/>
    <w:rsid w:val="6356208C"/>
    <w:rsid w:val="63814678"/>
    <w:rsid w:val="63F645A3"/>
    <w:rsid w:val="64307DBF"/>
    <w:rsid w:val="64BA09D0"/>
    <w:rsid w:val="65854FFD"/>
    <w:rsid w:val="65C6174B"/>
    <w:rsid w:val="662F5543"/>
    <w:rsid w:val="66D5442C"/>
    <w:rsid w:val="66E96633"/>
    <w:rsid w:val="670016B2"/>
    <w:rsid w:val="692755D1"/>
    <w:rsid w:val="69456E2B"/>
    <w:rsid w:val="699833FF"/>
    <w:rsid w:val="69EE74C3"/>
    <w:rsid w:val="6A2A79CD"/>
    <w:rsid w:val="6A871E10"/>
    <w:rsid w:val="6ADE12E5"/>
    <w:rsid w:val="6B156AD8"/>
    <w:rsid w:val="6B4D0219"/>
    <w:rsid w:val="6B680BAF"/>
    <w:rsid w:val="6BF5137B"/>
    <w:rsid w:val="6BFE24D8"/>
    <w:rsid w:val="6D333FB2"/>
    <w:rsid w:val="6D3B4249"/>
    <w:rsid w:val="6DCF4F15"/>
    <w:rsid w:val="6DF42BCE"/>
    <w:rsid w:val="6EB810C0"/>
    <w:rsid w:val="6F1F1ECC"/>
    <w:rsid w:val="70D551FE"/>
    <w:rsid w:val="71241A1C"/>
    <w:rsid w:val="716A133C"/>
    <w:rsid w:val="723D034E"/>
    <w:rsid w:val="72445DBC"/>
    <w:rsid w:val="72D354A8"/>
    <w:rsid w:val="73360F28"/>
    <w:rsid w:val="73C15B38"/>
    <w:rsid w:val="73E231EF"/>
    <w:rsid w:val="744A04CD"/>
    <w:rsid w:val="756D3991"/>
    <w:rsid w:val="758B206A"/>
    <w:rsid w:val="75B728C7"/>
    <w:rsid w:val="76176D55"/>
    <w:rsid w:val="76B24152"/>
    <w:rsid w:val="76F265FD"/>
    <w:rsid w:val="7730111A"/>
    <w:rsid w:val="7734364B"/>
    <w:rsid w:val="794E3ADA"/>
    <w:rsid w:val="79EB4101"/>
    <w:rsid w:val="7ACF29F8"/>
    <w:rsid w:val="7B8437E3"/>
    <w:rsid w:val="7C372603"/>
    <w:rsid w:val="7C4411C4"/>
    <w:rsid w:val="7D1F1BC6"/>
    <w:rsid w:val="7D456E75"/>
    <w:rsid w:val="7DFF35F5"/>
    <w:rsid w:val="7E0C5E9E"/>
    <w:rsid w:val="7ED072F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5">
    <w:name w:val="heading 2"/>
    <w:basedOn w:val="1"/>
    <w:next w:val="1"/>
    <w:link w:val="16"/>
    <w:qFormat/>
    <w:uiPriority w:val="99"/>
    <w:pPr>
      <w:keepNext/>
      <w:keepLines/>
      <w:spacing w:before="260" w:after="260" w:line="416" w:lineRule="auto"/>
      <w:outlineLvl w:val="1"/>
    </w:pPr>
    <w:rPr>
      <w:rFonts w:ascii="Cambria" w:hAnsi="Cambria" w:cs="Cambria"/>
      <w:b/>
      <w:bCs/>
      <w:sz w:val="32"/>
      <w:szCs w:val="32"/>
    </w:rPr>
  </w:style>
  <w:style w:type="paragraph" w:styleId="6">
    <w:name w:val="heading 4"/>
    <w:basedOn w:val="1"/>
    <w:next w:val="1"/>
    <w:link w:val="24"/>
    <w:qFormat/>
    <w:uiPriority w:val="99"/>
    <w:pPr>
      <w:keepNext/>
      <w:keepLines/>
      <w:spacing w:before="280" w:after="290" w:line="376" w:lineRule="auto"/>
      <w:outlineLvl w:val="3"/>
    </w:pPr>
    <w:rPr>
      <w:rFonts w:ascii="Arial" w:hAnsi="Arial" w:eastAsia="黑体" w:cs="Arial"/>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line="360" w:lineRule="auto"/>
    </w:pPr>
    <w:rPr>
      <w:rFonts w:ascii="Times New Roman" w:hAnsi="Times New Roman" w:cs="Times New Roman"/>
      <w:szCs w:val="24"/>
    </w:rPr>
  </w:style>
  <w:style w:type="paragraph" w:styleId="3">
    <w:name w:val="Title"/>
    <w:basedOn w:val="1"/>
    <w:qFormat/>
    <w:locked/>
    <w:uiPriority w:val="0"/>
    <w:pPr>
      <w:adjustRightInd w:val="0"/>
      <w:spacing w:before="240" w:beforeLines="0" w:after="60" w:afterLines="0" w:line="420" w:lineRule="atLeast"/>
      <w:jc w:val="center"/>
      <w:outlineLvl w:val="0"/>
    </w:pPr>
    <w:rPr>
      <w:rFonts w:ascii="Arial" w:hAnsi="Arial"/>
      <w:b/>
      <w:kern w:val="0"/>
      <w:sz w:val="32"/>
    </w:rPr>
  </w:style>
  <w:style w:type="paragraph" w:styleId="7">
    <w:name w:val="Normal Indent"/>
    <w:basedOn w:val="1"/>
    <w:qFormat/>
    <w:uiPriority w:val="99"/>
    <w:pPr>
      <w:numPr>
        <w:ilvl w:val="1"/>
        <w:numId w:val="2"/>
      </w:numPr>
      <w:ind w:left="0" w:firstLine="420" w:firstLineChars="200"/>
    </w:pPr>
  </w:style>
  <w:style w:type="paragraph" w:styleId="8">
    <w:name w:val="Plain Text"/>
    <w:basedOn w:val="1"/>
    <w:unhideWhenUsed/>
    <w:qFormat/>
    <w:uiPriority w:val="99"/>
    <w:rPr>
      <w:rFonts w:ascii="宋体" w:hAnsi="Courier New"/>
    </w:rPr>
  </w:style>
  <w:style w:type="paragraph" w:styleId="9">
    <w:name w:val="Date"/>
    <w:basedOn w:val="1"/>
    <w:next w:val="1"/>
    <w:link w:val="21"/>
    <w:qFormat/>
    <w:uiPriority w:val="99"/>
    <w:pPr>
      <w:numPr>
        <w:ilvl w:val="3"/>
        <w:numId w:val="2"/>
      </w:numPr>
      <w:tabs>
        <w:tab w:val="clear" w:pos="0"/>
      </w:tabs>
      <w:ind w:left="100" w:leftChars="2500"/>
    </w:pPr>
  </w:style>
  <w:style w:type="paragraph" w:styleId="10">
    <w:name w:val="footer"/>
    <w:basedOn w:val="1"/>
    <w:link w:val="19"/>
    <w:semiHidden/>
    <w:qFormat/>
    <w:uiPriority w:val="99"/>
    <w:pPr>
      <w:tabs>
        <w:tab w:val="center" w:pos="4153"/>
        <w:tab w:val="right" w:pos="8306"/>
      </w:tabs>
      <w:snapToGrid w:val="0"/>
      <w:jc w:val="left"/>
    </w:pPr>
    <w:rPr>
      <w:sz w:val="18"/>
      <w:szCs w:val="18"/>
    </w:rPr>
  </w:style>
  <w:style w:type="paragraph" w:styleId="11">
    <w:name w:val="header"/>
    <w:basedOn w:val="1"/>
    <w:link w:val="18"/>
    <w:semiHidden/>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000FF"/>
      <w:u w:val="single"/>
    </w:rPr>
  </w:style>
  <w:style w:type="character" w:customStyle="1" w:styleId="16">
    <w:name w:val="标题 2 字符"/>
    <w:basedOn w:val="14"/>
    <w:link w:val="5"/>
    <w:semiHidden/>
    <w:qFormat/>
    <w:locked/>
    <w:uiPriority w:val="99"/>
    <w:rPr>
      <w:rFonts w:ascii="Cambria" w:hAnsi="Cambria" w:eastAsia="宋体" w:cs="Cambria"/>
      <w:b/>
      <w:bCs/>
      <w:sz w:val="32"/>
      <w:szCs w:val="32"/>
    </w:rPr>
  </w:style>
  <w:style w:type="character" w:customStyle="1" w:styleId="17">
    <w:name w:val="Heading 4 Char"/>
    <w:basedOn w:val="14"/>
    <w:qFormat/>
    <w:locked/>
    <w:uiPriority w:val="99"/>
    <w:rPr>
      <w:rFonts w:ascii="Arial" w:hAnsi="Arial" w:eastAsia="黑体" w:cs="Arial"/>
      <w:b/>
      <w:bCs/>
      <w:kern w:val="2"/>
      <w:sz w:val="28"/>
      <w:szCs w:val="28"/>
      <w:lang w:val="en-US" w:eastAsia="zh-CN"/>
    </w:rPr>
  </w:style>
  <w:style w:type="character" w:customStyle="1" w:styleId="18">
    <w:name w:val="页眉 字符"/>
    <w:basedOn w:val="14"/>
    <w:link w:val="11"/>
    <w:semiHidden/>
    <w:qFormat/>
    <w:locked/>
    <w:uiPriority w:val="99"/>
    <w:rPr>
      <w:rFonts w:ascii="Times New Roman" w:hAnsi="Times New Roman" w:eastAsia="宋体" w:cs="Times New Roman"/>
      <w:sz w:val="18"/>
      <w:szCs w:val="18"/>
    </w:rPr>
  </w:style>
  <w:style w:type="character" w:customStyle="1" w:styleId="19">
    <w:name w:val="页脚 字符"/>
    <w:basedOn w:val="14"/>
    <w:link w:val="10"/>
    <w:semiHidden/>
    <w:qFormat/>
    <w:locked/>
    <w:uiPriority w:val="99"/>
    <w:rPr>
      <w:rFonts w:ascii="Times New Roman" w:hAnsi="Times New Roman" w:eastAsia="宋体" w:cs="Times New Roman"/>
      <w:sz w:val="18"/>
      <w:szCs w:val="18"/>
    </w:rPr>
  </w:style>
  <w:style w:type="paragraph" w:customStyle="1" w:styleId="20">
    <w:name w:val="Char"/>
    <w:basedOn w:val="1"/>
    <w:qFormat/>
    <w:uiPriority w:val="99"/>
    <w:pPr>
      <w:spacing w:line="400" w:lineRule="exact"/>
    </w:pPr>
    <w:rPr>
      <w:rFonts w:ascii="Tahoma" w:hAnsi="Tahoma" w:cs="Tahoma"/>
      <w:sz w:val="24"/>
      <w:szCs w:val="24"/>
    </w:rPr>
  </w:style>
  <w:style w:type="character" w:customStyle="1" w:styleId="21">
    <w:name w:val="日期 字符"/>
    <w:basedOn w:val="14"/>
    <w:link w:val="9"/>
    <w:qFormat/>
    <w:locked/>
    <w:uiPriority w:val="99"/>
    <w:rPr>
      <w:rFonts w:ascii="Times New Roman" w:hAnsi="Times New Roman" w:eastAsia="宋体" w:cs="Times New Roman"/>
      <w:sz w:val="24"/>
      <w:szCs w:val="24"/>
    </w:rPr>
  </w:style>
  <w:style w:type="paragraph" w:customStyle="1" w:styleId="22">
    <w:name w:val="列表段落1"/>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3">
    <w:name w:val="标题02"/>
    <w:basedOn w:val="5"/>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4">
    <w:name w:val="标题 4 字符"/>
    <w:basedOn w:val="14"/>
    <w:link w:val="6"/>
    <w:semiHidden/>
    <w:qFormat/>
    <w:locked/>
    <w:uiPriority w:val="99"/>
    <w:rPr>
      <w:rFonts w:ascii="Cambria" w:hAnsi="Cambria" w:eastAsia="宋体" w:cs="Cambria"/>
      <w:b/>
      <w:bCs/>
      <w:sz w:val="28"/>
      <w:szCs w:val="28"/>
    </w:rPr>
  </w:style>
  <w:style w:type="paragraph" w:customStyle="1" w:styleId="25">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styleId="2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5</Pages>
  <Words>204</Words>
  <Characters>222</Characters>
  <Lines>6</Lines>
  <Paragraphs>1</Paragraphs>
  <TotalTime>5</TotalTime>
  <ScaleCrop>false</ScaleCrop>
  <LinksUpToDate>false</LinksUpToDate>
  <CharactersWithSpaces>256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2023-07-26T02:56:00Z</dcterms:created>
  <dc:creator>周莎</dc:creator>
  <cp:lastModifiedBy>李浪波</cp:lastModifiedBy>
  <dcterms:modified xsi:type="dcterms:W3CDTF">2026-03-05T13:26:46Z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6ACEE4008AD54CCDADA0B2DBC9A3CCBE_13</vt:lpwstr>
  </property>
  <property fmtid="{D5CDD505-2E9C-101B-9397-08002B2CF9AE}" pid="4" name="KSOTemplateDocerSaveRecord">
    <vt:lpwstr>eyJoZGlkIjoiZjQ5M2IxZTRmOTY1YmRkOTRkMWIyOGI0ZDU1MjBiYTQiLCJ1c2VySWQiOiIzNjMxODc2NzQifQ==</vt:lpwstr>
  </property>
</Properties>
</file>