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1.0 -->
  <w:body>
    <w:p>
      <w:pPr>
        <w:spacing w:line="240" w:lineRule="auto"/>
        <w:ind w:firstLine="0" w:firstLineChars="0"/>
        <w:jc w:val="center"/>
        <w:rPr>
          <w:rFonts w:ascii="黑体" w:eastAsia="黑体" w:hAnsi="黑体" w:hint="default"/>
          <w:sz w:val="24"/>
          <w:szCs w:val="32"/>
          <w:lang w:val="en-US" w:eastAsia="zh-CN"/>
        </w:rPr>
      </w:pPr>
      <w:r>
        <w:rPr>
          <w:rFonts w:ascii="黑体" w:eastAsia="黑体" w:hAnsi="黑体" w:hint="eastAsia"/>
          <w:sz w:val="24"/>
          <w:szCs w:val="32"/>
          <w:lang w:val="en-US" w:eastAsia="zh-CN"/>
        </w:rPr>
        <w:t>附录A-1</w:t>
      </w:r>
      <w:bookmarkStart w:id="0" w:name="_GoBack"/>
      <w:bookmarkEnd w:id="0"/>
    </w:p>
    <w:p>
      <w:pPr>
        <w:spacing w:line="240" w:lineRule="auto"/>
        <w:ind w:firstLine="0" w:firstLineChars="0"/>
        <w:jc w:val="center"/>
        <w:rPr>
          <w:rFonts w:ascii="黑体" w:eastAsia="黑体" w:hAnsi="黑体" w:hint="eastAsia"/>
          <w:sz w:val="24"/>
          <w:szCs w:val="32"/>
          <w:lang w:val="en-US" w:eastAsia="zh-CN"/>
        </w:rPr>
      </w:pPr>
      <w:r>
        <w:rPr>
          <w:rFonts w:ascii="黑体" w:eastAsia="黑体" w:hAnsi="黑体" w:hint="eastAsia"/>
          <w:sz w:val="24"/>
          <w:szCs w:val="32"/>
          <w:lang w:val="en-US" w:eastAsia="zh-CN"/>
        </w:rPr>
        <w:t>（资料性附录）</w:t>
      </w:r>
    </w:p>
    <w:p>
      <w:pPr>
        <w:spacing w:beforeLines="0" w:afterLines="0" w:line="579" w:lineRule="exact"/>
        <w:ind w:firstLine="0" w:firstLineChars="0"/>
        <w:jc w:val="left"/>
        <w:rPr>
          <w:rFonts w:ascii="宋体" w:eastAsia="宋体" w:hAnsi="宋体" w:cs="宋体" w:hint="eastAsia"/>
          <w:b/>
          <w:sz w:val="28"/>
          <w:szCs w:val="28"/>
        </w:rPr>
      </w:pPr>
      <w:r>
        <w:rPr>
          <w:rFonts w:ascii="宋体" w:eastAsia="宋体" w:hAnsi="宋体" w:cs="宋体" w:hint="eastAsia"/>
          <w:b/>
          <w:sz w:val="28"/>
          <w:szCs w:val="28"/>
        </w:rPr>
        <w:t>对应合同编号：</w:t>
      </w:r>
    </w:p>
    <w:p/>
    <w:p>
      <w:pPr>
        <w:autoSpaceDE w:val="0"/>
        <w:autoSpaceDN w:val="0"/>
        <w:adjustRightInd w:val="0"/>
        <w:spacing w:after="312" w:afterLines="100" w:line="360" w:lineRule="auto"/>
        <w:jc w:val="center"/>
        <w:rPr>
          <w:rFonts w:ascii="宋体" w:hAnsi="宋体"/>
          <w:b/>
          <w:bCs/>
          <w:kern w:val="0"/>
          <w:sz w:val="36"/>
          <w:szCs w:val="36"/>
        </w:rPr>
      </w:pPr>
      <w:r>
        <w:rPr>
          <w:rFonts w:ascii="宋体" w:hAnsi="宋体" w:hint="eastAsia"/>
          <w:b/>
          <w:bCs/>
          <w:kern w:val="0"/>
          <w:sz w:val="36"/>
          <w:szCs w:val="36"/>
        </w:rPr>
        <w:t>承包商安全协议（模板）</w:t>
      </w:r>
    </w:p>
    <w:p>
      <w:pPr>
        <w:spacing w:line="470" w:lineRule="exact"/>
        <w:ind w:firstLine="480" w:firstLineChars="200"/>
        <w:rPr>
          <w:sz w:val="24"/>
        </w:rPr>
      </w:pPr>
      <w:r>
        <w:rPr>
          <w:rFonts w:hint="eastAsia"/>
          <w:sz w:val="24"/>
        </w:rPr>
        <w:t>项目名称：</w:t>
      </w:r>
    </w:p>
    <w:p>
      <w:pPr>
        <w:spacing w:line="470" w:lineRule="exact"/>
        <w:ind w:firstLine="480" w:firstLineChars="200"/>
        <w:rPr>
          <w:sz w:val="24"/>
        </w:rPr>
      </w:pPr>
      <w:r>
        <w:rPr>
          <w:rFonts w:hint="eastAsia"/>
          <w:sz w:val="24"/>
        </w:rPr>
        <w:t>甲方：</w:t>
      </w:r>
    </w:p>
    <w:p>
      <w:pPr>
        <w:spacing w:line="470" w:lineRule="exact"/>
        <w:ind w:firstLine="480" w:firstLineChars="200"/>
        <w:rPr>
          <w:sz w:val="24"/>
        </w:rPr>
      </w:pPr>
      <w:r>
        <w:rPr>
          <w:rFonts w:hint="eastAsia"/>
          <w:sz w:val="24"/>
        </w:rPr>
        <w:t>乙方：</w:t>
      </w:r>
    </w:p>
    <w:p>
      <w:pPr>
        <w:spacing w:line="470" w:lineRule="exact"/>
        <w:ind w:firstLine="480" w:firstLineChars="200"/>
        <w:rPr>
          <w:sz w:val="24"/>
        </w:rPr>
      </w:pPr>
      <w:r>
        <w:rPr>
          <w:rFonts w:hint="eastAsia"/>
          <w:sz w:val="24"/>
        </w:rPr>
        <w:t>为进一步明确双方的安全管理责任，确保施工中人身、设备的安全，根据《中华人民共和国安全生产法》《建设工程安全生产管理条例》</w:t>
      </w:r>
      <w:r>
        <w:rPr>
          <w:rFonts w:hint="eastAsia"/>
          <w:sz w:val="24"/>
          <w:lang w:val="en-US" w:eastAsia="zh-CN"/>
        </w:rPr>
        <w:t>和《中国南方电网有限责任公司承包商管理业务指导书》</w:t>
      </w:r>
      <w:r>
        <w:rPr>
          <w:rFonts w:hint="eastAsia"/>
          <w:sz w:val="24"/>
        </w:rPr>
        <w:t>及有关政策的相关规定，按照“安全第一、预防为主、综合治理”的方针，经甲乙双方协商同意并达成如下协议，本协议作为合同的附件，具有同等的法律效力。</w:t>
      </w:r>
    </w:p>
    <w:p>
      <w:pPr>
        <w:spacing w:line="470" w:lineRule="exact"/>
        <w:ind w:firstLine="480" w:firstLineChars="200"/>
        <w:rPr>
          <w:b/>
          <w:sz w:val="24"/>
        </w:rPr>
      </w:pPr>
      <w:r>
        <w:rPr>
          <w:rFonts w:hint="eastAsia"/>
          <w:b/>
          <w:sz w:val="24"/>
        </w:rPr>
        <w:t>第一条甲方安全责任</w:t>
      </w:r>
    </w:p>
    <w:p>
      <w:pPr>
        <w:spacing w:line="470" w:lineRule="exact"/>
        <w:ind w:firstLine="480" w:firstLineChars="200"/>
        <w:rPr>
          <w:sz w:val="24"/>
        </w:rPr>
      </w:pPr>
      <w:r>
        <w:rPr>
          <w:rFonts w:hint="eastAsia"/>
          <w:sz w:val="24"/>
        </w:rPr>
        <w:t>1、甲方不得对乙方提出不符合安全生产法律、法规和强制性标准规定的要求。</w:t>
      </w:r>
    </w:p>
    <w:p>
      <w:pPr>
        <w:spacing w:line="470" w:lineRule="exact"/>
        <w:ind w:firstLine="480" w:firstLineChars="200"/>
        <w:rPr>
          <w:sz w:val="24"/>
        </w:rPr>
      </w:pPr>
      <w:r>
        <w:rPr>
          <w:rFonts w:hint="eastAsia"/>
          <w:sz w:val="24"/>
        </w:rPr>
        <w:t>2、甲方应按合同支付建设工程安全文明施工措施费用。</w:t>
      </w:r>
    </w:p>
    <w:p>
      <w:pPr>
        <w:spacing w:line="470" w:lineRule="exact"/>
        <w:ind w:firstLine="480" w:firstLineChars="200"/>
        <w:rPr>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pPr>
        <w:spacing w:line="470" w:lineRule="exact"/>
        <w:ind w:firstLine="480" w:firstLineChars="200"/>
        <w:rPr>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pPr>
        <w:spacing w:line="470" w:lineRule="exact"/>
        <w:ind w:firstLine="480" w:firstLineChars="200"/>
        <w:rPr>
          <w:sz w:val="24"/>
        </w:rPr>
      </w:pPr>
      <w:r>
        <w:rPr>
          <w:rFonts w:hint="eastAsia"/>
          <w:sz w:val="24"/>
        </w:rPr>
        <w:t>6、甲方在乙方进场前，应对乙方项目负责人、工程技术人员和安全管理人员等进行安全教育培训，考试合格方可进场。</w:t>
      </w:r>
    </w:p>
    <w:p>
      <w:pPr>
        <w:spacing w:line="470" w:lineRule="exact"/>
        <w:ind w:firstLine="480" w:firstLineChars="200"/>
        <w:rPr>
          <w:sz w:val="24"/>
        </w:rPr>
      </w:pPr>
      <w:r>
        <w:rPr>
          <w:rFonts w:hint="eastAsia"/>
          <w:sz w:val="24"/>
        </w:rPr>
        <w:t>7、负责施工合同中规定的由甲方承担的其他安全生产责任。</w:t>
      </w:r>
    </w:p>
    <w:p>
      <w:pPr>
        <w:spacing w:line="470" w:lineRule="exact"/>
        <w:ind w:firstLine="480" w:firstLineChars="200"/>
        <w:rPr>
          <w:b/>
          <w:sz w:val="24"/>
        </w:rPr>
      </w:pPr>
      <w:r>
        <w:rPr>
          <w:rFonts w:hint="eastAsia"/>
          <w:b/>
          <w:sz w:val="24"/>
        </w:rPr>
        <w:t>第二条乙方安全责任</w:t>
      </w:r>
    </w:p>
    <w:p>
      <w:pPr>
        <w:spacing w:line="470" w:lineRule="exact"/>
        <w:ind w:firstLine="480" w:firstLineChars="200"/>
        <w:rPr>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sz w:val="24"/>
        </w:rPr>
      </w:pPr>
      <w:r>
        <w:rPr>
          <w:rFonts w:hint="eastAsia"/>
          <w:sz w:val="24"/>
        </w:rPr>
        <w:t>2、工程实行乙方施工总承包的，由乙方对施工现场的安全生产负总责，乙方不能因为工程分包而转移其安全生产责任，除合同约定外，所有工程分包须经过甲方</w:t>
      </w:r>
      <w:r>
        <w:rPr>
          <w:rFonts w:hint="eastAsia"/>
          <w:sz w:val="24"/>
          <w:lang w:val="en-US" w:eastAsia="zh-CN"/>
        </w:rPr>
        <w:t>审批</w:t>
      </w:r>
      <w:r>
        <w:rPr>
          <w:rFonts w:hint="eastAsia"/>
          <w:sz w:val="24"/>
        </w:rPr>
        <w:t>同意。</w:t>
      </w:r>
    </w:p>
    <w:p>
      <w:pPr>
        <w:spacing w:line="470" w:lineRule="exact"/>
        <w:ind w:firstLine="480" w:firstLineChars="200"/>
        <w:rPr>
          <w:sz w:val="24"/>
        </w:rPr>
      </w:pPr>
      <w:r>
        <w:rPr>
          <w:rFonts w:hint="eastAsia"/>
          <w:sz w:val="24"/>
        </w:rPr>
        <w:t>3、乙方依法将工程分包给其他单位的，乙方应确保分包单位具备相应资质、施工人员满足工程需要，分包合同中应当明确各自安全生产方面的权利、义务和责任。</w:t>
      </w:r>
    </w:p>
    <w:p>
      <w:pPr>
        <w:spacing w:line="470" w:lineRule="exact"/>
        <w:ind w:firstLine="480" w:firstLineChars="200"/>
        <w:rPr>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pPr>
        <w:spacing w:line="470" w:lineRule="exact"/>
        <w:ind w:firstLine="480" w:firstLineChars="200"/>
        <w:rPr>
          <w:sz w:val="24"/>
        </w:rPr>
      </w:pPr>
      <w:r>
        <w:rPr>
          <w:rFonts w:hint="eastAsia"/>
          <w:sz w:val="24"/>
        </w:rPr>
        <w:t>5、乙方应当建立健全安全生产责任制，成立项目安全管理组织机构，制定各项安全生产规章制度和操作规程。</w:t>
      </w:r>
    </w:p>
    <w:p>
      <w:pPr>
        <w:spacing w:line="470" w:lineRule="exact"/>
        <w:ind w:firstLine="480" w:firstLineChars="200"/>
        <w:rPr>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pPr>
        <w:spacing w:line="470" w:lineRule="exact"/>
        <w:ind w:firstLine="480" w:firstLineChars="200"/>
        <w:rPr>
          <w:sz w:val="24"/>
        </w:rPr>
      </w:pPr>
      <w:r>
        <w:rPr>
          <w:rFonts w:hint="eastAsia"/>
          <w:sz w:val="24"/>
        </w:rPr>
        <w:t>7、乙方应当保证本单位安全生产条件所需资金的投入，对所承担的建设工程进行安全检查并做好记录。</w:t>
      </w:r>
    </w:p>
    <w:p>
      <w:pPr>
        <w:spacing w:line="470" w:lineRule="exact"/>
        <w:ind w:firstLine="480" w:firstLineChars="200"/>
        <w:rPr>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pPr>
        <w:spacing w:line="470" w:lineRule="exact"/>
        <w:ind w:firstLine="480" w:firstLineChars="200"/>
        <w:rPr>
          <w:sz w:val="24"/>
        </w:rPr>
      </w:pPr>
      <w:r>
        <w:rPr>
          <w:rFonts w:hint="eastAsia"/>
          <w:sz w:val="24"/>
        </w:rPr>
        <w:t>9、乙方对安全文明施工措施费用，应当按以下范围使用，不得挪作他用。</w:t>
      </w:r>
    </w:p>
    <w:p>
      <w:pPr>
        <w:spacing w:line="470" w:lineRule="exact"/>
        <w:ind w:firstLine="480" w:firstLineChars="200"/>
        <w:rPr>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r>
      <w:r>
        <w:rPr>
          <w:rFonts w:hint="eastAsia"/>
          <w:sz w:val="24"/>
        </w:rPr>
        <w:t>　　（2）配备、维护、保养应急救援器材、设备支出和应急演练支出；</w:t>
      </w:r>
      <w:r>
        <w:rPr>
          <w:rFonts w:hint="eastAsia"/>
          <w:sz w:val="24"/>
        </w:rPr>
        <w:br/>
      </w:r>
      <w:r>
        <w:rPr>
          <w:rFonts w:hint="eastAsia"/>
          <w:sz w:val="24"/>
        </w:rPr>
        <w:t>　　（3）开展重大危险源和事故隐患评估、监控和整改支出；</w:t>
      </w:r>
      <w:r>
        <w:rPr>
          <w:rFonts w:hint="eastAsia"/>
          <w:sz w:val="24"/>
        </w:rPr>
        <w:br/>
      </w:r>
      <w:r>
        <w:rPr>
          <w:rFonts w:hint="eastAsia"/>
          <w:sz w:val="24"/>
        </w:rPr>
        <w:t>　　（4）安全生产检查、评价（不包括新建、改建、扩建项目安全评价）、咨询和标准化建设支出；</w:t>
      </w:r>
      <w:r>
        <w:rPr>
          <w:rFonts w:hint="eastAsia"/>
          <w:sz w:val="24"/>
        </w:rPr>
        <w:br/>
      </w:r>
      <w:r>
        <w:rPr>
          <w:rFonts w:hint="eastAsia"/>
          <w:sz w:val="24"/>
        </w:rPr>
        <w:t>　　（5）配备和更新现场作业人员安全防护用品支出；</w:t>
      </w:r>
      <w:r>
        <w:rPr>
          <w:rFonts w:hint="eastAsia"/>
          <w:sz w:val="24"/>
        </w:rPr>
        <w:br/>
      </w:r>
      <w:r>
        <w:rPr>
          <w:rFonts w:hint="eastAsia"/>
          <w:sz w:val="24"/>
        </w:rPr>
        <w:t>　　（6）安全生产宣传、教育、培训支出；</w:t>
      </w:r>
      <w:r>
        <w:rPr>
          <w:rFonts w:hint="eastAsia"/>
          <w:sz w:val="24"/>
        </w:rPr>
        <w:br/>
      </w:r>
      <w:r>
        <w:rPr>
          <w:rFonts w:hint="eastAsia"/>
          <w:sz w:val="24"/>
        </w:rPr>
        <w:t>　　（7）安全生产适用的新技术、新标准、新工艺、新装备的推广应用支出；</w:t>
      </w:r>
      <w:r>
        <w:rPr>
          <w:rFonts w:hint="eastAsia"/>
          <w:sz w:val="24"/>
        </w:rPr>
        <w:br/>
      </w:r>
      <w:r>
        <w:rPr>
          <w:rFonts w:hint="eastAsia"/>
          <w:sz w:val="24"/>
        </w:rPr>
        <w:t>　　（8）安全设施及特种设备检测检验支出；</w:t>
      </w:r>
      <w:r>
        <w:rPr>
          <w:rFonts w:hint="eastAsia"/>
          <w:sz w:val="24"/>
        </w:rPr>
        <w:br/>
      </w:r>
      <w:r>
        <w:rPr>
          <w:rFonts w:hint="eastAsia"/>
          <w:sz w:val="24"/>
        </w:rPr>
        <w:t>　　（9）其他与安全生产直接相关的支出。</w:t>
      </w:r>
    </w:p>
    <w:p>
      <w:pPr>
        <w:spacing w:line="470" w:lineRule="exact"/>
        <w:ind w:firstLine="480" w:firstLineChars="200"/>
        <w:rPr>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pPr>
        <w:spacing w:line="470" w:lineRule="exact"/>
        <w:ind w:firstLine="480" w:firstLineChars="200"/>
        <w:rPr>
          <w:sz w:val="24"/>
        </w:rPr>
      </w:pPr>
      <w:r>
        <w:rPr>
          <w:rFonts w:hint="eastAsia"/>
          <w:sz w:val="24"/>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pPr>
        <w:spacing w:line="470" w:lineRule="exact"/>
        <w:ind w:firstLine="480" w:firstLineChars="200"/>
        <w:rPr>
          <w:sz w:val="24"/>
        </w:rPr>
      </w:pPr>
      <w:r>
        <w:rPr>
          <w:rFonts w:hint="eastAsia"/>
          <w:sz w:val="24"/>
        </w:rPr>
        <w:t>(1)  基坑支护工程；</w:t>
      </w:r>
    </w:p>
    <w:p>
      <w:pPr>
        <w:spacing w:line="470" w:lineRule="exact"/>
        <w:ind w:firstLine="480" w:firstLineChars="200"/>
        <w:rPr>
          <w:sz w:val="24"/>
        </w:rPr>
      </w:pPr>
      <w:r>
        <w:rPr>
          <w:rFonts w:hint="eastAsia"/>
          <w:sz w:val="24"/>
        </w:rPr>
        <w:t>(2)土石方开挖工程；</w:t>
      </w:r>
    </w:p>
    <w:p>
      <w:pPr>
        <w:spacing w:line="470" w:lineRule="exact"/>
        <w:ind w:firstLine="480" w:firstLineChars="200"/>
        <w:rPr>
          <w:sz w:val="24"/>
        </w:rPr>
      </w:pPr>
      <w:r>
        <w:rPr>
          <w:rFonts w:hint="eastAsia"/>
          <w:sz w:val="24"/>
        </w:rPr>
        <w:t>(3)模板工程；</w:t>
      </w:r>
    </w:p>
    <w:p>
      <w:pPr>
        <w:spacing w:line="470" w:lineRule="exact"/>
        <w:ind w:firstLine="480" w:firstLineChars="200"/>
        <w:rPr>
          <w:sz w:val="24"/>
        </w:rPr>
      </w:pPr>
      <w:r>
        <w:rPr>
          <w:rFonts w:hint="eastAsia"/>
          <w:sz w:val="24"/>
        </w:rPr>
        <w:t>(4)起重吊装工程；</w:t>
      </w:r>
    </w:p>
    <w:p>
      <w:pPr>
        <w:spacing w:line="470" w:lineRule="exact"/>
        <w:ind w:firstLine="480" w:firstLineChars="200"/>
        <w:rPr>
          <w:sz w:val="24"/>
        </w:rPr>
      </w:pPr>
      <w:r>
        <w:rPr>
          <w:rFonts w:hint="eastAsia"/>
          <w:sz w:val="24"/>
        </w:rPr>
        <w:t>(5)脚手架工程；</w:t>
      </w:r>
    </w:p>
    <w:p>
      <w:pPr>
        <w:spacing w:line="470" w:lineRule="exact"/>
        <w:ind w:firstLine="480" w:firstLineChars="200"/>
        <w:rPr>
          <w:sz w:val="24"/>
        </w:rPr>
      </w:pPr>
      <w:r>
        <w:rPr>
          <w:rFonts w:hint="eastAsia"/>
          <w:sz w:val="24"/>
        </w:rPr>
        <w:t>(6)其他危险性较大的工程。</w:t>
      </w:r>
    </w:p>
    <w:p>
      <w:pPr>
        <w:spacing w:line="470" w:lineRule="exact"/>
        <w:ind w:firstLine="480" w:firstLineChars="200"/>
        <w:rPr>
          <w:sz w:val="24"/>
        </w:rPr>
      </w:pPr>
      <w:r>
        <w:rPr>
          <w:rFonts w:hint="eastAsia"/>
          <w:sz w:val="24"/>
        </w:rPr>
        <w:t>对本款所列工程中涉及深基坑、地下开挖、高大模板等工程的专项施工方案，乙方还应当组织专家进行论证、审查。</w:t>
      </w:r>
    </w:p>
    <w:p>
      <w:pPr>
        <w:spacing w:line="470" w:lineRule="exact"/>
        <w:ind w:firstLine="480" w:firstLineChars="200"/>
        <w:rPr>
          <w:sz w:val="24"/>
        </w:rPr>
      </w:pPr>
      <w:r>
        <w:rPr>
          <w:rFonts w:hint="eastAsia"/>
          <w:sz w:val="24"/>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r>
        <w:rPr>
          <w:rFonts w:hint="eastAsia"/>
          <w:sz w:val="24"/>
          <w:highlight w:val="none"/>
          <w:lang w:eastAsia="zh-CN"/>
        </w:rPr>
        <w:t>，</w:t>
      </w:r>
      <w:r>
        <w:rPr>
          <w:rFonts w:hint="eastAsia"/>
          <w:sz w:val="24"/>
        </w:rPr>
        <w:t>人员出入现场精神状态检查。</w:t>
      </w:r>
    </w:p>
    <w:p>
      <w:pPr>
        <w:spacing w:line="470" w:lineRule="exact"/>
        <w:ind w:firstLine="480" w:firstLineChars="200"/>
        <w:rPr>
          <w:sz w:val="24"/>
        </w:rPr>
      </w:pPr>
      <w:r>
        <w:rPr>
          <w:rFonts w:hint="eastAsia"/>
          <w:sz w:val="24"/>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pPr>
        <w:spacing w:line="470" w:lineRule="exact"/>
        <w:ind w:firstLine="480" w:firstLineChars="200"/>
        <w:rPr>
          <w:sz w:val="24"/>
        </w:rPr>
      </w:pPr>
      <w:r>
        <w:rPr>
          <w:rFonts w:hint="eastAsia"/>
          <w:sz w:val="24"/>
        </w:rPr>
        <w:t>14、乙方应当根据不同施工阶段和周围环境及季节、气候的变化，在施工现场采取相应的安全施工措施。施工现场暂时停止施工的，乙方应当做好现场防护。</w:t>
      </w:r>
    </w:p>
    <w:p>
      <w:pPr>
        <w:spacing w:line="470" w:lineRule="exact"/>
        <w:ind w:firstLine="480" w:firstLineChars="200"/>
        <w:rPr>
          <w:sz w:val="24"/>
        </w:rPr>
      </w:pPr>
      <w:r>
        <w:rPr>
          <w:rFonts w:hint="eastAsia"/>
          <w:sz w:val="24"/>
        </w:rPr>
        <w:t>15、乙方对施工现场危险物品的管理和使用，必须严格执行国家相关法律法规，并落实安全可靠的防范措施，确保施工现场安全使用。</w:t>
      </w:r>
    </w:p>
    <w:p>
      <w:pPr>
        <w:spacing w:line="470" w:lineRule="exact"/>
        <w:ind w:firstLine="480" w:firstLineChars="200"/>
        <w:rPr>
          <w:sz w:val="24"/>
        </w:rPr>
      </w:pPr>
      <w:r>
        <w:rPr>
          <w:rFonts w:hint="eastAsia"/>
          <w:sz w:val="24"/>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pPr>
        <w:spacing w:line="470" w:lineRule="exact"/>
        <w:ind w:firstLine="480" w:firstLineChars="200"/>
        <w:rPr>
          <w:sz w:val="24"/>
        </w:rPr>
      </w:pPr>
      <w:r>
        <w:rPr>
          <w:rFonts w:hint="eastAsia"/>
          <w:sz w:val="24"/>
        </w:rPr>
        <w:t>17、乙方对因施工可能造成损害的毗邻建筑物、构筑物和地下管线等，应当采取专项防护措施。</w:t>
      </w:r>
    </w:p>
    <w:p>
      <w:pPr>
        <w:spacing w:line="470" w:lineRule="exact"/>
        <w:ind w:firstLine="480" w:firstLineChars="200"/>
        <w:rPr>
          <w:sz w:val="24"/>
        </w:rPr>
      </w:pPr>
      <w:r>
        <w:rPr>
          <w:rFonts w:hint="eastAsia"/>
          <w:sz w:val="24"/>
        </w:rPr>
        <w:t>18、乙方应当遵守有关环境保护法律、法规的规定，在施工现场采取措施，防止或者减少粉尘、废气、废水、固体废物、噪声、振动和施工照明对人和环境的危害和污染。</w:t>
      </w:r>
    </w:p>
    <w:p>
      <w:pPr>
        <w:spacing w:line="470" w:lineRule="exact"/>
        <w:ind w:firstLine="480" w:firstLineChars="200"/>
        <w:rPr>
          <w:sz w:val="24"/>
        </w:rPr>
      </w:pPr>
      <w:r>
        <w:rPr>
          <w:rFonts w:hint="eastAsia"/>
          <w:sz w:val="24"/>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pPr>
        <w:spacing w:line="470" w:lineRule="exact"/>
        <w:ind w:firstLine="480" w:firstLineChars="200"/>
        <w:rPr>
          <w:rFonts w:hint="eastAsia"/>
          <w:sz w:val="24"/>
        </w:rPr>
      </w:pPr>
      <w:r>
        <w:rPr>
          <w:rFonts w:hint="eastAsia"/>
          <w:sz w:val="24"/>
        </w:rPr>
        <w:t>20、乙方应当向作业人员提供合格的安全防护用品，并书面告知危险岗位的操作规程和违章操作的危害。乙方应监督作业人员遵守安全施工的强制性标准、规章制度和操作规程，正确使用安全防护用具。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lang w:eastAsia="zh-CN"/>
        </w:rPr>
      </w:pPr>
      <w:r>
        <w:rPr>
          <w:rFonts w:hint="eastAsia"/>
          <w:sz w:val="24"/>
        </w:rPr>
        <w:t>21、乙方应</w:t>
      </w:r>
      <w:r>
        <w:rPr>
          <w:rFonts w:hint="eastAsia"/>
          <w:sz w:val="24"/>
          <w:lang w:eastAsia="zh-CN"/>
        </w:rPr>
        <w:t>为</w:t>
      </w:r>
      <w:r>
        <w:rPr>
          <w:rFonts w:hint="eastAsia"/>
          <w:sz w:val="24"/>
        </w:rPr>
        <w:t>作业人员</w:t>
      </w:r>
      <w:r>
        <w:rPr>
          <w:rFonts w:hint="eastAsia"/>
          <w:sz w:val="24"/>
          <w:lang w:eastAsia="zh-CN"/>
        </w:rPr>
        <w:t>购买意外伤害保险。</w:t>
      </w:r>
    </w:p>
    <w:p>
      <w:pPr>
        <w:spacing w:line="470" w:lineRule="exact"/>
        <w:ind w:firstLine="480" w:firstLineChars="200"/>
        <w:rPr>
          <w:rFonts w:hint="eastAsia"/>
          <w:sz w:val="24"/>
        </w:rPr>
      </w:pPr>
      <w:r>
        <w:rPr>
          <w:rFonts w:hint="eastAsia"/>
          <w:sz w:val="24"/>
          <w:lang w:val="en-US" w:eastAsia="zh-CN"/>
        </w:rPr>
        <w:t>22、</w:t>
      </w:r>
      <w:r>
        <w:rPr>
          <w:rFonts w:hint="eastAsia"/>
          <w:sz w:val="24"/>
        </w:rPr>
        <w:t>乙方应</w:t>
      </w:r>
      <w:r>
        <w:rPr>
          <w:rFonts w:hint="eastAsia"/>
          <w:sz w:val="24"/>
          <w:lang w:eastAsia="zh-CN"/>
        </w:rPr>
        <w:t>与</w:t>
      </w:r>
      <w:r>
        <w:rPr>
          <w:rFonts w:hint="eastAsia"/>
          <w:sz w:val="24"/>
        </w:rPr>
        <w:t>作业</w:t>
      </w:r>
      <w:r>
        <w:rPr>
          <w:rFonts w:hint="eastAsia"/>
          <w:sz w:val="24"/>
          <w:lang w:eastAsia="zh-CN"/>
        </w:rPr>
        <w:t>人员签订</w:t>
      </w:r>
      <w:r>
        <w:rPr>
          <w:rFonts w:hint="eastAsia"/>
          <w:b w:val="0"/>
          <w:sz w:val="24"/>
          <w:szCs w:val="24"/>
        </w:rPr>
        <w:t>用工</w:t>
      </w:r>
      <w:r>
        <w:rPr>
          <w:rFonts w:ascii="Times New Roman" w:eastAsia="宋体" w:hAnsi="Times New Roman" w:cs="Times New Roman" w:hint="eastAsia"/>
          <w:b w:val="0"/>
          <w:sz w:val="24"/>
          <w:szCs w:val="24"/>
          <w:shd w:val="clear" w:color="auto" w:fill="auto"/>
          <w:lang w:val="zh-CN"/>
        </w:rPr>
        <w:t>协议</w:t>
      </w:r>
      <w:r>
        <w:rPr>
          <w:rFonts w:hint="eastAsia"/>
          <w:sz w:val="24"/>
          <w:lang w:eastAsia="zh-CN"/>
        </w:rPr>
        <w:t>或合同。</w:t>
      </w:r>
    </w:p>
    <w:p>
      <w:pPr>
        <w:spacing w:line="470" w:lineRule="exact"/>
        <w:ind w:firstLine="480" w:firstLineChars="200"/>
        <w:rPr>
          <w:sz w:val="24"/>
        </w:rPr>
      </w:pPr>
      <w:r>
        <w:rPr>
          <w:rFonts w:hint="eastAsia"/>
          <w:sz w:val="24"/>
        </w:rPr>
        <w:t>2</w:t>
      </w:r>
      <w:r>
        <w:rPr>
          <w:rFonts w:hint="eastAsia"/>
          <w:sz w:val="24"/>
          <w:lang w:val="en-US" w:eastAsia="zh-CN"/>
        </w:rPr>
        <w:t>3</w:t>
      </w:r>
      <w:r>
        <w:rPr>
          <w:rFonts w:hint="eastAsia"/>
          <w:sz w:val="24"/>
        </w:rPr>
        <w:t>、施工现场的安全防护用品必须由专人管理，定期进行检查、维修和保养，建立相应的管理台账，并按照国家有关规定及时报废。</w:t>
      </w:r>
    </w:p>
    <w:p>
      <w:pPr>
        <w:spacing w:line="470" w:lineRule="exact"/>
        <w:ind w:firstLine="480" w:firstLineChars="200"/>
        <w:rPr>
          <w:sz w:val="24"/>
        </w:rPr>
      </w:pPr>
      <w:r>
        <w:rPr>
          <w:rFonts w:hint="eastAsia"/>
          <w:sz w:val="24"/>
        </w:rPr>
        <w:t>2</w:t>
      </w:r>
      <w:r>
        <w:rPr>
          <w:rFonts w:hint="eastAsia"/>
          <w:sz w:val="24"/>
          <w:lang w:val="en-US" w:eastAsia="zh-CN"/>
        </w:rPr>
        <w:t>4</w:t>
      </w:r>
      <w:r>
        <w:rPr>
          <w:rFonts w:hint="eastAsia"/>
          <w:sz w:val="24"/>
        </w:rPr>
        <w:t>、乙方项目负责人、安全管理负责人、专（兼）职安全生产管理人员应当经建设行政主管部门或者其他有关部门考核合格，还需通过甲方的安全教育培训考试合格。以上人员若需变动，应经过甲方批准同意。</w:t>
      </w:r>
    </w:p>
    <w:p>
      <w:pPr>
        <w:spacing w:line="470" w:lineRule="exact"/>
        <w:ind w:firstLine="480" w:firstLineChars="200"/>
        <w:rPr>
          <w:rFonts w:ascii="仿宋_GB2312" w:eastAsia="仿宋_GB2312"/>
          <w:sz w:val="32"/>
          <w:szCs w:val="32"/>
        </w:rPr>
      </w:pPr>
      <w:r>
        <w:rPr>
          <w:rFonts w:hint="eastAsia"/>
          <w:sz w:val="24"/>
        </w:rPr>
        <w:t>乙方项目负责人、安全管理负责人、专（兼）职安全生产管理人员持证要如下表：</w:t>
      </w:r>
    </w:p>
    <w:tbl>
      <w:tblPr>
        <w:tblStyle w:val="TableGrid"/>
        <w:tblW w:w="957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17"/>
        <w:gridCol w:w="1276"/>
        <w:gridCol w:w="1701"/>
        <w:gridCol w:w="1701"/>
        <w:gridCol w:w="1701"/>
        <w:gridCol w:w="2375"/>
      </w:tblGrid>
      <w:tr>
        <w:tblPrEx>
          <w:tblW w:w="957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817"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序号</w:t>
            </w:r>
          </w:p>
        </w:tc>
        <w:tc>
          <w:tcPr>
            <w:tcW w:w="1276"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人员类别</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建筑施工企业</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电力建设单位</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其他电力企业</w:t>
            </w:r>
          </w:p>
        </w:tc>
        <w:tc>
          <w:tcPr>
            <w:tcW w:w="2375" w:type="dxa"/>
          </w:tcPr>
          <w:p>
            <w:pPr>
              <w:spacing w:line="470" w:lineRule="exact"/>
              <w:ind w:firstLine="400" w:firstLineChars="200"/>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备注</w:t>
            </w:r>
          </w:p>
        </w:tc>
      </w:tr>
      <w:tr>
        <w:tblPrEx>
          <w:tblW w:w="9571" w:type="dxa"/>
          <w:tblInd w:w="0" w:type="dxa"/>
          <w:tblLayout w:type="fixed"/>
          <w:tblCellMar>
            <w:top w:w="0" w:type="dxa"/>
            <w:left w:w="108" w:type="dxa"/>
            <w:bottom w:w="0" w:type="dxa"/>
            <w:right w:w="108" w:type="dxa"/>
          </w:tblCellMar>
        </w:tblPrEx>
        <w:tc>
          <w:tcPr>
            <w:tcW w:w="817" w:type="dxa"/>
          </w:tcPr>
          <w:p>
            <w:pPr>
              <w:spacing w:line="470" w:lineRule="exact"/>
              <w:ind w:firstLine="400" w:firstLineChars="200"/>
              <w:jc w:val="center"/>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1</w:t>
            </w:r>
          </w:p>
        </w:tc>
        <w:tc>
          <w:tcPr>
            <w:tcW w:w="1276"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企业主要负责人</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 xml:space="preserve">建筑施工企业主要负责人（A类） </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电力建设安全管理人员资格证</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电力安全培训合格证</w:t>
            </w:r>
          </w:p>
        </w:tc>
        <w:tc>
          <w:tcPr>
            <w:tcW w:w="2375" w:type="dxa"/>
          </w:tcPr>
          <w:p>
            <w:pPr>
              <w:spacing w:line="470" w:lineRule="exact"/>
              <w:ind w:firstLine="400" w:firstLineChars="200"/>
              <w:rPr>
                <w:rFonts w:asciiTheme="minorEastAsia" w:eastAsiaTheme="minorEastAsia" w:hAnsiTheme="minorEastAsia" w:cstheme="minorEastAsia"/>
                <w:kern w:val="0"/>
                <w:sz w:val="20"/>
                <w:szCs w:val="21"/>
              </w:rPr>
            </w:pPr>
          </w:p>
        </w:tc>
      </w:tr>
      <w:tr>
        <w:tblPrEx>
          <w:tblW w:w="9571" w:type="dxa"/>
          <w:tblInd w:w="0" w:type="dxa"/>
          <w:tblLayout w:type="fixed"/>
          <w:tblCellMar>
            <w:top w:w="0" w:type="dxa"/>
            <w:left w:w="108" w:type="dxa"/>
            <w:bottom w:w="0" w:type="dxa"/>
            <w:right w:w="108" w:type="dxa"/>
          </w:tblCellMar>
        </w:tblPrEx>
        <w:tc>
          <w:tcPr>
            <w:tcW w:w="817" w:type="dxa"/>
          </w:tcPr>
          <w:p>
            <w:pPr>
              <w:spacing w:line="470" w:lineRule="exact"/>
              <w:ind w:firstLine="400" w:firstLineChars="200"/>
              <w:jc w:val="center"/>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2</w:t>
            </w:r>
          </w:p>
        </w:tc>
        <w:tc>
          <w:tcPr>
            <w:tcW w:w="1276"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项目经理（负责人）</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建造师、建筑施工企业项目负责人（B类）</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建造师、电力建设安全管理人员资格证</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建造师、电力安全培训合格证</w:t>
            </w:r>
          </w:p>
        </w:tc>
        <w:tc>
          <w:tcPr>
            <w:tcW w:w="2375"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小型工程如无建造师证则必须由符合小型工程施工项目负责人任职条件的人员担任</w:t>
            </w:r>
          </w:p>
        </w:tc>
      </w:tr>
      <w:tr>
        <w:tblPrEx>
          <w:tblW w:w="9571" w:type="dxa"/>
          <w:tblInd w:w="0" w:type="dxa"/>
          <w:tblLayout w:type="fixed"/>
          <w:tblCellMar>
            <w:top w:w="0" w:type="dxa"/>
            <w:left w:w="108" w:type="dxa"/>
            <w:bottom w:w="0" w:type="dxa"/>
            <w:right w:w="108" w:type="dxa"/>
          </w:tblCellMar>
        </w:tblPrEx>
        <w:tc>
          <w:tcPr>
            <w:tcW w:w="817" w:type="dxa"/>
          </w:tcPr>
          <w:p>
            <w:pPr>
              <w:spacing w:line="470" w:lineRule="exact"/>
              <w:ind w:firstLine="400" w:firstLineChars="200"/>
              <w:jc w:val="center"/>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3</w:t>
            </w:r>
          </w:p>
        </w:tc>
        <w:tc>
          <w:tcPr>
            <w:tcW w:w="1276"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专职安全生产管理人员</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建筑施工企业专职安全生产管理人员（C类）</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电力建设安全管理人员资格证</w:t>
            </w:r>
          </w:p>
        </w:tc>
        <w:tc>
          <w:tcPr>
            <w:tcW w:w="1701" w:type="dxa"/>
          </w:tcPr>
          <w:p>
            <w:pPr>
              <w:spacing w:line="470" w:lineRule="exact"/>
              <w:rPr>
                <w:rFonts w:asciiTheme="minorEastAsia" w:eastAsiaTheme="minorEastAsia" w:hAnsiTheme="minorEastAsia" w:cstheme="minorEastAsia"/>
                <w:kern w:val="0"/>
                <w:sz w:val="20"/>
                <w:szCs w:val="21"/>
              </w:rPr>
            </w:pPr>
            <w:r>
              <w:rPr>
                <w:rFonts w:asciiTheme="minorEastAsia" w:eastAsiaTheme="minorEastAsia" w:hAnsiTheme="minorEastAsia" w:cstheme="minorEastAsia" w:hint="eastAsia"/>
                <w:kern w:val="0"/>
                <w:sz w:val="20"/>
                <w:szCs w:val="21"/>
              </w:rPr>
              <w:t>电力安全培训合格证</w:t>
            </w:r>
          </w:p>
        </w:tc>
        <w:tc>
          <w:tcPr>
            <w:tcW w:w="2375" w:type="dxa"/>
          </w:tcPr>
          <w:p>
            <w:pPr>
              <w:spacing w:line="470" w:lineRule="exact"/>
              <w:ind w:firstLine="400" w:firstLineChars="200"/>
              <w:rPr>
                <w:rFonts w:asciiTheme="minorEastAsia" w:eastAsiaTheme="minorEastAsia" w:hAnsiTheme="minorEastAsia" w:cstheme="minorEastAsia"/>
                <w:kern w:val="0"/>
                <w:sz w:val="20"/>
                <w:szCs w:val="21"/>
              </w:rPr>
            </w:pPr>
          </w:p>
        </w:tc>
      </w:tr>
    </w:tbl>
    <w:p>
      <w:pPr>
        <w:spacing w:line="470" w:lineRule="exact"/>
        <w:ind w:firstLine="480" w:firstLineChars="200"/>
        <w:rPr>
          <w:sz w:val="24"/>
        </w:rPr>
      </w:pPr>
      <w:r>
        <w:rPr>
          <w:rFonts w:hint="eastAsia"/>
          <w:sz w:val="24"/>
        </w:rPr>
        <w:t>注：施工企业小型工程项目负责人任职应符合下列条件之一：</w:t>
      </w:r>
    </w:p>
    <w:p>
      <w:pPr>
        <w:spacing w:line="470" w:lineRule="exact"/>
        <w:ind w:firstLine="480" w:firstLineChars="200"/>
        <w:rPr>
          <w:sz w:val="24"/>
        </w:rPr>
      </w:pPr>
      <w:r>
        <w:rPr>
          <w:rFonts w:hint="eastAsia"/>
          <w:sz w:val="24"/>
        </w:rPr>
        <w:t>（1）具有注册建造师(含临时建造师)证件；</w:t>
      </w:r>
    </w:p>
    <w:p>
      <w:pPr>
        <w:spacing w:line="470" w:lineRule="exact"/>
        <w:ind w:firstLine="480" w:firstLineChars="200"/>
        <w:rPr>
          <w:sz w:val="24"/>
        </w:rPr>
      </w:pPr>
      <w:r>
        <w:rPr>
          <w:rFonts w:hint="eastAsia"/>
          <w:sz w:val="24"/>
        </w:rPr>
        <w:t>（2）取得县级以上相关政府部门施工企业项目负责人安全生产考核合格证书；</w:t>
      </w:r>
    </w:p>
    <w:p>
      <w:pPr>
        <w:spacing w:line="470" w:lineRule="exact"/>
        <w:ind w:firstLine="480" w:firstLineChars="200"/>
        <w:rPr>
          <w:sz w:val="24"/>
        </w:rPr>
      </w:pPr>
      <w:r>
        <w:rPr>
          <w:rFonts w:hint="eastAsia"/>
          <w:sz w:val="24"/>
        </w:rPr>
        <w:t>（3）取得省住房和城乡建设行政主管部门认定的继续教育培训机构颁发的安全培训考核合格证书或县级及以上安全监管机构认定的培训机构颁发的安全培训考核合格证书。</w:t>
      </w:r>
    </w:p>
    <w:p>
      <w:pPr>
        <w:spacing w:line="470" w:lineRule="exact"/>
        <w:ind w:firstLine="480" w:firstLineChars="200"/>
        <w:rPr>
          <w:sz w:val="24"/>
        </w:rPr>
      </w:pPr>
      <w:r>
        <w:rPr>
          <w:rFonts w:hint="eastAsia"/>
          <w:sz w:val="24"/>
        </w:rPr>
        <w:t>2</w:t>
      </w:r>
      <w:r>
        <w:rPr>
          <w:rFonts w:hint="eastAsia"/>
          <w:sz w:val="24"/>
          <w:lang w:val="en-US" w:eastAsia="zh-CN"/>
        </w:rPr>
        <w:t>5</w:t>
      </w:r>
      <w:r>
        <w:rPr>
          <w:rFonts w:hint="eastAsia"/>
          <w:sz w:val="24"/>
        </w:rPr>
        <w:t>、乙方应在作业人员进入新的岗位或者新的施工现场前，应进行安全知识考试，考试不合格人员及未参加考试人员不得进入生产现场。考试结果及作业人员变动情况报监理备案。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sz w:val="24"/>
        </w:rPr>
      </w:pPr>
      <w:r>
        <w:rPr>
          <w:rFonts w:hint="eastAsia"/>
          <w:sz w:val="24"/>
        </w:rPr>
        <w:t>2</w:t>
      </w:r>
      <w:r>
        <w:rPr>
          <w:rFonts w:hint="eastAsia"/>
          <w:sz w:val="24"/>
          <w:lang w:val="en-US" w:eastAsia="zh-CN"/>
        </w:rPr>
        <w:t>6</w:t>
      </w:r>
      <w:r>
        <w:rPr>
          <w:rFonts w:hint="eastAsia"/>
          <w:sz w:val="24"/>
        </w:rPr>
        <w:t>、乙方施工交叉和相邻区域有其他承包商施工，可能危及对方安全的，双方应签订安全生产管理协议，明确各自的安全生产管理职责和应当采取的安全措施，并指定专职安全生产管理人员进行安全检查与协调。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470" w:lineRule="exact"/>
        <w:ind w:firstLine="480" w:firstLineChars="200"/>
        <w:rPr>
          <w:sz w:val="24"/>
        </w:rPr>
      </w:pPr>
      <w:r>
        <w:rPr>
          <w:rFonts w:hint="eastAsia"/>
          <w:sz w:val="24"/>
        </w:rPr>
        <w:t>2</w:t>
      </w:r>
      <w:r>
        <w:rPr>
          <w:rFonts w:hint="eastAsia"/>
          <w:sz w:val="24"/>
          <w:lang w:val="en-US" w:eastAsia="zh-CN"/>
        </w:rPr>
        <w:t>7</w:t>
      </w:r>
      <w:r>
        <w:rPr>
          <w:rFonts w:hint="eastAsia"/>
          <w:sz w:val="24"/>
        </w:rPr>
        <w:t>、乙方不得使用国家明令淘汰、禁止使用的危及生产安全的材料、工艺、设备。</w:t>
      </w:r>
    </w:p>
    <w:p>
      <w:pPr>
        <w:spacing w:line="470" w:lineRule="exact"/>
        <w:ind w:firstLine="480" w:firstLineChars="200"/>
        <w:rPr>
          <w:sz w:val="24"/>
        </w:rPr>
      </w:pPr>
      <w:r>
        <w:rPr>
          <w:rFonts w:hint="eastAsia"/>
          <w:sz w:val="24"/>
        </w:rPr>
        <w:t>2</w:t>
      </w:r>
      <w:r>
        <w:rPr>
          <w:rFonts w:hint="eastAsia"/>
          <w:sz w:val="24"/>
          <w:lang w:val="en-US" w:eastAsia="zh-CN"/>
        </w:rPr>
        <w:t>8</w:t>
      </w:r>
      <w:r>
        <w:rPr>
          <w:rFonts w:hint="eastAsia"/>
          <w:sz w:val="24"/>
        </w:rPr>
        <w:t>、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spacing w:line="470" w:lineRule="exact"/>
        <w:ind w:firstLine="480" w:firstLineChars="200"/>
        <w:rPr>
          <w:sz w:val="24"/>
        </w:rPr>
      </w:pPr>
      <w:r>
        <w:rPr>
          <w:rFonts w:hint="eastAsia"/>
          <w:sz w:val="24"/>
        </w:rPr>
        <w:t>2</w:t>
      </w:r>
      <w:r>
        <w:rPr>
          <w:rFonts w:hint="eastAsia"/>
          <w:sz w:val="24"/>
          <w:lang w:val="en-US" w:eastAsia="zh-CN"/>
        </w:rPr>
        <w:t>9</w:t>
      </w:r>
      <w:r>
        <w:rPr>
          <w:rFonts w:hint="eastAsia"/>
          <w:sz w:val="24"/>
        </w:rPr>
        <w:t>、乙方除执行甲方应急预案外，应制定本单位应急预案和现场处置方案，建立应急救援组织或者配备应急救援人员，配备必要的应急救援器材、设备，并定期组织演练。</w:t>
      </w:r>
    </w:p>
    <w:p>
      <w:pPr>
        <w:spacing w:line="470" w:lineRule="exact"/>
        <w:ind w:firstLine="480" w:firstLineChars="200"/>
        <w:rPr>
          <w:sz w:val="24"/>
        </w:rPr>
      </w:pPr>
      <w:r>
        <w:rPr>
          <w:rFonts w:hint="eastAsia"/>
          <w:sz w:val="24"/>
          <w:lang w:val="en-US" w:eastAsia="zh-CN"/>
        </w:rPr>
        <w:t>30</w:t>
      </w:r>
      <w:r>
        <w:rPr>
          <w:rFonts w:hint="eastAsia"/>
          <w:sz w:val="24"/>
        </w:rPr>
        <w:t>、乙方应对重大危险源登记建档，进行定期检测、评估、监控，并制定应急预案，告知从业人员和相关人员在紧急情况下应当采取的应急措施。</w:t>
      </w:r>
    </w:p>
    <w:p>
      <w:pPr>
        <w:spacing w:line="470" w:lineRule="exact"/>
        <w:ind w:firstLine="480" w:firstLineChars="200"/>
        <w:rPr>
          <w:sz w:val="24"/>
        </w:rPr>
      </w:pPr>
      <w:r>
        <w:rPr>
          <w:rFonts w:hint="eastAsia"/>
          <w:sz w:val="24"/>
          <w:lang w:val="en-US" w:eastAsia="zh-CN"/>
        </w:rPr>
        <w:t>31</w:t>
      </w:r>
      <w:r>
        <w:rPr>
          <w:rFonts w:hint="eastAsia"/>
          <w:sz w:val="24"/>
        </w:rPr>
        <w:t>、乙方发生生产安全事故，应当按照国务院493号令、国家电力监管委员会31号令及《中国南方电网有限责任公司电力事故（事件）调查规程》中有关事故报告和调查处理的规定，及时、如实地向有关部门报告。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sz w:val="24"/>
        </w:rPr>
      </w:pPr>
      <w:r>
        <w:rPr>
          <w:rFonts w:hint="eastAsia"/>
          <w:sz w:val="24"/>
        </w:rPr>
        <w:t>3</w:t>
      </w:r>
      <w:r>
        <w:rPr>
          <w:rFonts w:hint="eastAsia"/>
          <w:sz w:val="24"/>
          <w:lang w:val="en-US" w:eastAsia="zh-CN"/>
        </w:rPr>
        <w:t>2</w:t>
      </w:r>
      <w:r>
        <w:rPr>
          <w:rFonts w:hint="eastAsia"/>
          <w:sz w:val="24"/>
        </w:rPr>
        <w:t>、乙方应服从甲方及工程监理的监督检查，按时完成甲方或工程监理提出的整改要求；参加甲方或工程监理组织召开的有关会议，并落实会议所提出的有关要求。</w:t>
      </w:r>
    </w:p>
    <w:p>
      <w:pPr>
        <w:spacing w:line="470" w:lineRule="exact"/>
        <w:ind w:firstLine="480" w:firstLineChars="200"/>
        <w:rPr>
          <w:rFonts w:hint="eastAsia"/>
          <w:sz w:val="24"/>
        </w:rPr>
      </w:pPr>
      <w:r>
        <w:rPr>
          <w:rFonts w:hint="eastAsia"/>
          <w:sz w:val="24"/>
        </w:rPr>
        <w:t>3</w:t>
      </w:r>
      <w:r>
        <w:rPr>
          <w:rFonts w:hint="eastAsia"/>
          <w:sz w:val="24"/>
          <w:lang w:val="en-US" w:eastAsia="zh-CN"/>
        </w:rPr>
        <w:t>3</w:t>
      </w:r>
      <w:r>
        <w:rPr>
          <w:rFonts w:hint="eastAsia"/>
          <w:sz w:val="24"/>
        </w:rPr>
        <w:t>、负责法律法规及施工合同中规定的由乙方承担的其他安全生产责任。</w:t>
      </w:r>
    </w:p>
    <w:p>
      <w:pPr>
        <w:spacing w:line="470" w:lineRule="exact"/>
        <w:ind w:firstLine="480" w:firstLineChars="200"/>
        <w:rPr>
          <w:rFonts w:eastAsia="宋体" w:hint="eastAsia"/>
          <w:sz w:val="24"/>
          <w:lang w:eastAsia="zh-CN"/>
        </w:rPr>
      </w:pPr>
      <w:r>
        <w:rPr>
          <w:rFonts w:hint="eastAsia"/>
          <w:sz w:val="24"/>
          <w:lang w:val="en-US" w:eastAsia="zh-CN"/>
        </w:rPr>
        <w:t>34、乙方须执行《中国南方电网有限责任公司承包商管理业务指导书》相关规定</w:t>
      </w:r>
      <w:r>
        <w:rPr>
          <w:rFonts w:hint="eastAsia"/>
          <w:sz w:val="24"/>
          <w:lang w:eastAsia="zh-CN"/>
        </w:rPr>
        <w:t>。</w:t>
      </w:r>
    </w:p>
    <w:p>
      <w:pPr>
        <w:spacing w:line="470" w:lineRule="exact"/>
        <w:ind w:firstLine="480" w:firstLineChars="200"/>
        <w:rPr>
          <w:b/>
          <w:sz w:val="24"/>
        </w:rPr>
      </w:pPr>
      <w:r>
        <w:rPr>
          <w:rFonts w:hint="eastAsia"/>
          <w:b/>
          <w:sz w:val="24"/>
        </w:rPr>
        <w:t>第三条违约责任</w:t>
      </w:r>
    </w:p>
    <w:p>
      <w:pPr>
        <w:spacing w:line="470" w:lineRule="exact"/>
        <w:ind w:firstLine="480" w:firstLineChars="200"/>
        <w:rPr>
          <w:sz w:val="24"/>
        </w:rPr>
      </w:pPr>
      <w:r>
        <w:rPr>
          <w:rFonts w:hint="eastAsia"/>
          <w:sz w:val="24"/>
        </w:rPr>
        <w:t>1、甲方未尽到本方安全责任，造成的损失由甲方承担。</w:t>
      </w:r>
    </w:p>
    <w:p>
      <w:pPr>
        <w:spacing w:line="470" w:lineRule="exact"/>
        <w:ind w:firstLine="480" w:firstLineChars="200"/>
        <w:rPr>
          <w:sz w:val="24"/>
        </w:rPr>
      </w:pPr>
      <w:r>
        <w:rPr>
          <w:rFonts w:hint="eastAsia"/>
          <w:sz w:val="24"/>
        </w:rPr>
        <w:t>2、在协议有效期内，甲方发现乙方违反本协议的有关内容，将按照南方电网公司、</w:t>
      </w:r>
      <w:r>
        <w:rPr>
          <w:rFonts w:hint="eastAsia"/>
          <w:sz w:val="24"/>
          <w:lang w:val="en-US" w:eastAsia="zh-CN"/>
        </w:rPr>
        <w:t>南方电网储能股份有限</w:t>
      </w:r>
      <w:r>
        <w:rPr>
          <w:rFonts w:hint="eastAsia"/>
          <w:sz w:val="24"/>
        </w:rPr>
        <w:t>公司和甲方相关的规章制度给予处罚。</w:t>
      </w:r>
    </w:p>
    <w:p>
      <w:pPr>
        <w:spacing w:line="470" w:lineRule="exact"/>
        <w:ind w:firstLine="480" w:firstLineChars="200"/>
        <w:rPr>
          <w:sz w:val="24"/>
        </w:rPr>
      </w:pPr>
      <w:r>
        <w:rPr>
          <w:rFonts w:hint="eastAsia"/>
          <w:sz w:val="24"/>
        </w:rPr>
        <w:t>3、触犯国家、行业有关安全生产和环境保护的法律、法规、规程的，由责任方承担相应法律责任。</w:t>
      </w:r>
    </w:p>
    <w:p>
      <w:pPr>
        <w:spacing w:line="470" w:lineRule="exact"/>
        <w:ind w:firstLine="480" w:firstLineChars="200"/>
        <w:rPr>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rFonts w:hint="eastAsia"/>
          <w:sz w:val="24"/>
          <w:lang w:eastAsia="zh-CN"/>
        </w:rPr>
      </w:pPr>
      <w:r>
        <w:rPr>
          <w:rFonts w:hint="eastAsia"/>
          <w:sz w:val="24"/>
        </w:rPr>
        <w:t>5、乙方未尽到其应尽的安全责任，甲方有权要求乙方立即停工整改，由此引起的后果及损失由乙方承担</w:t>
      </w:r>
      <w:r>
        <w:rPr>
          <w:rFonts w:hint="eastAsia"/>
          <w:sz w:val="24"/>
          <w:lang w:eastAsia="zh-CN"/>
        </w:rPr>
        <w:t>。</w:t>
      </w:r>
    </w:p>
    <w:p>
      <w:pPr>
        <w:spacing w:line="470" w:lineRule="exact"/>
        <w:ind w:firstLine="480" w:firstLineChars="200"/>
        <w:rPr>
          <w:sz w:val="24"/>
        </w:rPr>
      </w:pPr>
      <w:r>
        <w:rPr>
          <w:rFonts w:hint="eastAsia"/>
          <w:sz w:val="24"/>
          <w:lang w:val="en-US" w:eastAsia="zh-CN"/>
        </w:rPr>
        <w:t>6、乙方履约过程中存在《中国南方电网有限责任公司承包商管理业务指导书》失信行为的，甲方按照《中国南方电网有限责任公司承包商管理业务指导书》对乙方开展扣分、评价并将评价结果在招标中应用</w:t>
      </w:r>
      <w:r>
        <w:rPr>
          <w:rFonts w:hint="eastAsia"/>
          <w:sz w:val="24"/>
          <w:lang w:eastAsia="zh-CN"/>
        </w:rPr>
        <w:t>。</w:t>
      </w:r>
    </w:p>
    <w:p>
      <w:pPr>
        <w:spacing w:line="470" w:lineRule="exact"/>
        <w:ind w:firstLine="480" w:firstLineChars="200"/>
        <w:rPr>
          <w:b/>
          <w:sz w:val="24"/>
        </w:rPr>
      </w:pPr>
      <w:r>
        <w:rPr>
          <w:rFonts w:hint="eastAsia"/>
          <w:b/>
          <w:sz w:val="24"/>
        </w:rPr>
        <w:t>第四条安健环业绩考核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ind w:firstLine="480" w:firstLineChars="200"/>
        <w:rPr>
          <w:b/>
          <w:sz w:val="24"/>
        </w:rPr>
      </w:pPr>
      <w:r>
        <w:rPr>
          <w:rFonts w:hint="eastAsia"/>
          <w:b/>
          <w:sz w:val="24"/>
        </w:rPr>
        <w:t>第五条其他</w:t>
      </w:r>
    </w:p>
    <w:p>
      <w:pPr>
        <w:spacing w:line="470" w:lineRule="exact"/>
        <w:ind w:firstLine="480" w:firstLineChars="200"/>
        <w:rPr>
          <w:sz w:val="24"/>
        </w:rPr>
      </w:pPr>
      <w:r>
        <w:rPr>
          <w:rFonts w:hint="eastAsia"/>
          <w:sz w:val="24"/>
        </w:rPr>
        <w:t>1、本协议作为承包合同的有效组成部分，与承包合同同时生效和终止。</w:t>
      </w:r>
    </w:p>
    <w:p>
      <w:pPr>
        <w:spacing w:line="470" w:lineRule="exact"/>
        <w:ind w:firstLine="480" w:firstLineChars="200"/>
        <w:rPr>
          <w:sz w:val="24"/>
        </w:rPr>
      </w:pPr>
      <w:r>
        <w:rPr>
          <w:rFonts w:hint="eastAsia"/>
          <w:sz w:val="24"/>
        </w:rPr>
        <w:t>2、本协议如有争议，争议解决办法与合同争议解决办法相同。</w:t>
      </w:r>
    </w:p>
    <w:p>
      <w:pPr>
        <w:spacing w:line="470" w:lineRule="exact"/>
        <w:ind w:firstLine="480" w:firstLineChars="200"/>
        <w:rPr>
          <w:sz w:val="24"/>
        </w:rPr>
      </w:pPr>
      <w:r>
        <w:rPr>
          <w:rFonts w:hint="eastAsia"/>
          <w:sz w:val="24"/>
        </w:rPr>
        <w:t>3、本协议未尽事宜，双方协商解决。</w:t>
      </w:r>
    </w:p>
    <w:p>
      <w:pPr>
        <w:spacing w:line="470" w:lineRule="exact"/>
        <w:ind w:firstLine="480" w:firstLineChars="200"/>
        <w:rPr>
          <w:sz w:val="24"/>
        </w:rPr>
      </w:pPr>
      <w:r>
        <w:rPr>
          <w:rFonts w:hint="eastAsia"/>
          <w:sz w:val="24"/>
        </w:rPr>
        <w:t>4、如有与国家和地方有关规定相悖的，按国家和地方有关规定执行。</w:t>
      </w:r>
    </w:p>
    <w:p>
      <w:pPr>
        <w:spacing w:line="470" w:lineRule="exact"/>
        <w:ind w:firstLine="480" w:firstLineChars="200"/>
        <w:rPr>
          <w:sz w:val="24"/>
        </w:rPr>
      </w:pPr>
      <w:r>
        <w:rPr>
          <w:rFonts w:hint="eastAsia"/>
          <w:sz w:val="24"/>
        </w:rPr>
        <w:t>5、本协议一式肆份，甲乙双方各执贰份，签字盖章后即生效。</w:t>
      </w:r>
    </w:p>
    <w:p>
      <w:pPr>
        <w:spacing w:line="470" w:lineRule="exact"/>
        <w:ind w:firstLine="480" w:firstLineChars="200"/>
        <w:rPr>
          <w:sz w:val="24"/>
        </w:rPr>
      </w:pPr>
    </w:p>
    <w:p>
      <w:pPr>
        <w:spacing w:line="470" w:lineRule="exact"/>
        <w:ind w:firstLine="480" w:firstLineChars="200"/>
        <w:rPr>
          <w:sz w:val="24"/>
        </w:rPr>
      </w:pPr>
    </w:p>
    <w:p>
      <w:pPr>
        <w:spacing w:line="470" w:lineRule="exact"/>
        <w:ind w:firstLine="480" w:firstLineChars="200"/>
        <w:rPr>
          <w:sz w:val="24"/>
        </w:rPr>
      </w:pPr>
      <w:r>
        <w:rPr>
          <w:rFonts w:hint="eastAsia"/>
          <w:sz w:val="24"/>
        </w:rPr>
        <w:t>甲方：</w:t>
      </w:r>
      <w:r>
        <w:rPr>
          <w:rFonts w:hint="eastAsia"/>
          <w:sz w:val="24"/>
          <w:lang w:val="en-US" w:eastAsia="zh-CN"/>
        </w:rPr>
        <w:t xml:space="preserve">                       </w:t>
      </w:r>
      <w:r>
        <w:rPr>
          <w:rFonts w:hint="eastAsia"/>
          <w:sz w:val="24"/>
        </w:rPr>
        <w:t>乙方：</w:t>
      </w:r>
    </w:p>
    <w:p>
      <w:pPr>
        <w:spacing w:line="470" w:lineRule="exact"/>
        <w:ind w:firstLine="480" w:firstLineChars="200"/>
        <w:rPr>
          <w:sz w:val="24"/>
        </w:rPr>
      </w:pPr>
    </w:p>
    <w:p>
      <w:pPr>
        <w:spacing w:line="470" w:lineRule="exact"/>
        <w:ind w:firstLine="480" w:firstLineChars="200"/>
        <w:rPr>
          <w:sz w:val="24"/>
        </w:rPr>
      </w:pPr>
      <w:r>
        <w:rPr>
          <w:rFonts w:hint="eastAsia"/>
          <w:sz w:val="24"/>
        </w:rPr>
        <w:t>代表：　　　　　　　　　　</w:t>
      </w:r>
      <w:r>
        <w:rPr>
          <w:rFonts w:hint="eastAsia"/>
          <w:sz w:val="24"/>
          <w:lang w:val="en-US" w:eastAsia="zh-CN"/>
        </w:rPr>
        <w:t xml:space="preserve">   </w:t>
      </w:r>
      <w:r>
        <w:rPr>
          <w:rFonts w:hint="eastAsia"/>
          <w:sz w:val="24"/>
        </w:rPr>
        <w:t>代表：</w:t>
      </w:r>
    </w:p>
    <w:p>
      <w:pPr>
        <w:spacing w:line="470" w:lineRule="exact"/>
        <w:ind w:firstLine="480" w:firstLineChars="200"/>
        <w:rPr>
          <w:sz w:val="24"/>
        </w:rPr>
      </w:pPr>
      <w:r>
        <w:rPr>
          <w:rFonts w:hint="eastAsia"/>
          <w:sz w:val="24"/>
        </w:rPr>
        <w:t>　　</w:t>
      </w:r>
    </w:p>
    <w:p>
      <w:pPr>
        <w:spacing w:line="470" w:lineRule="exact"/>
        <w:ind w:firstLine="480" w:firstLineChars="200"/>
        <w:rPr>
          <w:sz w:val="24"/>
        </w:rPr>
      </w:pPr>
      <w:r>
        <w:rPr>
          <w:rFonts w:hint="eastAsia"/>
          <w:sz w:val="24"/>
        </w:rPr>
        <w:t>日期：　年　月　日</w:t>
      </w:r>
      <w:r>
        <w:rPr>
          <w:rFonts w:hint="eastAsia"/>
          <w:sz w:val="24"/>
          <w:lang w:val="en-US" w:eastAsia="zh-CN"/>
        </w:rPr>
        <w:t xml:space="preserve">            </w:t>
      </w:r>
      <w:r>
        <w:rPr>
          <w:rFonts w:hint="eastAsia"/>
          <w:sz w:val="24"/>
        </w:rPr>
        <w:t>日期：　　年　月　日</w:t>
      </w:r>
    </w:p>
    <w:p>
      <w:pPr>
        <w:widowControl/>
        <w:spacing w:line="360" w:lineRule="auto"/>
        <w:contextualSpacing/>
        <w:jc w:val="left"/>
        <w:outlineLvl w:val="0"/>
        <w:rPr>
          <w:sz w:val="24"/>
        </w:rPr>
      </w:pPr>
    </w:p>
    <w:p>
      <w:pPr>
        <w:widowControl/>
        <w:spacing w:line="360" w:lineRule="auto"/>
        <w:contextualSpacing/>
        <w:jc w:val="left"/>
        <w:outlineLvl w:val="0"/>
        <w:rPr>
          <w:sz w:val="24"/>
        </w:rPr>
      </w:pPr>
    </w:p>
    <w:p>
      <w:pPr>
        <w:spacing w:line="470" w:lineRule="exact"/>
        <w:ind w:firstLine="480" w:firstLineChars="200"/>
        <w:rPr>
          <w:sz w:val="24"/>
        </w:rPr>
      </w:pPr>
      <w:r>
        <w:rPr>
          <w:rFonts w:hint="eastAsia"/>
          <w:sz w:val="24"/>
        </w:rPr>
        <w:t>甲方安全监管监督人：</w:t>
      </w:r>
    </w:p>
    <w:p>
      <w:pPr>
        <w:spacing w:line="470" w:lineRule="exact"/>
        <w:ind w:firstLine="480" w:firstLineChars="200"/>
        <w:rPr>
          <w:sz w:val="24"/>
        </w:rPr>
      </w:pPr>
    </w:p>
    <w:p>
      <w:pPr>
        <w:spacing w:line="470" w:lineRule="exact"/>
        <w:ind w:firstLine="480" w:firstLineChars="200"/>
        <w:rPr>
          <w:sz w:val="24"/>
        </w:rPr>
      </w:pPr>
      <w:r>
        <w:rPr>
          <w:rFonts w:hint="eastAsia"/>
          <w:sz w:val="24"/>
        </w:rPr>
        <w:t>日期：　年　月　日</w:t>
      </w:r>
    </w:p>
    <w:p>
      <w:pPr>
        <w:pStyle w:val="CM284"/>
        <w:spacing w:line="360" w:lineRule="auto"/>
        <w:rPr>
          <w:rFonts w:ascii="黑体" w:eastAsia="黑体" w:hAnsi="宋体"/>
          <w:bCs/>
          <w:color w:val="000000"/>
          <w:kern w:val="44"/>
          <w:szCs w:val="21"/>
        </w:rPr>
      </w:pPr>
      <w:r>
        <w:br w:type="page"/>
      </w:r>
      <w:r>
        <w:rPr>
          <w:rFonts w:ascii="黑体" w:eastAsia="黑体" w:hAnsi="宋体" w:hint="eastAsia"/>
          <w:bCs/>
          <w:color w:val="000000"/>
          <w:kern w:val="44"/>
          <w:sz w:val="28"/>
          <w:szCs w:val="28"/>
        </w:rPr>
        <w:t>附件</w:t>
      </w:r>
    </w:p>
    <w:p>
      <w:pPr>
        <w:widowControl/>
        <w:spacing w:line="360" w:lineRule="auto"/>
        <w:contextualSpacing/>
        <w:jc w:val="center"/>
        <w:outlineLvl w:val="0"/>
        <w:rPr>
          <w:rFonts w:ascii="黑体" w:eastAsia="黑体" w:hAnsi="宋体"/>
          <w:bCs/>
          <w:color w:val="000000"/>
          <w:kern w:val="44"/>
          <w:sz w:val="30"/>
          <w:szCs w:val="30"/>
        </w:rPr>
      </w:pPr>
      <w:r>
        <w:rPr>
          <w:rFonts w:ascii="黑体" w:eastAsia="黑体" w:hAnsi="宋体" w:hint="eastAsia"/>
          <w:bCs/>
          <w:color w:val="000000"/>
          <w:kern w:val="44"/>
          <w:sz w:val="30"/>
          <w:szCs w:val="30"/>
        </w:rPr>
        <w:t>施工现场</w:t>
      </w:r>
      <w:r>
        <w:rPr>
          <w:rFonts w:ascii="黑体" w:eastAsia="黑体" w:hAnsi="宋体"/>
          <w:bCs/>
          <w:color w:val="000000"/>
          <w:kern w:val="44"/>
          <w:sz w:val="30"/>
          <w:szCs w:val="30"/>
        </w:rPr>
        <w:t>HSE</w:t>
      </w:r>
      <w:r>
        <w:rPr>
          <w:rFonts w:ascii="黑体" w:eastAsia="黑体" w:hAnsi="宋体" w:hint="eastAsia"/>
          <w:bCs/>
          <w:color w:val="000000"/>
          <w:kern w:val="44"/>
          <w:sz w:val="30"/>
          <w:szCs w:val="30"/>
        </w:rPr>
        <w:t>奖罚规定</w:t>
      </w:r>
    </w:p>
    <w:p>
      <w:pPr>
        <w:pStyle w:val="BodyTextFirstIndent"/>
        <w:spacing w:line="360" w:lineRule="auto"/>
        <w:ind w:firstLine="480"/>
        <w:rPr>
          <w:i/>
          <w:sz w:val="24"/>
          <w:szCs w:val="24"/>
          <w:lang w:eastAsia="zh-CN"/>
        </w:rPr>
      </w:pPr>
    </w:p>
    <w:p>
      <w:pPr>
        <w:adjustRightInd w:val="0"/>
        <w:spacing w:line="470" w:lineRule="exact"/>
        <w:ind w:firstLine="480" w:firstLineChars="200"/>
        <w:jc w:val="left"/>
        <w:outlineLvl w:val="1"/>
        <w:rPr>
          <w:rFonts w:asciiTheme="minorEastAsia" w:eastAsiaTheme="minorEastAsia" w:hAnsiTheme="minorEastAsia" w:cstheme="minorEastAsia" w:hint="eastAsia"/>
          <w:b/>
          <w:spacing w:val="10"/>
          <w:sz w:val="24"/>
          <w:szCs w:val="24"/>
          <w:highlight w:val="none"/>
        </w:rPr>
      </w:pPr>
      <w:bookmarkStart w:id="1" w:name="_Toc301180784"/>
      <w:bookmarkStart w:id="2" w:name="_Toc256713128"/>
      <w:r>
        <w:rPr>
          <w:rFonts w:asciiTheme="minorEastAsia" w:eastAsiaTheme="minorEastAsia" w:hAnsiTheme="minorEastAsia" w:cstheme="minorEastAsia" w:hint="eastAsia"/>
          <w:b/>
          <w:spacing w:val="10"/>
          <w:sz w:val="24"/>
          <w:szCs w:val="24"/>
          <w:highlight w:val="none"/>
        </w:rPr>
        <w:t>一、说明</w:t>
      </w:r>
      <w:bookmarkEnd w:id="1"/>
      <w:bookmarkEnd w:id="2"/>
    </w:p>
    <w:p>
      <w:pPr>
        <w:spacing w:line="470" w:lineRule="exact"/>
        <w:ind w:firstLine="480" w:firstLineChars="200"/>
        <w:rPr>
          <w:rFonts w:asciiTheme="minorEastAsia" w:eastAsiaTheme="minorEastAsia" w:hAnsiTheme="minorEastAsia" w:cstheme="minorEastAsia" w:hint="eastAsia"/>
          <w:sz w:val="24"/>
          <w:szCs w:val="24"/>
          <w:highlight w:val="none"/>
        </w:rPr>
      </w:pPr>
      <w:bookmarkStart w:id="3" w:name="_Toc526137039"/>
      <w:r>
        <w:rPr>
          <w:rFonts w:asciiTheme="minorEastAsia" w:eastAsiaTheme="minorEastAsia" w:hAnsiTheme="minorEastAsia" w:cstheme="minorEastAsia" w:hint="eastAsia"/>
          <w:sz w:val="24"/>
          <w:szCs w:val="24"/>
          <w:highlight w:val="none"/>
        </w:rPr>
        <w:t>1、依照合同相关条款的约定，本规定作为合同要求具体化的延伸，甲方对乙方HSE管理的任何不符合现象具有奖惩的权利。</w:t>
      </w:r>
    </w:p>
    <w:p>
      <w:pPr>
        <w:spacing w:line="470" w:lineRule="exact"/>
        <w:ind w:firstLine="480" w:firstLineChars="200"/>
        <w:rPr>
          <w:rFonts w:asciiTheme="minorEastAsia" w:eastAsiaTheme="minorEastAsia" w:hAnsiTheme="minorEastAsia" w:cstheme="minorEastAsia" w:hint="eastAsia"/>
          <w:sz w:val="24"/>
          <w:szCs w:val="24"/>
          <w:highlight w:val="none"/>
        </w:rPr>
      </w:pPr>
      <w:r>
        <w:rPr>
          <w:rFonts w:asciiTheme="minorEastAsia" w:eastAsiaTheme="minorEastAsia" w:hAnsiTheme="minorEastAsia" w:cstheme="minorEastAsia" w:hint="eastAsia"/>
          <w:sz w:val="24"/>
          <w:szCs w:val="24"/>
          <w:highlight w:val="none"/>
        </w:rPr>
        <w:t>2、HSE处罚主要依据中国南方电网有限责任公司《基建工程安全文明施工检查评价标准表式》中相关表格内容。</w:t>
      </w:r>
    </w:p>
    <w:p>
      <w:pPr>
        <w:spacing w:line="470" w:lineRule="exact"/>
        <w:ind w:firstLine="480" w:firstLineChars="200"/>
        <w:rPr>
          <w:rFonts w:asciiTheme="minorEastAsia" w:eastAsiaTheme="minorEastAsia" w:hAnsiTheme="minorEastAsia" w:cstheme="minorEastAsia" w:hint="eastAsia"/>
          <w:sz w:val="24"/>
          <w:szCs w:val="24"/>
          <w:highlight w:val="none"/>
        </w:rPr>
      </w:pPr>
      <w:r>
        <w:rPr>
          <w:rFonts w:asciiTheme="minorEastAsia" w:eastAsiaTheme="minorEastAsia" w:hAnsiTheme="minorEastAsia" w:cstheme="minorEastAsia" w:hint="eastAsia"/>
          <w:sz w:val="24"/>
          <w:szCs w:val="24"/>
          <w:highlight w:val="none"/>
        </w:rPr>
        <w:t>3、乙方的现场活动/生产/服务应满足和符合甲方的HSE管理要求和相关管理规则、标准。</w:t>
      </w:r>
    </w:p>
    <w:bookmarkEnd w:id="3"/>
    <w:p>
      <w:pPr>
        <w:adjustRightInd w:val="0"/>
        <w:spacing w:line="470" w:lineRule="exact"/>
        <w:ind w:firstLine="480" w:firstLineChars="200"/>
        <w:jc w:val="left"/>
        <w:outlineLvl w:val="1"/>
        <w:rPr>
          <w:rFonts w:asciiTheme="minorEastAsia" w:eastAsiaTheme="minorEastAsia" w:hAnsiTheme="minorEastAsia" w:cstheme="minorEastAsia" w:hint="eastAsia"/>
          <w:b/>
          <w:spacing w:val="10"/>
          <w:sz w:val="24"/>
          <w:szCs w:val="24"/>
          <w:highlight w:val="none"/>
        </w:rPr>
      </w:pPr>
      <w:bookmarkStart w:id="4" w:name="_Toc301180785"/>
      <w:r>
        <w:rPr>
          <w:rFonts w:asciiTheme="minorEastAsia" w:eastAsiaTheme="minorEastAsia" w:hAnsiTheme="minorEastAsia" w:cstheme="minorEastAsia" w:hint="eastAsia"/>
          <w:b/>
          <w:spacing w:val="10"/>
          <w:sz w:val="24"/>
          <w:szCs w:val="24"/>
          <w:highlight w:val="none"/>
        </w:rPr>
        <w:t>二、基本处罚标准</w:t>
      </w:r>
      <w:bookmarkEnd w:id="4"/>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2、发生轻伤事故，给予事故单位扣款1000-3000元。</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3、发生重伤事故，给予事故单位扣款5000-30000元。</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 xml:space="preserve">4、发生人身死亡责任事故每人次处以40万元扣款； </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5、一般火灾事故处以1000-50000元扣款（有人身伤亡的按上述款项并处）。</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6、发生食物或职业中毒事故，扣款1000-10000元。</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7、因废料、废气造成环境污染的， 扣款1000-10000元。</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8、汽车肇事一次，扣款500-2000元，并根据各方责任大小承担，无场内通行手续的，交由公安交警处理。</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9、因违反项目建设部制定的《10KV系统用电管理办法》及相关的用电管理规定，造成停电事故或电气设备受损坏的，除赔偿全部经济损失外，处以1000-5000元的扣款。</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10、爆破作业中，因安全防护措施不到位，损坏高压电线等公用设施，除赔偿全部经济损失外，另处2000-10000元的扣款（有人身伤亡的按上述人身伤亡事故处扣款项并处）。</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11、汽车压坏电缆盖板，损坏电缆、光纤，应赔偿全部经济损失。</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12、乙方隐瞒事故的按照国家相关法律法规要求，报送上级单位及政府主管部门处理。</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13、对甲方以《施工现场安全整改通知单》、检查通报、检查会议纪要等形式提出的整改要求；乙方逾期不整改或拒绝整改的，酌情给予扣款1000-3000元；依然不能满足管理要求的，甲方有权要求乙方更换责任人员，甚至停工整改。</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14、工程建设过程中，乙方的管理人员对甲方管理人员提出的合理安全管理要求，不予配合的，处扣款500-1000元。甚至采取谩骂、威胁等行为的，甲方有权要求乙方清退、更换责任人员，并处扣款1000-5000元。</w:t>
      </w:r>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15、现场因安全、职业健康、环境保护管理不到位或违章违法行为等原因，被甲方、监理单位下发停工令的，给予扣款1000-5000元/起。</w:t>
      </w:r>
    </w:p>
    <w:p>
      <w:pPr>
        <w:tabs>
          <w:tab w:val="left" w:pos="1314"/>
        </w:tabs>
        <w:spacing w:line="470" w:lineRule="exact"/>
        <w:ind w:left="-80" w:firstLine="480" w:leftChars="-38" w:firstLineChars="200"/>
        <w:rPr>
          <w:rFonts w:asciiTheme="minorEastAsia" w:eastAsiaTheme="minorEastAsia" w:hAnsiTheme="minorEastAsia" w:cstheme="minorEastAsia" w:hint="eastAsia"/>
          <w:b/>
          <w:bCs/>
          <w:sz w:val="24"/>
          <w:szCs w:val="24"/>
          <w:highlight w:val="none"/>
        </w:rPr>
      </w:pPr>
      <w:bookmarkStart w:id="5" w:name="_Toc301180786"/>
      <w:r>
        <w:rPr>
          <w:rFonts w:asciiTheme="minorEastAsia" w:eastAsiaTheme="minorEastAsia" w:hAnsiTheme="minorEastAsia" w:cstheme="minorEastAsia" w:hint="eastAsia"/>
          <w:b/>
          <w:bCs/>
          <w:sz w:val="24"/>
          <w:szCs w:val="24"/>
          <w:highlight w:val="none"/>
        </w:rPr>
        <w:t>三、HSE管理考核标准</w:t>
      </w:r>
      <w:bookmarkEnd w:id="5"/>
    </w:p>
    <w:p>
      <w:pPr>
        <w:tabs>
          <w:tab w:val="left" w:pos="1314"/>
        </w:tabs>
        <w:spacing w:line="470" w:lineRule="exact"/>
        <w:ind w:left="-80" w:firstLine="480" w:leftChars="-38" w:firstLineChars="200"/>
        <w:rPr>
          <w:rFonts w:asciiTheme="minorEastAsia" w:eastAsiaTheme="minorEastAsia" w:hAnsiTheme="minorEastAsia" w:cstheme="minorEastAsia" w:hint="eastAsia"/>
          <w:bCs/>
          <w:sz w:val="24"/>
          <w:szCs w:val="24"/>
          <w:highlight w:val="none"/>
        </w:rPr>
      </w:pPr>
      <w:r>
        <w:rPr>
          <w:rFonts w:asciiTheme="minorEastAsia" w:eastAsiaTheme="minorEastAsia" w:hAnsiTheme="minorEastAsia" w:cstheme="minorEastAsia" w:hint="eastAsia"/>
          <w:bCs/>
          <w:sz w:val="24"/>
          <w:szCs w:val="24"/>
          <w:highlight w:val="none"/>
        </w:rPr>
        <w:t>以下各项主要针对单位进行处罚；视情节（指管理责任）对主管安全领导处罚1000元；对相关部门负责人处罚500元。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1、施工项目部安全文明管理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（1）未建立或未执行安全生产责任制、岗位责任制的，扣款5000元。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（2）未建立项目部组织机构、安全管理机构或未按要求配备专职安全管理人员的，扣款5000元。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（3）未建立健全安全管理制度、安全管理台账的，扣款5000元。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（4）未建立安全教育培训制度或制度不能有效运行的，扣款2000元。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（5）未建立安全检查制度或制度不能有效运行，检查整改工作未形成闭环管理的，扣款2000元。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（6）未按要求开展应急管理工作的，扣款1000-3000元。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（7）未执行班前站班会、未开展危险源辨识与风险管控工作的，扣款500-2000元。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（8）未对分包单位进行安全管理或管理不规范，存在以包代管现象的，扣款5000元。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（9）未按要求编制安全管理相关策划书、方案并报批的，扣款2000元。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（10）未制定安全生产管理目标或目标未分解细化的，扣款5000元。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（11）未按要求开展事故/事件调查和处理工作的，扣款5000元。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（12）未按规定报送HSE周、月（年）报表的，扣款500元/次。</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2、施工项目部组织机构和资质管理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（1）未建立项目部组织机构、安全管理机构或未按要求配备专职安全管理人员的，扣款5000元。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（2）安全生产保证及监督体系人员数量、素质不能满足施工现场要求的，扣款5000元。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（3）对分包单位管理不规范，未经资质审查或资质审查不合格的外包队伍，违反《建设工程安全生产管理条例》(国务院令第393号)，将重要工程分包给不具备相应资质的外包队伍的，扣款5000-100000元。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3、施工项目部安全文明管理制度</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（1）未制定安全生产管理目标或目标未分解细化的，扣款5000元。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（2）未按要求开展应急管理工作的，扣款1000-3000元。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（3）未建立健全安全管理制度、安全管理台账的，扣款5000元。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4、分包单位安全文明管理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（1）对分包单位管理不规范，未经资质审查或资质审查不合格的外包队伍，违反《建设工程安全生产管理条例》(国务院令第393号)，将重要工程分包给不具备相应资质的外包队伍的，扣款5000元。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（2）未与分包单位签订安全生产责任书及安健环协议，或不履行协议规定的，扣款5000元。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（3）施工安全技术措施不交底或不履行签字手续，或不严格执行施工措施及方案的，扣款1000－3000元。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4</w:t>
      </w:r>
      <w:r>
        <w:rPr>
          <w:rFonts w:asciiTheme="minorEastAsia" w:eastAsiaTheme="minorEastAsia" w:hAnsiTheme="minorEastAsia" w:cstheme="minorEastAsia" w:hint="eastAsia"/>
          <w:bCs/>
          <w:kern w:val="0"/>
          <w:sz w:val="24"/>
          <w:szCs w:val="24"/>
          <w:highlight w:val="none"/>
        </w:rPr>
        <w:t>）施工作业票不交底或不履行签字手续扣款500元。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5</w:t>
      </w:r>
      <w:r>
        <w:rPr>
          <w:rFonts w:asciiTheme="minorEastAsia" w:eastAsiaTheme="minorEastAsia" w:hAnsiTheme="minorEastAsia" w:cstheme="minorEastAsia" w:hint="eastAsia"/>
          <w:bCs/>
          <w:kern w:val="0"/>
          <w:sz w:val="24"/>
          <w:szCs w:val="24"/>
          <w:highlight w:val="none"/>
        </w:rPr>
        <w:t>）没有在其施工区域内的危险场所或部位设置明显的安全警示标志或使用不符合国家标准或行业标准的安全警示标志的，视情况扣款200-500元/处。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6</w:t>
      </w:r>
      <w:r>
        <w:rPr>
          <w:rFonts w:asciiTheme="minorEastAsia" w:eastAsiaTheme="minorEastAsia" w:hAnsiTheme="minorEastAsia" w:cstheme="minorEastAsia" w:hint="eastAsia"/>
          <w:bCs/>
          <w:kern w:val="0"/>
          <w:sz w:val="24"/>
          <w:szCs w:val="24"/>
          <w:highlight w:val="none"/>
        </w:rPr>
        <w:t>）对新进人员不开展入场安全教育或不进行安全培训及考试，教育培训记录不完整的，扣款200元/人。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7</w:t>
      </w:r>
      <w:r>
        <w:rPr>
          <w:rFonts w:asciiTheme="minorEastAsia" w:eastAsiaTheme="minorEastAsia" w:hAnsiTheme="minorEastAsia" w:cstheme="minorEastAsia" w:hint="eastAsia"/>
          <w:bCs/>
          <w:kern w:val="0"/>
          <w:sz w:val="24"/>
          <w:szCs w:val="24"/>
          <w:highlight w:val="none"/>
        </w:rPr>
        <w:t>）没有为其现场作业人员提供符合国家标准或者行业标准的劳动防护用品及设施（如安全帽、安全带、护目镜、绝缘手套、防滑鞋等国家或行业明确要求配备的防护用品和装备），未定期进行检验、检查并形成记录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8</w:t>
      </w:r>
      <w:r>
        <w:rPr>
          <w:rFonts w:asciiTheme="minorEastAsia" w:eastAsiaTheme="minorEastAsia" w:hAnsiTheme="minorEastAsia" w:cstheme="minorEastAsia" w:hint="eastAsia"/>
          <w:bCs/>
          <w:kern w:val="0"/>
          <w:sz w:val="24"/>
          <w:szCs w:val="24"/>
          <w:highlight w:val="none"/>
        </w:rPr>
        <w:t>）安排没有取得特种作业操作资格证书人员进行作业的，扣款300-1000元/人次。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9</w:t>
      </w:r>
      <w:r>
        <w:rPr>
          <w:rFonts w:asciiTheme="minorEastAsia" w:eastAsiaTheme="minorEastAsia" w:hAnsiTheme="minorEastAsia" w:cstheme="minorEastAsia" w:hint="eastAsia"/>
          <w:bCs/>
          <w:kern w:val="0"/>
          <w:sz w:val="24"/>
          <w:szCs w:val="24"/>
          <w:highlight w:val="none"/>
        </w:rPr>
        <w:t>）未对进场施工机械和设备进行验收，未定期对施工机械和设备进行检验，施工中使用不安全的（如运转部位的防护部件没有或缺失）加工机械和设备的，扣款500-5000元。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10</w:t>
      </w:r>
      <w:r>
        <w:rPr>
          <w:rFonts w:asciiTheme="minorEastAsia" w:eastAsiaTheme="minorEastAsia" w:hAnsiTheme="minorEastAsia" w:cstheme="minorEastAsia" w:hint="eastAsia"/>
          <w:bCs/>
          <w:kern w:val="0"/>
          <w:sz w:val="24"/>
          <w:szCs w:val="24"/>
          <w:highlight w:val="none"/>
        </w:rPr>
        <w:t>）安全设施、安全用品、用具（如：劳保用品、脚手架材料、安全网等）工具装备未经验收合格或验收不合格即投入使用，扣款500-2000元。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w:t>
      </w:r>
      <w:r>
        <w:rPr>
          <w:rFonts w:asciiTheme="minorEastAsia" w:eastAsiaTheme="minorEastAsia" w:hAnsiTheme="minorEastAsia" w:cstheme="minorEastAsia" w:hint="eastAsia"/>
          <w:bCs/>
          <w:kern w:val="0"/>
          <w:sz w:val="24"/>
          <w:szCs w:val="24"/>
          <w:highlight w:val="none"/>
          <w:lang w:val="en-US" w:eastAsia="zh-CN"/>
        </w:rPr>
        <w:t>1</w:t>
      </w:r>
      <w:r>
        <w:rPr>
          <w:rFonts w:asciiTheme="minorEastAsia" w:eastAsiaTheme="minorEastAsia" w:hAnsiTheme="minorEastAsia" w:cstheme="minorEastAsia" w:hint="eastAsia"/>
          <w:bCs/>
          <w:kern w:val="0"/>
          <w:sz w:val="24"/>
          <w:szCs w:val="24"/>
          <w:highlight w:val="none"/>
        </w:rPr>
        <w:t>）未安排施工人员接受体检的，扣款500元/人。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）未为施工人员购买工伤保险或意外保险的，扣款1000-3000元。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5、应急预案与响应</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未按要求开展应急管理工作的，扣款1000-3000元。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6、危险源辨识及风险评价</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（1）未执行班前站班会的</w:t>
      </w:r>
      <w:r>
        <w:rPr>
          <w:rFonts w:asciiTheme="minorEastAsia" w:eastAsiaTheme="minorEastAsia" w:hAnsiTheme="minorEastAsia" w:cstheme="minorEastAsia" w:hint="eastAsia"/>
          <w:bCs/>
          <w:kern w:val="0"/>
          <w:sz w:val="24"/>
          <w:szCs w:val="24"/>
          <w:highlight w:val="none"/>
          <w:lang w:eastAsia="zh-CN"/>
        </w:rPr>
        <w:t>或记录不完整的</w:t>
      </w:r>
      <w:r>
        <w:rPr>
          <w:rFonts w:asciiTheme="minorEastAsia" w:eastAsiaTheme="minorEastAsia" w:hAnsiTheme="minorEastAsia" w:cstheme="minorEastAsia" w:hint="eastAsia"/>
          <w:bCs/>
          <w:kern w:val="0"/>
          <w:sz w:val="24"/>
          <w:szCs w:val="24"/>
          <w:highlight w:val="none"/>
        </w:rPr>
        <w:t>，扣款500-2000元。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（2）未对危险源进行识别、评价、未对重大危险源进行控制、策划、建档并针对其编制安全技术措施（方案），制定应急预案的，扣款2000-5000元。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（3）进行危险性大的作业（如：斜/竖井施工、深基坑作业、重大件起重、吊装、脚手架搭设）等时，没有安排专人进行现场管理，指挥人员没有相应资质，以及未按安全操作规程作业的，扣款1000-5000元。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7、施工项目部安全文明检查管理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（1）未建立安全检查制度或制度不能有效运行，检查整改工作未形成闭环管理的，处罚2000元。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（2）对监理、甲方开出的整改通知单、工作联系单未能按时进行整改，扣款1000元/项；再次检查仍未按要求完成的，加倍处罚。</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（3）未开展周、月的自行安全检查的，扣款1000元。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8、安全教育培训</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（1）安排未经安全教育或安全</w:t>
      </w:r>
      <w:r>
        <w:rPr>
          <w:rFonts w:asciiTheme="minorEastAsia" w:eastAsiaTheme="minorEastAsia" w:hAnsiTheme="minorEastAsia" w:cstheme="minorEastAsia" w:hint="eastAsia"/>
          <w:bCs/>
          <w:kern w:val="0"/>
          <w:sz w:val="24"/>
          <w:szCs w:val="24"/>
          <w:highlight w:val="none"/>
          <w:lang w:eastAsia="zh-CN"/>
        </w:rPr>
        <w:t>考试</w:t>
      </w:r>
      <w:r>
        <w:rPr>
          <w:rFonts w:asciiTheme="minorEastAsia" w:eastAsiaTheme="minorEastAsia" w:hAnsiTheme="minorEastAsia" w:cstheme="minorEastAsia" w:hint="eastAsia"/>
          <w:bCs/>
          <w:kern w:val="0"/>
          <w:sz w:val="24"/>
          <w:szCs w:val="24"/>
          <w:highlight w:val="none"/>
        </w:rPr>
        <w:t>不合格的人员进行现场施工的，扣款200元/人。（2）对新进人员不开展入场安全教育或不进行安全培训及考试，教育培训记录不完整的，扣款200元/人。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（3）施工安全技术措施不交底或不履行签字手续，或不严格执行施工措施及方案的，扣款1000－3000元。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4</w:t>
      </w:r>
      <w:r>
        <w:rPr>
          <w:rFonts w:asciiTheme="minorEastAsia" w:eastAsiaTheme="minorEastAsia" w:hAnsiTheme="minorEastAsia" w:cstheme="minorEastAsia" w:hint="eastAsia"/>
          <w:bCs/>
          <w:kern w:val="0"/>
          <w:sz w:val="24"/>
          <w:szCs w:val="24"/>
          <w:highlight w:val="none"/>
        </w:rPr>
        <w:t>）施工作业票不交底或不履行签字手续扣款500元。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5</w:t>
      </w:r>
      <w:r>
        <w:rPr>
          <w:rFonts w:asciiTheme="minorEastAsia" w:eastAsiaTheme="minorEastAsia" w:hAnsiTheme="minorEastAsia" w:cstheme="minorEastAsia" w:hint="eastAsia"/>
          <w:bCs/>
          <w:kern w:val="0"/>
          <w:sz w:val="24"/>
          <w:szCs w:val="24"/>
          <w:highlight w:val="none"/>
        </w:rPr>
        <w:t>）安排未经安全教育或安全</w:t>
      </w:r>
      <w:r>
        <w:rPr>
          <w:rFonts w:asciiTheme="minorEastAsia" w:eastAsiaTheme="minorEastAsia" w:hAnsiTheme="minorEastAsia" w:cstheme="minorEastAsia" w:hint="eastAsia"/>
          <w:bCs/>
          <w:kern w:val="0"/>
          <w:sz w:val="24"/>
          <w:szCs w:val="24"/>
          <w:highlight w:val="none"/>
          <w:lang w:val="en-US" w:eastAsia="zh-CN"/>
        </w:rPr>
        <w:t>考试</w:t>
      </w:r>
      <w:r>
        <w:rPr>
          <w:rFonts w:asciiTheme="minorEastAsia" w:eastAsiaTheme="minorEastAsia" w:hAnsiTheme="minorEastAsia" w:cstheme="minorEastAsia" w:hint="eastAsia"/>
          <w:bCs/>
          <w:kern w:val="0"/>
          <w:sz w:val="24"/>
          <w:szCs w:val="24"/>
          <w:highlight w:val="none"/>
        </w:rPr>
        <w:t>不合格的人员进行现场施工的，扣款200-500元/人。</w:t>
      </w:r>
    </w:p>
    <w:p>
      <w:pPr>
        <w:spacing w:line="360" w:lineRule="auto"/>
        <w:ind w:firstLine="480" w:firstLineChars="200"/>
        <w:rPr>
          <w:rFonts w:asciiTheme="minorEastAsia" w:eastAsiaTheme="minorEastAsia" w:hAnsiTheme="minorEastAsia" w:cstheme="minorEastAsia" w:hint="eastAsia"/>
          <w:bCs/>
          <w:kern w:val="0"/>
          <w:sz w:val="24"/>
          <w:szCs w:val="24"/>
          <w:highlight w:val="none"/>
          <w:lang w:eastAsia="zh-CN"/>
        </w:rPr>
      </w:pP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bCs/>
          <w:kern w:val="0"/>
          <w:sz w:val="24"/>
          <w:szCs w:val="24"/>
          <w:highlight w:val="none"/>
          <w:lang w:val="en-US" w:eastAsia="zh-CN"/>
        </w:rPr>
        <w:t>6</w:t>
      </w:r>
      <w:r>
        <w:rPr>
          <w:rFonts w:asciiTheme="minorEastAsia" w:eastAsiaTheme="minorEastAsia" w:hAnsiTheme="minorEastAsia" w:cstheme="minorEastAsia" w:hint="eastAsia"/>
          <w:bCs/>
          <w:kern w:val="0"/>
          <w:sz w:val="24"/>
          <w:szCs w:val="24"/>
          <w:highlight w:val="none"/>
          <w:lang w:eastAsia="zh-CN"/>
        </w:rPr>
        <w:t>）培训代签名的（培训签到表），</w:t>
      </w:r>
      <w:r>
        <w:rPr>
          <w:rFonts w:asciiTheme="minorEastAsia" w:eastAsiaTheme="minorEastAsia" w:hAnsiTheme="minorEastAsia" w:cstheme="minorEastAsia" w:hint="eastAsia"/>
          <w:bCs/>
          <w:kern w:val="0"/>
          <w:sz w:val="24"/>
          <w:szCs w:val="24"/>
          <w:highlight w:val="none"/>
        </w:rPr>
        <w:t>扣款</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00元</w:t>
      </w:r>
      <w:r>
        <w:rPr>
          <w:rFonts w:asciiTheme="minorEastAsia" w:eastAsiaTheme="minorEastAsia" w:hAnsiTheme="minorEastAsia" w:cstheme="minorEastAsia" w:hint="eastAsia"/>
          <w:bCs/>
          <w:kern w:val="0"/>
          <w:sz w:val="24"/>
          <w:szCs w:val="24"/>
          <w:highlight w:val="none"/>
          <w:lang w:val="en-US" w:eastAsia="zh-CN"/>
        </w:rPr>
        <w:t>。</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9、安全工作例会</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（1）未按规定召开本单位的安全生产例会或无记录，不开展安全活动，不进行安全检查或无记录台帐的，扣款500元。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（2）未召开每月一次的安全会议，扣款200-500元。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11、特种作业人员管理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12、安全技术措施计划</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（1）没有编制安全技术措施方案，或未报工程监理、业主方审批、存档备查而擅自开工的，扣款5000元/次。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（2）不按施工方案采取安全措施组织施工，扣款1000元/次。</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13、作业指导书（专项方案）</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（1）没有编制安全技术措施方案，或未报工程监理、业主方审批、存档备查而擅自开工的，扣款5000元/次。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扣款1000-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（4）不按施工方案采取安全措施组织施工，扣款1000元/次。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（5）重大的起重、运输作业、特殊高处作业等危险性作业项目，未办理安全施工作业票，未指定监护人的，扣款200-500元。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（6）安全技术措施有错误或缺陷，未经过有关部门和监理审核、审批就组织施工的，扣款1000元。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14、工作票</w:t>
      </w:r>
    </w:p>
    <w:p>
      <w:pPr>
        <w:spacing w:line="360" w:lineRule="auto"/>
        <w:ind w:firstLine="480" w:firstLineChars="200"/>
        <w:rPr>
          <w:rFonts w:asciiTheme="minorEastAsia" w:eastAsiaTheme="minorEastAsia" w:hAnsiTheme="minorEastAsia" w:cstheme="minorEastAsia" w:hint="eastAsia"/>
          <w:color w:val="000000"/>
          <w:sz w:val="24"/>
          <w:szCs w:val="24"/>
          <w:highlight w:val="none"/>
          <w:lang w:eastAsia="zh-CN"/>
        </w:rPr>
      </w:pP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bCs/>
          <w:kern w:val="0"/>
          <w:sz w:val="24"/>
          <w:szCs w:val="24"/>
          <w:highlight w:val="none"/>
          <w:lang w:val="en-US" w:eastAsia="zh-CN"/>
        </w:rPr>
        <w:t>1</w:t>
      </w: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color w:val="000000"/>
          <w:sz w:val="24"/>
          <w:szCs w:val="24"/>
          <w:highlight w:val="none"/>
        </w:rPr>
        <w:t>擅自增加工作内容的</w:t>
      </w:r>
      <w:r>
        <w:rPr>
          <w:rFonts w:asciiTheme="minorEastAsia" w:eastAsiaTheme="minorEastAsia" w:hAnsiTheme="minorEastAsia" w:cstheme="minorEastAsia" w:hint="eastAsia"/>
          <w:color w:val="000000"/>
          <w:sz w:val="24"/>
          <w:szCs w:val="24"/>
          <w:highlight w:val="none"/>
          <w:lang w:eastAsia="zh-CN"/>
        </w:rPr>
        <w:t>或</w:t>
      </w:r>
      <w:r>
        <w:rPr>
          <w:rFonts w:asciiTheme="minorEastAsia" w:eastAsiaTheme="minorEastAsia" w:hAnsiTheme="minorEastAsia" w:cstheme="minorEastAsia" w:hint="eastAsia"/>
          <w:bCs/>
          <w:kern w:val="0"/>
          <w:sz w:val="24"/>
          <w:szCs w:val="24"/>
          <w:highlight w:val="none"/>
          <w:lang w:eastAsia="zh-CN"/>
        </w:rPr>
        <w:t>扩大工作范围的</w:t>
      </w:r>
      <w:r>
        <w:rPr>
          <w:rFonts w:asciiTheme="minorEastAsia" w:eastAsiaTheme="minorEastAsia" w:hAnsiTheme="minorEastAsia" w:cstheme="minorEastAsia" w:hint="eastAsia"/>
          <w:color w:val="000000"/>
          <w:sz w:val="24"/>
          <w:szCs w:val="24"/>
          <w:highlight w:val="none"/>
          <w:lang w:eastAsia="zh-CN"/>
        </w:rPr>
        <w:t>，</w:t>
      </w:r>
      <w:r>
        <w:rPr>
          <w:rFonts w:asciiTheme="minorEastAsia" w:eastAsiaTheme="minorEastAsia" w:hAnsiTheme="minorEastAsia" w:cstheme="minorEastAsia" w:hint="eastAsia"/>
          <w:bCs/>
          <w:kern w:val="0"/>
          <w:sz w:val="24"/>
          <w:szCs w:val="24"/>
          <w:highlight w:val="none"/>
        </w:rPr>
        <w:t>扣款200-500元/次</w:t>
      </w:r>
      <w:r>
        <w:rPr>
          <w:rFonts w:asciiTheme="minorEastAsia" w:eastAsiaTheme="minorEastAsia" w:hAnsiTheme="minorEastAsia" w:cstheme="minorEastAsia" w:hint="eastAsia"/>
          <w:bCs/>
          <w:kern w:val="0"/>
          <w:sz w:val="24"/>
          <w:szCs w:val="24"/>
          <w:highlight w:val="none"/>
          <w:lang w:eastAsia="zh-CN"/>
        </w:rPr>
        <w:t>。</w:t>
      </w:r>
    </w:p>
    <w:p>
      <w:pPr>
        <w:spacing w:line="360" w:lineRule="auto"/>
        <w:ind w:firstLine="480" w:firstLineChars="200"/>
        <w:rPr>
          <w:rFonts w:asciiTheme="minorEastAsia" w:eastAsiaTheme="minorEastAsia" w:hAnsiTheme="minorEastAsia" w:cstheme="minorEastAsia" w:hint="eastAsia"/>
          <w:bCs/>
          <w:kern w:val="0"/>
          <w:sz w:val="24"/>
          <w:szCs w:val="24"/>
          <w:highlight w:val="none"/>
          <w:lang w:eastAsia="zh-CN"/>
        </w:rPr>
      </w:pPr>
      <w:r>
        <w:rPr>
          <w:rFonts w:asciiTheme="minorEastAsia" w:eastAsiaTheme="minorEastAsia" w:hAnsiTheme="minorEastAsia" w:cstheme="minorEastAsia" w:hint="eastAsia"/>
          <w:color w:val="000000"/>
          <w:sz w:val="24"/>
          <w:szCs w:val="24"/>
          <w:highlight w:val="none"/>
          <w:lang w:eastAsia="zh-CN"/>
        </w:rPr>
        <w:t>（</w:t>
      </w:r>
      <w:r>
        <w:rPr>
          <w:rFonts w:asciiTheme="minorEastAsia" w:eastAsiaTheme="minorEastAsia" w:hAnsiTheme="minorEastAsia" w:cstheme="minorEastAsia" w:hint="eastAsia"/>
          <w:color w:val="000000"/>
          <w:sz w:val="24"/>
          <w:szCs w:val="24"/>
          <w:highlight w:val="none"/>
          <w:lang w:val="en-US" w:eastAsia="zh-CN"/>
        </w:rPr>
        <w:t>2</w:t>
      </w:r>
      <w:r>
        <w:rPr>
          <w:rFonts w:asciiTheme="minorEastAsia" w:eastAsiaTheme="minorEastAsia" w:hAnsiTheme="minorEastAsia" w:cstheme="minorEastAsia" w:hint="eastAsia"/>
          <w:color w:val="000000"/>
          <w:sz w:val="24"/>
          <w:szCs w:val="24"/>
          <w:highlight w:val="none"/>
          <w:lang w:eastAsia="zh-CN"/>
        </w:rPr>
        <w:t>）</w:t>
      </w:r>
      <w:r>
        <w:rPr>
          <w:rFonts w:asciiTheme="minorEastAsia" w:eastAsiaTheme="minorEastAsia" w:hAnsiTheme="minorEastAsia" w:cstheme="minorEastAsia" w:hint="eastAsia"/>
          <w:color w:val="000000"/>
          <w:sz w:val="24"/>
          <w:szCs w:val="24"/>
          <w:highlight w:val="none"/>
        </w:rPr>
        <w:t>工作班成员未按规定在记录表上及时签名或人员变更情况未及时记录的</w:t>
      </w:r>
      <w:r>
        <w:rPr>
          <w:rFonts w:asciiTheme="minorEastAsia" w:eastAsiaTheme="minorEastAsia" w:hAnsiTheme="minorEastAsia" w:cstheme="minorEastAsia" w:hint="eastAsia"/>
          <w:color w:val="000000"/>
          <w:sz w:val="24"/>
          <w:szCs w:val="24"/>
          <w:highlight w:val="none"/>
          <w:lang w:eastAsia="zh-CN"/>
        </w:rPr>
        <w:t>，</w:t>
      </w:r>
      <w:r>
        <w:rPr>
          <w:rFonts w:asciiTheme="minorEastAsia" w:eastAsiaTheme="minorEastAsia" w:hAnsiTheme="minorEastAsia" w:cstheme="minorEastAsia" w:hint="eastAsia"/>
          <w:bCs/>
          <w:kern w:val="0"/>
          <w:sz w:val="24"/>
          <w:szCs w:val="24"/>
          <w:highlight w:val="none"/>
        </w:rPr>
        <w:t>扣款</w:t>
      </w:r>
      <w:r>
        <w:rPr>
          <w:rFonts w:asciiTheme="minorEastAsia" w:eastAsiaTheme="minorEastAsia" w:hAnsiTheme="minorEastAsia" w:cstheme="minorEastAsia" w:hint="eastAsia"/>
          <w:bCs/>
          <w:kern w:val="0"/>
          <w:sz w:val="24"/>
          <w:szCs w:val="24"/>
          <w:highlight w:val="none"/>
          <w:lang w:val="en-US" w:eastAsia="zh-CN"/>
        </w:rPr>
        <w:t>1</w:t>
      </w:r>
      <w:r>
        <w:rPr>
          <w:rFonts w:asciiTheme="minorEastAsia" w:eastAsiaTheme="minorEastAsia" w:hAnsiTheme="minorEastAsia" w:cstheme="minorEastAsia" w:hint="eastAsia"/>
          <w:bCs/>
          <w:kern w:val="0"/>
          <w:sz w:val="24"/>
          <w:szCs w:val="24"/>
          <w:highlight w:val="none"/>
        </w:rPr>
        <w:t>00-</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00元/次</w:t>
      </w:r>
      <w:r>
        <w:rPr>
          <w:rFonts w:asciiTheme="minorEastAsia" w:eastAsiaTheme="minorEastAsia" w:hAnsiTheme="minorEastAsia" w:cstheme="minorEastAsia" w:hint="eastAsia"/>
          <w:bCs/>
          <w:kern w:val="0"/>
          <w:sz w:val="24"/>
          <w:szCs w:val="24"/>
          <w:highlight w:val="none"/>
          <w:lang w:eastAsia="zh-CN"/>
        </w:rPr>
        <w:t>。</w:t>
      </w:r>
    </w:p>
    <w:p>
      <w:pPr>
        <w:spacing w:line="360" w:lineRule="auto"/>
        <w:ind w:firstLine="480" w:firstLineChars="200"/>
        <w:rPr>
          <w:rFonts w:asciiTheme="minorEastAsia" w:eastAsiaTheme="minorEastAsia" w:hAnsiTheme="minorEastAsia" w:cstheme="minorEastAsia" w:hint="eastAsia"/>
          <w:color w:val="000000"/>
          <w:sz w:val="24"/>
          <w:szCs w:val="24"/>
          <w:highlight w:val="none"/>
          <w:lang w:eastAsia="zh-CN"/>
        </w:rPr>
      </w:pP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bCs/>
          <w:kern w:val="0"/>
          <w:sz w:val="24"/>
          <w:szCs w:val="24"/>
          <w:highlight w:val="none"/>
          <w:lang w:val="en-US" w:eastAsia="zh-CN"/>
        </w:rPr>
        <w:t>3</w:t>
      </w: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color w:val="000000"/>
          <w:sz w:val="24"/>
          <w:szCs w:val="24"/>
          <w:highlight w:val="none"/>
        </w:rPr>
        <w:t>未按要求办理工作延期手续</w:t>
      </w:r>
      <w:r>
        <w:rPr>
          <w:rFonts w:asciiTheme="minorEastAsia" w:eastAsiaTheme="minorEastAsia" w:hAnsiTheme="minorEastAsia" w:cstheme="minorEastAsia" w:hint="eastAsia"/>
          <w:color w:val="000000"/>
          <w:sz w:val="24"/>
          <w:szCs w:val="24"/>
          <w:highlight w:val="none"/>
          <w:lang w:eastAsia="zh-CN"/>
        </w:rPr>
        <w:t>的，</w:t>
      </w:r>
      <w:r>
        <w:rPr>
          <w:rFonts w:asciiTheme="minorEastAsia" w:eastAsiaTheme="minorEastAsia" w:hAnsiTheme="minorEastAsia" w:cstheme="minorEastAsia" w:hint="eastAsia"/>
          <w:bCs/>
          <w:kern w:val="0"/>
          <w:sz w:val="24"/>
          <w:szCs w:val="24"/>
          <w:highlight w:val="none"/>
        </w:rPr>
        <w:t>扣款</w:t>
      </w:r>
      <w:r>
        <w:rPr>
          <w:rFonts w:asciiTheme="minorEastAsia" w:eastAsiaTheme="minorEastAsia" w:hAnsiTheme="minorEastAsia" w:cstheme="minorEastAsia" w:hint="eastAsia"/>
          <w:bCs/>
          <w:kern w:val="0"/>
          <w:sz w:val="24"/>
          <w:szCs w:val="24"/>
          <w:highlight w:val="none"/>
          <w:lang w:val="en-US" w:eastAsia="zh-CN"/>
        </w:rPr>
        <w:t>1</w:t>
      </w:r>
      <w:r>
        <w:rPr>
          <w:rFonts w:asciiTheme="minorEastAsia" w:eastAsiaTheme="minorEastAsia" w:hAnsiTheme="minorEastAsia" w:cstheme="minorEastAsia" w:hint="eastAsia"/>
          <w:bCs/>
          <w:kern w:val="0"/>
          <w:sz w:val="24"/>
          <w:szCs w:val="24"/>
          <w:highlight w:val="none"/>
        </w:rPr>
        <w:t>00元/次</w:t>
      </w:r>
      <w:r>
        <w:rPr>
          <w:rFonts w:asciiTheme="minorEastAsia" w:eastAsiaTheme="minorEastAsia" w:hAnsiTheme="minorEastAsia" w:cstheme="minorEastAsia" w:hint="eastAsia"/>
          <w:bCs/>
          <w:kern w:val="0"/>
          <w:sz w:val="24"/>
          <w:szCs w:val="24"/>
          <w:highlight w:val="none"/>
          <w:lang w:eastAsia="zh-CN"/>
        </w:rPr>
        <w:t>。</w:t>
      </w:r>
    </w:p>
    <w:p>
      <w:pPr>
        <w:spacing w:line="360" w:lineRule="auto"/>
        <w:ind w:firstLine="480" w:firstLineChars="200"/>
        <w:rPr>
          <w:rFonts w:asciiTheme="minorEastAsia" w:eastAsiaTheme="minorEastAsia" w:hAnsiTheme="minorEastAsia" w:cstheme="minorEastAsia" w:hint="eastAsia"/>
          <w:color w:val="000000"/>
          <w:sz w:val="24"/>
          <w:szCs w:val="24"/>
          <w:highlight w:val="none"/>
          <w:lang w:eastAsia="zh-CN"/>
        </w:rPr>
      </w:pP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bCs/>
          <w:kern w:val="0"/>
          <w:sz w:val="24"/>
          <w:szCs w:val="24"/>
          <w:highlight w:val="none"/>
          <w:lang w:val="en-US" w:eastAsia="zh-CN"/>
        </w:rPr>
        <w:t>4</w:t>
      </w: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color w:val="000000"/>
          <w:sz w:val="24"/>
          <w:szCs w:val="24"/>
          <w:highlight w:val="none"/>
        </w:rPr>
        <w:t>工作完毕后现场未做到“工完、料尽、场地清”的（暂时不能移走的除外，但必须按期清走）</w:t>
      </w:r>
      <w:r>
        <w:rPr>
          <w:rFonts w:asciiTheme="minorEastAsia" w:eastAsiaTheme="minorEastAsia" w:hAnsiTheme="minorEastAsia" w:cstheme="minorEastAsia" w:hint="eastAsia"/>
          <w:color w:val="000000"/>
          <w:sz w:val="24"/>
          <w:szCs w:val="24"/>
          <w:highlight w:val="none"/>
          <w:lang w:eastAsia="zh-CN"/>
        </w:rPr>
        <w:t>的，</w:t>
      </w:r>
      <w:r>
        <w:rPr>
          <w:rFonts w:asciiTheme="minorEastAsia" w:eastAsiaTheme="minorEastAsia" w:hAnsiTheme="minorEastAsia" w:cstheme="minorEastAsia" w:hint="eastAsia"/>
          <w:bCs/>
          <w:kern w:val="0"/>
          <w:sz w:val="24"/>
          <w:szCs w:val="24"/>
          <w:highlight w:val="none"/>
        </w:rPr>
        <w:t>扣款</w:t>
      </w:r>
      <w:r>
        <w:rPr>
          <w:rFonts w:asciiTheme="minorEastAsia" w:eastAsiaTheme="minorEastAsia" w:hAnsiTheme="minorEastAsia" w:cstheme="minorEastAsia" w:hint="eastAsia"/>
          <w:bCs/>
          <w:kern w:val="0"/>
          <w:sz w:val="24"/>
          <w:szCs w:val="24"/>
          <w:highlight w:val="none"/>
          <w:lang w:val="en-US" w:eastAsia="zh-CN"/>
        </w:rPr>
        <w:t>1</w:t>
      </w:r>
      <w:r>
        <w:rPr>
          <w:rFonts w:asciiTheme="minorEastAsia" w:eastAsiaTheme="minorEastAsia" w:hAnsiTheme="minorEastAsia" w:cstheme="minorEastAsia" w:hint="eastAsia"/>
          <w:bCs/>
          <w:kern w:val="0"/>
          <w:sz w:val="24"/>
          <w:szCs w:val="24"/>
          <w:highlight w:val="none"/>
        </w:rPr>
        <w:t>00-</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00元/次</w:t>
      </w:r>
      <w:r>
        <w:rPr>
          <w:rFonts w:asciiTheme="minorEastAsia" w:eastAsiaTheme="minorEastAsia" w:hAnsiTheme="minorEastAsia" w:cstheme="minorEastAsia" w:hint="eastAsia"/>
          <w:bCs/>
          <w:kern w:val="0"/>
          <w:sz w:val="24"/>
          <w:szCs w:val="24"/>
          <w:highlight w:val="none"/>
          <w:lang w:eastAsia="zh-CN"/>
        </w:rPr>
        <w:t>。</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15、施工队（班组）安全文明管理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（1）未建立安全检查制度或制度不能有效运行，检查整改工作未形成闭环管理的，扣款2000元。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（2）未开展周、月的自行安全检查的，扣款1000元。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（3）在</w:t>
      </w:r>
      <w:r>
        <w:rPr>
          <w:rFonts w:asciiTheme="minorEastAsia" w:eastAsiaTheme="minorEastAsia" w:hAnsiTheme="minorEastAsia" w:cstheme="minorEastAsia" w:hint="eastAsia"/>
          <w:bCs/>
          <w:kern w:val="0"/>
          <w:sz w:val="24"/>
          <w:szCs w:val="24"/>
          <w:highlight w:val="none"/>
          <w:lang w:eastAsia="zh-CN"/>
        </w:rPr>
        <w:t>每日</w:t>
      </w:r>
      <w:r>
        <w:rPr>
          <w:rFonts w:asciiTheme="minorEastAsia" w:eastAsiaTheme="minorEastAsia" w:hAnsiTheme="minorEastAsia" w:cstheme="minorEastAsia" w:hint="eastAsia"/>
          <w:bCs/>
          <w:kern w:val="0"/>
          <w:sz w:val="24"/>
          <w:szCs w:val="24"/>
          <w:highlight w:val="none"/>
        </w:rPr>
        <w:t>开工前未召开站班会、预知危险活动或走过场的，站班会和预知危险活动无记录或记录不齐全、不具体、有代签字或不规范现象的，扣款</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bCs/>
          <w:kern w:val="0"/>
          <w:sz w:val="24"/>
          <w:szCs w:val="24"/>
          <w:highlight w:val="none"/>
          <w:lang w:val="en-US" w:eastAsia="zh-CN"/>
        </w:rPr>
        <w:t>4</w:t>
      </w: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bCs/>
          <w:kern w:val="0"/>
          <w:sz w:val="24"/>
          <w:szCs w:val="24"/>
          <w:highlight w:val="none"/>
        </w:rPr>
        <w:t>在</w:t>
      </w:r>
      <w:r>
        <w:rPr>
          <w:rFonts w:asciiTheme="minorEastAsia" w:eastAsiaTheme="minorEastAsia" w:hAnsiTheme="minorEastAsia" w:cstheme="minorEastAsia" w:hint="eastAsia"/>
          <w:bCs/>
          <w:kern w:val="0"/>
          <w:sz w:val="24"/>
          <w:szCs w:val="24"/>
          <w:highlight w:val="none"/>
          <w:lang w:eastAsia="zh-CN"/>
        </w:rPr>
        <w:t>每日</w:t>
      </w:r>
      <w:r>
        <w:rPr>
          <w:rFonts w:asciiTheme="minorEastAsia" w:eastAsiaTheme="minorEastAsia" w:hAnsiTheme="minorEastAsia" w:cstheme="minorEastAsia" w:hint="eastAsia"/>
          <w:bCs/>
          <w:kern w:val="0"/>
          <w:sz w:val="24"/>
          <w:szCs w:val="24"/>
          <w:highlight w:val="none"/>
        </w:rPr>
        <w:t>开工前未</w:t>
      </w:r>
      <w:r>
        <w:rPr>
          <w:rFonts w:eastAsiaTheme="minorEastAsia" w:hint="eastAsia"/>
          <w:sz w:val="24"/>
          <w:lang w:eastAsia="zh-CN"/>
        </w:rPr>
        <w:t>对作业人员</w:t>
      </w:r>
      <w:r>
        <w:rPr>
          <w:rFonts w:hint="eastAsia"/>
          <w:sz w:val="24"/>
        </w:rPr>
        <w:t>现场精神状态检查</w:t>
      </w:r>
      <w:r>
        <w:rPr>
          <w:rFonts w:hint="eastAsia"/>
          <w:sz w:val="24"/>
          <w:lang w:eastAsia="zh-CN"/>
        </w:rPr>
        <w:t>的</w:t>
      </w:r>
      <w:r>
        <w:rPr>
          <w:rFonts w:asciiTheme="minorEastAsia" w:eastAsiaTheme="minorEastAsia" w:hAnsiTheme="minorEastAsia" w:cstheme="minorEastAsia" w:hint="eastAsia"/>
          <w:bCs/>
          <w:kern w:val="0"/>
          <w:sz w:val="24"/>
          <w:szCs w:val="24"/>
          <w:highlight w:val="none"/>
        </w:rPr>
        <w:t>，扣款</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00元/次。</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16、施工机械设备、安全工器具管理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（1）未对进场施工机械和设备进行验收，未定期对施工机械和设备进行检验，施工中使用不安全的（如运转部位的防护部件没有或缺失）加工机械和设备，扣款500-2000元。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（2）租赁不合格设备或租赁合同未明确双方安全管理职责的，扣款3000元。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（3）施工机械、安全工器具、临时用电、消防未指定专人负责管理，或管理责任人未到位，管理人员未开展定期检查的，扣款500-3000元。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（4）未建立机械设备、安全工器具管理台账的，扣款1000元。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lang w:eastAsia="zh-CN"/>
        </w:rPr>
      </w:pP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bCs/>
          <w:kern w:val="0"/>
          <w:sz w:val="24"/>
          <w:szCs w:val="24"/>
          <w:highlight w:val="none"/>
          <w:lang w:val="en-US" w:eastAsia="zh-CN"/>
        </w:rPr>
        <w:t>5</w:t>
      </w: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bCs/>
          <w:kern w:val="0"/>
          <w:sz w:val="24"/>
          <w:szCs w:val="24"/>
          <w:highlight w:val="none"/>
        </w:rPr>
        <w:t>施工机械、安全工器具、临时用电</w:t>
      </w:r>
      <w:r>
        <w:rPr>
          <w:rFonts w:asciiTheme="minorEastAsia" w:eastAsiaTheme="minorEastAsia" w:hAnsiTheme="minorEastAsia" w:cstheme="minorEastAsia" w:hint="eastAsia"/>
          <w:bCs/>
          <w:kern w:val="0"/>
          <w:sz w:val="24"/>
          <w:szCs w:val="24"/>
          <w:highlight w:val="none"/>
          <w:lang w:eastAsia="zh-CN"/>
        </w:rPr>
        <w:t>箱</w:t>
      </w:r>
      <w:r>
        <w:rPr>
          <w:rFonts w:asciiTheme="minorEastAsia" w:eastAsiaTheme="minorEastAsia" w:hAnsiTheme="minorEastAsia" w:cstheme="minorEastAsia" w:hint="eastAsia"/>
          <w:bCs/>
          <w:kern w:val="0"/>
          <w:sz w:val="24"/>
          <w:szCs w:val="24"/>
          <w:highlight w:val="none"/>
        </w:rPr>
        <w:t>、消防</w:t>
      </w:r>
      <w:r>
        <w:rPr>
          <w:rFonts w:asciiTheme="minorEastAsia" w:eastAsiaTheme="minorEastAsia" w:hAnsiTheme="minorEastAsia" w:cstheme="minorEastAsia" w:hint="eastAsia"/>
          <w:bCs/>
          <w:kern w:val="0"/>
          <w:sz w:val="24"/>
          <w:szCs w:val="24"/>
          <w:highlight w:val="none"/>
          <w:lang w:eastAsia="zh-CN"/>
        </w:rPr>
        <w:t>器材等检验日期过期的，</w:t>
      </w:r>
      <w:r>
        <w:rPr>
          <w:rFonts w:asciiTheme="minorEastAsia" w:eastAsiaTheme="minorEastAsia" w:hAnsiTheme="minorEastAsia" w:cstheme="minorEastAsia" w:hint="eastAsia"/>
          <w:bCs/>
          <w:kern w:val="0"/>
          <w:sz w:val="24"/>
          <w:szCs w:val="24"/>
          <w:highlight w:val="none"/>
        </w:rPr>
        <w:t>扣款</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00-</w:t>
      </w:r>
      <w:r>
        <w:rPr>
          <w:rFonts w:asciiTheme="minorEastAsia" w:eastAsiaTheme="minorEastAsia" w:hAnsiTheme="minorEastAsia" w:cstheme="minorEastAsia" w:hint="eastAsia"/>
          <w:bCs/>
          <w:kern w:val="0"/>
          <w:sz w:val="24"/>
          <w:szCs w:val="24"/>
          <w:highlight w:val="none"/>
          <w:lang w:val="en-US" w:eastAsia="zh-CN"/>
        </w:rPr>
        <w:t>5</w:t>
      </w:r>
      <w:r>
        <w:rPr>
          <w:rFonts w:asciiTheme="minorEastAsia" w:eastAsiaTheme="minorEastAsia" w:hAnsiTheme="minorEastAsia" w:cstheme="minorEastAsia" w:hint="eastAsia"/>
          <w:bCs/>
          <w:kern w:val="0"/>
          <w:sz w:val="24"/>
          <w:szCs w:val="24"/>
          <w:highlight w:val="none"/>
        </w:rPr>
        <w:t>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17、运输车辆安全管理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（1）未建立车辆安全管理台账或无车辆日常检查维护记录的，扣款2000元。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（2）车辆“三证一卡”不齐全或车辆存在缺陷的，扣款2000元。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（3）未组织驾驶员定期开展安全培训的，扣款2000元。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18、个人安全防护用品</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（1）个人安全防护用品管理不规范的，扣款1000元。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（2）个人安全防护用品未按规范要求使用的</w:t>
      </w:r>
      <w:r>
        <w:rPr>
          <w:rFonts w:asciiTheme="minorEastAsia" w:eastAsiaTheme="minorEastAsia" w:hAnsiTheme="minorEastAsia" w:cstheme="minorEastAsia" w:hint="eastAsia"/>
          <w:bCs/>
          <w:kern w:val="0"/>
          <w:sz w:val="24"/>
          <w:szCs w:val="24"/>
          <w:highlight w:val="none"/>
          <w:lang w:eastAsia="zh-CN"/>
        </w:rPr>
        <w:t>（如：安全带抵挂高用的）</w:t>
      </w:r>
      <w:r>
        <w:rPr>
          <w:rFonts w:asciiTheme="minorEastAsia" w:eastAsiaTheme="minorEastAsia" w:hAnsiTheme="minorEastAsia" w:cstheme="minorEastAsia" w:hint="eastAsia"/>
          <w:bCs/>
          <w:kern w:val="0"/>
          <w:sz w:val="24"/>
          <w:szCs w:val="24"/>
          <w:highlight w:val="none"/>
        </w:rPr>
        <w:t>，扣款200-500元元/次。</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19、临时提示遮栏及防护栏杆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（2）施工作业区施工警戒、施工公告、安全纪律牌、安全警告标志、重大危险源告知牌等不完善就组织施工的，扣款1000元。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（3）临空面未设防护栏或设置不规范的，视情况扣款200-500元/处。</w:t>
      </w:r>
    </w:p>
    <w:p>
      <w:pPr>
        <w:spacing w:line="360" w:lineRule="auto"/>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
          <w:bCs/>
          <w:kern w:val="0"/>
          <w:sz w:val="24"/>
          <w:szCs w:val="24"/>
          <w:highlight w:val="none"/>
        </w:rPr>
        <w:t>20、孔洞盖板</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（2）施工作业区施工警戒、施工公告、安全纪律牌、安全警告标志、重大危险源告知牌等不完善就组织施工的，扣款1000元。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（3）未按要求规范设置盖板的，视情况扣款200-500元/处。</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21、安全网</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（1）安全网未经验收或验收不合格即投入使用，扣款2000元。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（2）安全网未按规范要求设置的，扣款200-500元/处。</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22、隔离设施</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（1）施工作业区施工警戒、施工公告、安全纪律牌、安全警告标志、重大危险源告知牌等不完善就组织施工，处200元扣款。</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（2）高处危险作业的平台、走道、斜道等处未装设防护栏杆或未设防护立网，扣款200元。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（3）施工现场、高处作业区域的孔洞无牢固的标准盖板或围栏，扣款200-500元。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（4）深沟、深坑四周无安全警戒线或围栏、夜间无警告红灯，扣款200-500元。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（5）高处交叉作业、拆除工程等危险作业，四周无安全警戒标志旗绳，扣款200-500元。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（6）高处作业临边未设防护栏杆和踢脚板，扣款200-300元。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（7）安全设施损坏或有缺陷未及时组织维修，或更换工作完毕后不及时回收，扣款200元/处。</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23、防火、防爆设施</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（1）易燃、易爆区、重点防火区、消防器材配备不齐，不符合消防规程的要求，无警示标志，扣款200元/处。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(2)消防器材、设施未指定专人负责管理，或管理责任人未到位，管理人员未开展定期检查，扣款500元。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（3）没有在其施工区域内的危险场所或部位设置明显的安全警示标志或使用不符合国家标准或行业标准的安全警示标志的，视情况扣款200元-500/处。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（4）易燃、易爆品运输、存放不符合国家规定的，扣款1000元。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（5）在施工道路以及主干道上堆放设备、材料、物品，扣款200-500元。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（6）随意堵塞消防通道或取用消防水，扣款200-500元。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（7）电、火焊作业未采取必要的防护措施，扣款200元。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（8）未按规定要求进行动火、爆破作业的，扣款500元。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24、施工用电管理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（2）编制施工现场用电安全技术方案，现场临电设施未经验收合格即投入使用责令停止使用并视情况扣款1000-5000元。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（3）临时用电未指定专人负责管理，或管理责任人未到位，管理人员未开展定期检查，扣款1000元。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（4）电气设施场所消防器材配备不齐，不符合消防规程的要求，无警示标志，扣款300元。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（6）未进行每月一次的用电设施自行安全检查，扣款300-500元。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（7）电工用电设施不符合三相五线制，接地不规范的，扣款500元。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25、施工用电设施</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（1）架空线路不符合架设规范要求的，扣款300-500元。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（2）电缆敷设不符合敷设规范要求的，扣款300-500元。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（3）变压器安装不符合敷设规范要求的，扣款300-500元。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（4）配电箱安装不符合敷设规范要求的，扣款300-500元。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26、接零（接地）保护</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（1）同一系统中的电气设备部分接地和部分接零的，扣款200-500元。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（2）对地电压127V及以上的电气设备及设施装设接地（接零）保护不规范的，扣款200-500元。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（3）中性点直接接地系统中的电气设备采用接零保护或采用接地保护时，接地网与变压器中性点无金属性连接的，扣款200-500元。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（4）接零保护不符合规范要求的，扣款200-500元。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（5）使用外接电源时，电源设备所采用的保护方式与外界电源系统的保护方式不一致的，扣款200-500元。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（6）接地（零线）连接不可靠或不符合规范要求的，扣款200-500元。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27、砂轮机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（1）砂轮机设置不满足安全用电要求或存在缺陷的，扣款500元。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（2）未按砂轮机操作规程违章作业的，扣款300元。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28、钢筋切料机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（1）钢筋切料机设置不满足安全用电要求或存在缺陷的，扣款500元。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（2）未按钢筋切料机操作规程违章作业的，扣款300元。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29、圆盘锯</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（1）圆盘锯安装不满足安全用电要求或存在缺陷的，扣款500元。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（2）未按圆盘锯操作规程违章作业的，扣款300元。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30、空压机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（1）空压机使用不满足安全用电要求或存在缺陷的，扣款500元。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（2）未按空压机操作规程违章作业的，扣款300元。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（3）空压机未指定专人负责管理、操作并定期检查维护的，扣款300元。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31、水泵</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（1）水泵使用不满足安全用电要求的，扣款300元。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32、滤油机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（1）未按滤油机操作规程违章作业的，扣款300元。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（2）滤油机使用不满足安全用电要求的，扣款500元。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（3）滤油机表计、自动装置未定期校验的，扣款300元。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33、电焊机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（1）电焊机不满足安全用电要求或存在缺陷的，扣款500元。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（2）违规使用电焊机或电焊线绝缘、接地、接线等不符合规范要求的，扣款500元。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3</w:t>
      </w:r>
      <w:r>
        <w:rPr>
          <w:rFonts w:asciiTheme="minorEastAsia" w:eastAsiaTheme="minorEastAsia" w:hAnsiTheme="minorEastAsia" w:cstheme="minorEastAsia" w:hint="eastAsia"/>
          <w:bCs/>
          <w:kern w:val="0"/>
          <w:sz w:val="24"/>
          <w:szCs w:val="24"/>
          <w:highlight w:val="none"/>
        </w:rPr>
        <w:t>）电焊机</w:t>
      </w:r>
      <w:r>
        <w:rPr>
          <w:rFonts w:asciiTheme="minorEastAsia" w:eastAsiaTheme="minorEastAsia" w:hAnsiTheme="minorEastAsia" w:cstheme="minorEastAsia" w:hint="eastAsia"/>
          <w:bCs/>
          <w:kern w:val="0"/>
          <w:sz w:val="24"/>
          <w:szCs w:val="24"/>
          <w:highlight w:val="none"/>
          <w:lang w:eastAsia="zh-CN"/>
        </w:rPr>
        <w:t>检验日期过期的，</w:t>
      </w:r>
      <w:r>
        <w:rPr>
          <w:rFonts w:asciiTheme="minorEastAsia" w:eastAsiaTheme="minorEastAsia" w:hAnsiTheme="minorEastAsia" w:cstheme="minorEastAsia" w:hint="eastAsia"/>
          <w:bCs/>
          <w:kern w:val="0"/>
          <w:sz w:val="24"/>
          <w:szCs w:val="24"/>
          <w:highlight w:val="none"/>
        </w:rPr>
        <w:t>扣款</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00元</w:t>
      </w:r>
      <w:r>
        <w:rPr>
          <w:rFonts w:asciiTheme="minorEastAsia" w:eastAsiaTheme="minorEastAsia" w:hAnsiTheme="minorEastAsia" w:cstheme="minorEastAsia" w:hint="eastAsia"/>
          <w:bCs/>
          <w:kern w:val="0"/>
          <w:sz w:val="24"/>
          <w:szCs w:val="24"/>
          <w:highlight w:val="none"/>
          <w:lang w:eastAsia="zh-CN"/>
        </w:rPr>
        <w:t>。</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34、手扳（链条）葫芦</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（1）使用不合格或有缺陷的手扳（链条）葫芦，扣款500元。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（2）手扳（链条）葫芦未定期进行检查试验并保存相关记录的，扣款500元。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（3）超负荷使用手扳（链条）葫芦或起吊作业时操作、指挥不符合规范要求的，扣款500元。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35、钢丝绳</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（1）使用不合格或有缺陷的钢丝绳，扣款500元。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（2）使用的钢丝绳不能满足起吊作业要求或使用方法不当的，扣款500元。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36、气瓶</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bookmarkStart w:id="6" w:name="OLE_LINK1"/>
      <w:r>
        <w:rPr>
          <w:rFonts w:asciiTheme="minorEastAsia" w:eastAsiaTheme="minorEastAsia" w:hAnsiTheme="minorEastAsia" w:cstheme="minorEastAsia" w:hint="eastAsia"/>
          <w:bCs/>
          <w:kern w:val="0"/>
          <w:sz w:val="24"/>
          <w:szCs w:val="24"/>
          <w:highlight w:val="none"/>
        </w:rPr>
        <w:t>（1）未建立气瓶存储安全管理制度、未指定专人负责管理或存放不符合规范要求的，扣款500元。</w:t>
      </w:r>
    </w:p>
    <w:p>
      <w:pPr>
        <w:spacing w:line="360" w:lineRule="auto"/>
        <w:ind w:firstLine="480" w:firstLineChars="200"/>
        <w:rPr>
          <w:rFonts w:asciiTheme="minorEastAsia" w:eastAsiaTheme="minorEastAsia" w:hAnsiTheme="minorEastAsia" w:cstheme="minorEastAsia" w:hint="eastAsia"/>
          <w:bCs w:val="0"/>
          <w:kern w:val="2"/>
          <w:sz w:val="24"/>
          <w:szCs w:val="24"/>
          <w:highlight w:val="none"/>
        </w:rPr>
      </w:pPr>
      <w:r>
        <w:rPr>
          <w:rFonts w:asciiTheme="minorEastAsia" w:eastAsiaTheme="minorEastAsia" w:hAnsiTheme="minorEastAsia" w:cstheme="minorEastAsia" w:hint="eastAsia"/>
          <w:bCs/>
          <w:kern w:val="0"/>
          <w:sz w:val="24"/>
          <w:szCs w:val="24"/>
          <w:highlight w:val="none"/>
        </w:rPr>
        <w:t>（2）使用已过期的气瓶或气瓶未</w:t>
      </w:r>
      <w:r>
        <w:rPr>
          <w:rFonts w:asciiTheme="minorEastAsia" w:eastAsiaTheme="minorEastAsia" w:hAnsiTheme="minorEastAsia" w:cstheme="minorEastAsia" w:hint="eastAsia"/>
          <w:bCs w:val="0"/>
          <w:kern w:val="2"/>
          <w:sz w:val="24"/>
          <w:szCs w:val="24"/>
          <w:highlight w:val="none"/>
        </w:rPr>
        <w:t>标注气体名称的，扣款300元。</w:t>
      </w:r>
    </w:p>
    <w:p>
      <w:pPr>
        <w:spacing w:line="360" w:lineRule="auto"/>
        <w:ind w:firstLine="480" w:firstLineChars="200"/>
        <w:rPr>
          <w:rFonts w:asciiTheme="minorEastAsia" w:eastAsiaTheme="minorEastAsia" w:hAnsiTheme="minorEastAsia" w:cstheme="minorEastAsia" w:hint="eastAsia"/>
          <w:bCs w:val="0"/>
          <w:kern w:val="2"/>
          <w:sz w:val="24"/>
          <w:szCs w:val="24"/>
          <w:highlight w:val="none"/>
        </w:rPr>
      </w:pPr>
      <w:r>
        <w:rPr>
          <w:rFonts w:asciiTheme="minorEastAsia" w:eastAsiaTheme="minorEastAsia" w:hAnsiTheme="minorEastAsia" w:cstheme="minorEastAsia" w:hint="eastAsia"/>
          <w:bCs w:val="0"/>
          <w:kern w:val="2"/>
          <w:sz w:val="24"/>
          <w:szCs w:val="24"/>
          <w:highlight w:val="none"/>
        </w:rPr>
        <w:t>（3）气焊气割作业时，氧气瓶和乙炔瓶距离小于5M或气瓶未装设减压器、回火防止器的，扣款300元/个。</w:t>
      </w:r>
    </w:p>
    <w:p>
      <w:pPr>
        <w:spacing w:line="360" w:lineRule="auto"/>
        <w:ind w:firstLine="480" w:firstLineChars="200"/>
        <w:rPr>
          <w:rFonts w:asciiTheme="minorEastAsia" w:eastAsiaTheme="minorEastAsia" w:hAnsiTheme="minorEastAsia" w:cstheme="minorEastAsia" w:hint="eastAsia"/>
          <w:bCs w:val="0"/>
          <w:kern w:val="2"/>
          <w:sz w:val="24"/>
          <w:szCs w:val="24"/>
          <w:highlight w:val="none"/>
        </w:rPr>
      </w:pPr>
      <w:r>
        <w:rPr>
          <w:rFonts w:asciiTheme="minorEastAsia" w:eastAsiaTheme="minorEastAsia" w:hAnsiTheme="minorEastAsia" w:cstheme="minorEastAsia" w:hint="eastAsia"/>
          <w:bCs w:val="0"/>
          <w:kern w:val="2"/>
          <w:sz w:val="24"/>
          <w:szCs w:val="24"/>
          <w:highlight w:val="none"/>
        </w:rPr>
        <w:t>（</w:t>
      </w:r>
      <w:r>
        <w:rPr>
          <w:rFonts w:asciiTheme="minorEastAsia" w:eastAsiaTheme="minorEastAsia" w:hAnsiTheme="minorEastAsia" w:cstheme="minorEastAsia" w:hint="eastAsia"/>
          <w:bCs w:val="0"/>
          <w:kern w:val="2"/>
          <w:sz w:val="24"/>
          <w:szCs w:val="24"/>
          <w:highlight w:val="none"/>
          <w:lang w:val="en-US" w:eastAsia="zh-CN"/>
        </w:rPr>
        <w:t>4</w:t>
      </w:r>
      <w:r>
        <w:rPr>
          <w:rFonts w:asciiTheme="minorEastAsia" w:eastAsiaTheme="minorEastAsia" w:hAnsiTheme="minorEastAsia" w:cstheme="minorEastAsia" w:hint="eastAsia"/>
          <w:bCs w:val="0"/>
          <w:kern w:val="2"/>
          <w:sz w:val="24"/>
          <w:szCs w:val="24"/>
          <w:highlight w:val="none"/>
        </w:rPr>
        <w:t>）</w:t>
      </w:r>
      <w:r>
        <w:rPr>
          <w:rFonts w:asciiTheme="minorEastAsia" w:eastAsiaTheme="minorEastAsia" w:hAnsiTheme="minorEastAsia" w:cstheme="minorEastAsia" w:hint="eastAsia"/>
          <w:sz w:val="24"/>
          <w:szCs w:val="24"/>
          <w:highlight w:val="none"/>
        </w:rPr>
        <w:t>使用中的氧气瓶和乙炔气瓶</w:t>
      </w:r>
      <w:r>
        <w:rPr>
          <w:rFonts w:asciiTheme="minorEastAsia" w:eastAsiaTheme="minorEastAsia" w:hAnsiTheme="minorEastAsia" w:cstheme="minorEastAsia" w:hint="eastAsia"/>
          <w:sz w:val="24"/>
          <w:szCs w:val="24"/>
          <w:highlight w:val="none"/>
          <w:lang w:eastAsia="zh-CN"/>
        </w:rPr>
        <w:t>没有</w:t>
      </w:r>
      <w:r>
        <w:rPr>
          <w:rFonts w:asciiTheme="minorEastAsia" w:eastAsiaTheme="minorEastAsia" w:hAnsiTheme="minorEastAsia" w:cstheme="minorEastAsia" w:hint="eastAsia"/>
          <w:sz w:val="24"/>
          <w:szCs w:val="24"/>
          <w:highlight w:val="none"/>
        </w:rPr>
        <w:t>垂直放置并固定起来</w:t>
      </w:r>
      <w:r>
        <w:rPr>
          <w:rFonts w:asciiTheme="minorEastAsia" w:eastAsiaTheme="minorEastAsia" w:hAnsiTheme="minorEastAsia" w:cstheme="minorEastAsia" w:hint="eastAsia"/>
          <w:sz w:val="24"/>
          <w:szCs w:val="24"/>
          <w:highlight w:val="none"/>
          <w:lang w:eastAsia="zh-CN"/>
        </w:rPr>
        <w:t>的、或</w:t>
      </w:r>
      <w:r>
        <w:rPr>
          <w:rFonts w:asciiTheme="minorEastAsia" w:eastAsiaTheme="minorEastAsia" w:hAnsiTheme="minorEastAsia" w:cstheme="minorEastAsia" w:hint="eastAsia"/>
          <w:sz w:val="24"/>
          <w:szCs w:val="24"/>
          <w:highlight w:val="none"/>
        </w:rPr>
        <w:t>使用没有防震胶圈</w:t>
      </w:r>
      <w:r>
        <w:rPr>
          <w:rFonts w:asciiTheme="minorEastAsia" w:eastAsiaTheme="minorEastAsia" w:hAnsiTheme="minorEastAsia" w:cstheme="minorEastAsia" w:hint="eastAsia"/>
          <w:sz w:val="24"/>
          <w:szCs w:val="24"/>
          <w:highlight w:val="none"/>
          <w:lang w:eastAsia="zh-CN"/>
        </w:rPr>
        <w:t>的，</w:t>
      </w:r>
      <w:r>
        <w:rPr>
          <w:rFonts w:asciiTheme="minorEastAsia" w:eastAsiaTheme="minorEastAsia" w:hAnsiTheme="minorEastAsia" w:cstheme="minorEastAsia" w:hint="eastAsia"/>
          <w:bCs w:val="0"/>
          <w:kern w:val="2"/>
          <w:sz w:val="24"/>
          <w:szCs w:val="24"/>
          <w:highlight w:val="none"/>
        </w:rPr>
        <w:t>扣款</w:t>
      </w:r>
      <w:r>
        <w:rPr>
          <w:rFonts w:asciiTheme="minorEastAsia" w:eastAsiaTheme="minorEastAsia" w:hAnsiTheme="minorEastAsia" w:cstheme="minorEastAsia" w:hint="eastAsia"/>
          <w:bCs w:val="0"/>
          <w:kern w:val="2"/>
          <w:sz w:val="24"/>
          <w:szCs w:val="24"/>
          <w:highlight w:val="none"/>
          <w:lang w:val="en-US" w:eastAsia="zh-CN"/>
        </w:rPr>
        <w:t>2</w:t>
      </w:r>
      <w:r>
        <w:rPr>
          <w:rFonts w:asciiTheme="minorEastAsia" w:eastAsiaTheme="minorEastAsia" w:hAnsiTheme="minorEastAsia" w:cstheme="minorEastAsia" w:hint="eastAsia"/>
          <w:bCs w:val="0"/>
          <w:kern w:val="2"/>
          <w:sz w:val="24"/>
          <w:szCs w:val="24"/>
          <w:highlight w:val="none"/>
        </w:rPr>
        <w:t>00元。</w:t>
      </w:r>
    </w:p>
    <w:p>
      <w:pPr>
        <w:spacing w:line="360" w:lineRule="auto"/>
        <w:ind w:firstLine="480" w:firstLineChars="200"/>
        <w:rPr>
          <w:rFonts w:asciiTheme="minorEastAsia" w:eastAsiaTheme="minorEastAsia" w:hAnsiTheme="minorEastAsia" w:cstheme="minorEastAsia" w:hint="eastAsia"/>
          <w:bCs w:val="0"/>
          <w:kern w:val="2"/>
          <w:sz w:val="24"/>
          <w:szCs w:val="24"/>
          <w:highlight w:val="none"/>
        </w:rPr>
      </w:pPr>
      <w:r>
        <w:rPr>
          <w:rFonts w:asciiTheme="minorEastAsia" w:eastAsiaTheme="minorEastAsia" w:hAnsiTheme="minorEastAsia" w:cstheme="minorEastAsia" w:hint="eastAsia"/>
          <w:bCs w:val="0"/>
          <w:kern w:val="2"/>
          <w:sz w:val="24"/>
          <w:szCs w:val="24"/>
          <w:highlight w:val="none"/>
        </w:rPr>
        <w:t>（</w:t>
      </w:r>
      <w:r>
        <w:rPr>
          <w:rFonts w:asciiTheme="minorEastAsia" w:eastAsiaTheme="minorEastAsia" w:hAnsiTheme="minorEastAsia" w:cstheme="minorEastAsia" w:hint="eastAsia"/>
          <w:bCs w:val="0"/>
          <w:kern w:val="2"/>
          <w:sz w:val="24"/>
          <w:szCs w:val="24"/>
          <w:highlight w:val="none"/>
          <w:lang w:val="en-US" w:eastAsia="zh-CN"/>
        </w:rPr>
        <w:t>5</w:t>
      </w:r>
      <w:r>
        <w:rPr>
          <w:rFonts w:asciiTheme="minorEastAsia" w:eastAsiaTheme="minorEastAsia" w:hAnsiTheme="minorEastAsia" w:cstheme="minorEastAsia" w:hint="eastAsia"/>
          <w:bCs w:val="0"/>
          <w:kern w:val="2"/>
          <w:sz w:val="24"/>
          <w:szCs w:val="24"/>
          <w:highlight w:val="none"/>
        </w:rPr>
        <w:t>）</w:t>
      </w:r>
      <w:r>
        <w:rPr>
          <w:rFonts w:asciiTheme="minorEastAsia" w:eastAsiaTheme="minorEastAsia" w:hAnsiTheme="minorEastAsia" w:cstheme="minorEastAsia" w:hint="eastAsia"/>
          <w:sz w:val="24"/>
          <w:szCs w:val="24"/>
          <w:highlight w:val="none"/>
        </w:rPr>
        <w:t>露天的气瓶，</w:t>
      </w:r>
      <w:r>
        <w:rPr>
          <w:rFonts w:asciiTheme="minorEastAsia" w:eastAsiaTheme="minorEastAsia" w:hAnsiTheme="minorEastAsia" w:cstheme="minorEastAsia" w:hint="eastAsia"/>
          <w:sz w:val="24"/>
          <w:szCs w:val="24"/>
          <w:highlight w:val="none"/>
          <w:lang w:eastAsia="zh-CN"/>
        </w:rPr>
        <w:t>没有</w:t>
      </w:r>
      <w:r>
        <w:rPr>
          <w:rFonts w:asciiTheme="minorEastAsia" w:eastAsiaTheme="minorEastAsia" w:hAnsiTheme="minorEastAsia" w:cstheme="minorEastAsia" w:hint="eastAsia"/>
          <w:sz w:val="24"/>
          <w:szCs w:val="24"/>
          <w:highlight w:val="none"/>
        </w:rPr>
        <w:t>用帐棚或轻便的板棚遮护，受到阳光曝晒</w:t>
      </w:r>
      <w:r>
        <w:rPr>
          <w:rFonts w:asciiTheme="minorEastAsia" w:eastAsiaTheme="minorEastAsia" w:hAnsiTheme="minorEastAsia" w:cstheme="minorEastAsia" w:hint="eastAsia"/>
          <w:sz w:val="24"/>
          <w:szCs w:val="24"/>
          <w:highlight w:val="none"/>
          <w:lang w:eastAsia="zh-CN"/>
        </w:rPr>
        <w:t>的，</w:t>
      </w:r>
      <w:r>
        <w:rPr>
          <w:rFonts w:asciiTheme="minorEastAsia" w:eastAsiaTheme="minorEastAsia" w:hAnsiTheme="minorEastAsia" w:cstheme="minorEastAsia" w:hint="eastAsia"/>
          <w:bCs w:val="0"/>
          <w:kern w:val="2"/>
          <w:sz w:val="24"/>
          <w:szCs w:val="24"/>
          <w:highlight w:val="none"/>
        </w:rPr>
        <w:t>扣款</w:t>
      </w:r>
      <w:r>
        <w:rPr>
          <w:rFonts w:asciiTheme="minorEastAsia" w:eastAsiaTheme="minorEastAsia" w:hAnsiTheme="minorEastAsia" w:cstheme="minorEastAsia" w:hint="eastAsia"/>
          <w:bCs w:val="0"/>
          <w:kern w:val="2"/>
          <w:sz w:val="24"/>
          <w:szCs w:val="24"/>
          <w:highlight w:val="none"/>
          <w:lang w:val="en-US" w:eastAsia="zh-CN"/>
        </w:rPr>
        <w:t>2</w:t>
      </w:r>
      <w:r>
        <w:rPr>
          <w:rFonts w:asciiTheme="minorEastAsia" w:eastAsiaTheme="minorEastAsia" w:hAnsiTheme="minorEastAsia" w:cstheme="minorEastAsia" w:hint="eastAsia"/>
          <w:bCs w:val="0"/>
          <w:kern w:val="2"/>
          <w:sz w:val="24"/>
          <w:szCs w:val="24"/>
          <w:highlight w:val="none"/>
        </w:rPr>
        <w:t>00元。</w:t>
      </w:r>
    </w:p>
    <w:bookmarkEnd w:id="6"/>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37、切割机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（1）未切割机操作规程违章作业的，扣款300元。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（2）切割机性能不满足安全用电要求或存在缺陷的，扣款500元。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38、高处作业平台</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（1）使用不牢固或未经检查试验的高处作业平台，扣款500元。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（2）超负荷使用高处作业平台的，扣款500元。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（3）高处平台作业作业人员未系安全带的，扣款00元/人次。</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39、手持电动工具</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（1）使用手持电动工具不戴口罩、防护眼镜的，扣款200元/人次。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（2）运行中将转动设备的防护罩打开或将手伸入遮栏内，戴手套或用布、棉纱对转动部分进行清扫或检查维修等，扣款200元。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（3）手持电动工具不满足安全用电要求的，扣款500元。</w:t>
      </w:r>
    </w:p>
    <w:p>
      <w:pPr>
        <w:spacing w:line="360" w:lineRule="auto"/>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
          <w:bCs/>
          <w:kern w:val="0"/>
          <w:sz w:val="24"/>
          <w:szCs w:val="24"/>
          <w:highlight w:val="none"/>
        </w:rPr>
        <w:t>40、升降板及脚扣</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（1）升降板外观检查不满足要求或未定期进行试验的，扣款500元。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（2）升降板使用方法不当或不符规范要求的，扣款200元。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（3）使用变形、损坏的脚扣，扣款200元。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41、真空泵</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（1）真空泵外壳未可靠接地（零）、电源线破损、接线不规范或不满足安全用电要求的，扣款500元。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（2）使用前或使用过程中未对真空泵完好性进行检查的，扣款300元。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（3）真空泵工作过程中未设专人监护或未按操作规程违章作业的，扣款200-500元。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42、钢筋对焊机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（1）露天室外作业时，无可靠防雨防暴晒设施的，扣款200元。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（2）钢筋对焊机外壳未可靠接地（零）、电源线破损、接线不规范或不满足安全用电要求的，扣款500元。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（3）未按钢筋对焊机操作规程违章作业的，扣款200元。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（4）作业场所未按规定配备消防器材，不符合消防规程要求，无警示标志的，扣款300元。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43、混凝土搅拌机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（1）混凝土搅拌机布置不满足安全用电要求的，扣款500元。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（2）混凝土搅拌机使用过程中违规作业或不符合使用要求的，扣款200元。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（3）未定期对混凝土搅拌机进行维护保养并保存记录台账的，扣款300元。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44、卷扬机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（1）卷扬机设置不牢固、不规范或不满足安全用电要求的，扣款500元。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（2）使用有缺陷的卷扬机作业的，扣款500元。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45、物料提升架</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（2）施工安全技术措施不交底或不履行签字手续或不严格执行施工措施、方案的，扣款2000元。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（3）安排没有取得特种作业操作资格证书人员进行作业的，可责令停止作业，并视情况扣款300-1000元/人次。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（4）架体搭设、缆风绳设置、安全防护装置、卸料平台不能满足安全规范要求的，视情况扣款500-1000元。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（5）未按操作操作规程违章操作的，扣款300元。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（6）没有按有关规定，由专业生产单位生产，并经有专业资质的检测、检验机构检测、检验合格，取得安全使用证或者安全标志，而擅自投入使用的，扣款3000元。</w:t>
      </w:r>
    </w:p>
    <w:p>
      <w:pPr>
        <w:spacing w:line="360" w:lineRule="auto"/>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
          <w:bCs/>
          <w:kern w:val="0"/>
          <w:sz w:val="24"/>
          <w:szCs w:val="24"/>
          <w:highlight w:val="none"/>
        </w:rPr>
        <w:t>46、悬臂式升降平台作业车</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（2）作业车“三证一卡”不全，未定期按国家规定进行检定，取得合格证的，扣款1000-5000元。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（4）工作过程中未设专人监护、指挥或未按操作规程违章作业的，扣款200-500元。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（5）在恶劣气候、照明不足、指挥信号不明条件下进行升降作业的，视情况扣款200-500元。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47、轮式起重机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扣款3000-10000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（3）起重作业未按工作规程违章作业、违章指挥的，扣款200-500元。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48、挖掘机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（2）挖掘机未定期按国家规定进行检定，取得合格证的，扣款1000元。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（3）未按工作规程违章作业的，扣款200-500元。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49、压路机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（2）压路机未定期按国家规定进行检定，取得合格证的，扣款1000元。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（3）未按工作规程违章作业的，扣款200-500元。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（4）未定期进行保养维护工作的，扣款300元/次。</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50、装载机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（2）装载机未定期按国家规定进行检定，取得合格证的，扣款1000元。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（3）未按工作规程违章作业的，扣款200-500元。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（4）未定期进行保养维护工作的，扣款300元/次。</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51、推土机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（2）推土机未定期按国家规定进行检定，取得合格证的，扣款1000元。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（3）未按工作规程违章作业的，扣款200-500元。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（4）未定期进行保养维护工作的，扣款300元/次。</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52、钻孔平台</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（1）钻机基础不平整、不坚实的，扣款1000元。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（2）钻机接地保护不可靠或不满足安全用电要求的，扣款500元。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（3）使用不合格或有缺陷的钻孔平台作业，扣款1000-2000元。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（4）未按工作规程违章作业的，扣款200-500元。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（5）大雨、6级以上（含6级）大风天气进行搭设、高处作业的，视情况扣款500-1000元。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53、打夯机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（1）未可靠接地（零）、电源线破损、接线不规范或不满足安全用电要求的，扣款500元。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（2）未按工作规程违章作业的，扣款200-500元。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（3）暂停、停止作业时，未断开打夯机电源的，扣款300元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54、桩机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（1）桩机工作地点不平整、不坚实的，扣款1000元。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（2）电机绝缘、桩机作业不满足安全用电要求的，扣款500元。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（4）未对桩机进行日常检查维护保养或记录不全的， 扣款200元/次。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（5）未按工作规程违章作业的，扣款200-500元。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（6）大雨、6级以上（含6级）大风天气进行桩机作业的，视情况扣款500-1000元。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（7）夜间、大雾天气照明不能满足作业要求的，扣款300-500元。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55、桥式起重机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（1）安排没有取得特种作业操作资格证书人员进行作业的，可责令停止作业，扣款300-1000元/人次。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扣款3000- 10000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（4）使用起重系统有缺陷的桥式起重机作业的，扣款1000-3000元。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（5）未按工作规程违章作业的，扣款200-500元。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（6）起重工作无统一明确的指挥信号，盲目指挥的，扣款200-500元。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56、钢管脚手架</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w:t>
      </w:r>
      <w:r>
        <w:rPr>
          <w:rFonts w:asciiTheme="minorEastAsia" w:eastAsiaTheme="minorEastAsia" w:hAnsiTheme="minorEastAsia" w:cstheme="minorEastAsia" w:hint="eastAsia"/>
          <w:bCs/>
          <w:kern w:val="0"/>
          <w:sz w:val="24"/>
          <w:szCs w:val="24"/>
          <w:highlight w:val="none"/>
          <w:lang w:eastAsia="zh-CN"/>
        </w:rPr>
        <w:t>，</w:t>
      </w:r>
      <w:r>
        <w:rPr>
          <w:rFonts w:asciiTheme="minorEastAsia" w:eastAsiaTheme="minorEastAsia" w:hAnsiTheme="minorEastAsia" w:cstheme="minorEastAsia" w:hint="eastAsia"/>
          <w:bCs/>
          <w:kern w:val="0"/>
          <w:sz w:val="24"/>
          <w:szCs w:val="24"/>
          <w:highlight w:val="none"/>
        </w:rPr>
        <w:t>扣款1000-5000元。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（4）不按施工方案采取安全措施组织施工，扣款1000元/次。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（5）安排没有取得特种作业操作资格证书人员进行作业的，可责令停止作业并扣款1000元/人次。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（6）安全设施、安全用品、用具（如：劳保用品、脚手架材料、安全网等）工具装备未经验收合格或验收不合格即投入使用，可责令停止使用，扣款500-3000元。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（7）脚手架未经检查验收就投入使用的，扣款500-3000元。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（8）未按规范要求搭设竹脚手架的，扣款500元/处。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（9）没有在其施工区域内的危险场所或部位设置明显的安全警示标志或使用不符合国家标准或行业标准的安全警示标志的，视情况扣款200-500元/处。</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57、跨越架</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扣款1000-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（4）搭设跨越架未经检查验收就投入使用的，扣款1000-3000元。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（5）未按规范要求搭设跨越架的，扣款500元/处。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（7）大雨、6级以上（含6级）大风天气进行跨越架搭设作业的，视情况扣款500-1000元。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58、移动式梯子</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（1）使用缺损、不牢固的梯子作业的，扣款300元。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（2）未按规范要求使用移动梯子的，扣款200元。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59、土石方工程</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扣款1000-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（4）不按施工方案采取安全措施组织施工，扣款1000元/次。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（5）现场作业人员没有按规定和要求正确佩戴和使用劳动防护用品，扣款100元/人次。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（6）没有在其施工区域内的危险场所或部位设置明显的安全警示标志或使用不符合国家标准或行业标准的安全警示标志的，视情况扣款200-500元/处。</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60、模板工程</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（2）施工安全技术措施不交底或不履行签字手续或不严格执行施工措施、方案的，扣款2000元。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（3）不按施工方案采取安全措施组织施工，扣款1000元/次。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（4）现场作业人员没有按规定和要求正确佩戴和使用劳动防护用品，扣款100元/人次。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（5）模板支撑材料不合格或支撑结构不牢固的，扣款300元/处。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（6）模板安装与拆除工作未按工程规程、施工方案进行，现场违章作业的，扣款500元。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61、钢筋工程</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（2）钢筋加工器械不满足安全用电要求的，扣款500元。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（3）钢筋加工、绑扎未按工作规程违规作业的，扣款200-500元。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62、混凝土工程</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（1）搅拌机系统有缺陷或不满足安全用电要求的，扣款500元。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（2）施工项目无安全措施或未交底，施工负责人就组织施工，扣款500-1000元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（3）混凝土搅拌未按安全操作规程违规作业的，扣款200-500元。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（4）现场作业人员没有按规定和要求正确佩戴和使用劳动防护用品，扣款100元/人次。</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63、高处作业</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1</w:t>
      </w:r>
      <w:r>
        <w:rPr>
          <w:rFonts w:asciiTheme="minorEastAsia" w:eastAsiaTheme="minorEastAsia" w:hAnsiTheme="minorEastAsia" w:cstheme="minorEastAsia" w:hint="eastAsia"/>
          <w:bCs/>
          <w:kern w:val="0"/>
          <w:sz w:val="24"/>
          <w:szCs w:val="24"/>
          <w:highlight w:val="none"/>
        </w:rPr>
        <w:t>）违反职业禁忌症的有关规定，安排不符合身体健康要求的人员上岗作业，扣款500-1000元/人。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）现场作业人员没有按规定和要求正确佩戴和使用劳动防护用品，扣款300元/人次。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3</w:t>
      </w:r>
      <w:r>
        <w:rPr>
          <w:rFonts w:asciiTheme="minorEastAsia" w:eastAsiaTheme="minorEastAsia" w:hAnsiTheme="minorEastAsia" w:cstheme="minorEastAsia" w:hint="eastAsia"/>
          <w:bCs/>
          <w:kern w:val="0"/>
          <w:sz w:val="24"/>
          <w:szCs w:val="24"/>
          <w:highlight w:val="none"/>
        </w:rPr>
        <w:t>）大雨、6级以上（含6级）大风天气或恶劣气候进行高处作业的，扣款500-1000元。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4</w:t>
      </w:r>
      <w:r>
        <w:rPr>
          <w:rFonts w:asciiTheme="minorEastAsia" w:eastAsiaTheme="minorEastAsia" w:hAnsiTheme="minorEastAsia" w:cstheme="minorEastAsia" w:hint="eastAsia"/>
          <w:bCs/>
          <w:kern w:val="0"/>
          <w:sz w:val="24"/>
          <w:szCs w:val="24"/>
          <w:highlight w:val="none"/>
        </w:rPr>
        <w:t>）夜间高处作业照明不足的，扣款300-500元。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5</w:t>
      </w:r>
      <w:r>
        <w:rPr>
          <w:rFonts w:asciiTheme="minorEastAsia" w:eastAsiaTheme="minorEastAsia" w:hAnsiTheme="minorEastAsia" w:cstheme="minorEastAsia" w:hint="eastAsia"/>
          <w:bCs/>
          <w:kern w:val="0"/>
          <w:sz w:val="24"/>
          <w:szCs w:val="24"/>
          <w:highlight w:val="none"/>
        </w:rPr>
        <w:t>）没有在其施工区域内的危险场所或部位设置明显的安全警示标志或使用不符合国家标准或行业标准的安全警示标志的，视情况扣款200-500元/处。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6</w:t>
      </w:r>
      <w:r>
        <w:rPr>
          <w:rFonts w:asciiTheme="minorEastAsia" w:eastAsiaTheme="minorEastAsia" w:hAnsiTheme="minorEastAsia" w:cstheme="minorEastAsia" w:hint="eastAsia"/>
          <w:bCs/>
          <w:kern w:val="0"/>
          <w:sz w:val="24"/>
          <w:szCs w:val="24"/>
          <w:highlight w:val="none"/>
        </w:rPr>
        <w:t>）高处作业随手抛掷工器具、消耗性材料等物件，扣款200元。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7</w:t>
      </w:r>
      <w:r>
        <w:rPr>
          <w:rFonts w:asciiTheme="minorEastAsia" w:eastAsiaTheme="minorEastAsia" w:hAnsiTheme="minorEastAsia" w:cstheme="minorEastAsia" w:hint="eastAsia"/>
          <w:bCs/>
          <w:kern w:val="0"/>
          <w:sz w:val="24"/>
          <w:szCs w:val="24"/>
          <w:highlight w:val="none"/>
        </w:rPr>
        <w:t>）高处作业无防滑、防坠安全措施的，扣款500元。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8</w:t>
      </w:r>
      <w:r>
        <w:rPr>
          <w:rFonts w:asciiTheme="minorEastAsia" w:eastAsiaTheme="minorEastAsia" w:hAnsiTheme="minorEastAsia" w:cstheme="minorEastAsia" w:hint="eastAsia"/>
          <w:bCs/>
          <w:kern w:val="0"/>
          <w:sz w:val="24"/>
          <w:szCs w:val="24"/>
          <w:highlight w:val="none"/>
        </w:rPr>
        <w:t>）在坝顶、陡坡、屋顶、悬崖、杆塔、吊桥以及其他危险的边沿进行工作，临空一面</w:t>
      </w:r>
      <w:r>
        <w:rPr>
          <w:rFonts w:asciiTheme="minorEastAsia" w:eastAsiaTheme="minorEastAsia" w:hAnsiTheme="minorEastAsia" w:cstheme="minorEastAsia" w:hint="eastAsia"/>
          <w:bCs/>
          <w:kern w:val="0"/>
          <w:sz w:val="24"/>
          <w:szCs w:val="24"/>
          <w:highlight w:val="none"/>
          <w:lang w:eastAsia="zh-CN"/>
        </w:rPr>
        <w:t>没有</w:t>
      </w:r>
      <w:r>
        <w:rPr>
          <w:rFonts w:asciiTheme="minorEastAsia" w:eastAsiaTheme="minorEastAsia" w:hAnsiTheme="minorEastAsia" w:cstheme="minorEastAsia" w:hint="eastAsia"/>
          <w:bCs/>
          <w:kern w:val="0"/>
          <w:sz w:val="24"/>
          <w:szCs w:val="24"/>
          <w:highlight w:val="none"/>
        </w:rPr>
        <w:t>装设安全网或防护栏杆</w:t>
      </w:r>
      <w:r>
        <w:rPr>
          <w:rFonts w:asciiTheme="minorEastAsia" w:eastAsiaTheme="minorEastAsia" w:hAnsiTheme="minorEastAsia" w:cstheme="minorEastAsia" w:hint="eastAsia"/>
          <w:bCs/>
          <w:kern w:val="0"/>
          <w:sz w:val="24"/>
          <w:szCs w:val="24"/>
          <w:highlight w:val="none"/>
          <w:lang w:eastAsia="zh-CN"/>
        </w:rPr>
        <w:t>的，</w:t>
      </w:r>
      <w:r>
        <w:rPr>
          <w:rFonts w:asciiTheme="minorEastAsia" w:eastAsiaTheme="minorEastAsia" w:hAnsiTheme="minorEastAsia" w:cstheme="minorEastAsia" w:hint="eastAsia"/>
          <w:bCs/>
          <w:kern w:val="0"/>
          <w:sz w:val="24"/>
          <w:szCs w:val="24"/>
          <w:highlight w:val="none"/>
        </w:rPr>
        <w:t>扣款</w:t>
      </w:r>
      <w:r>
        <w:rPr>
          <w:rFonts w:asciiTheme="minorEastAsia" w:eastAsiaTheme="minorEastAsia" w:hAnsiTheme="minorEastAsia" w:cstheme="minorEastAsia" w:hint="eastAsia"/>
          <w:bCs/>
          <w:kern w:val="0"/>
          <w:sz w:val="24"/>
          <w:szCs w:val="24"/>
          <w:highlight w:val="none"/>
          <w:lang w:val="en-US" w:eastAsia="zh-CN"/>
        </w:rPr>
        <w:t>3</w:t>
      </w:r>
      <w:r>
        <w:rPr>
          <w:rFonts w:asciiTheme="minorEastAsia" w:eastAsiaTheme="minorEastAsia" w:hAnsiTheme="minorEastAsia" w:cstheme="minorEastAsia" w:hint="eastAsia"/>
          <w:bCs/>
          <w:kern w:val="0"/>
          <w:sz w:val="24"/>
          <w:szCs w:val="24"/>
          <w:highlight w:val="none"/>
        </w:rPr>
        <w:t>00元</w:t>
      </w:r>
      <w:r>
        <w:rPr>
          <w:rFonts w:asciiTheme="minorEastAsia" w:eastAsiaTheme="minorEastAsia" w:hAnsiTheme="minorEastAsia" w:cstheme="minorEastAsia" w:hint="eastAsia"/>
          <w:bCs/>
          <w:kern w:val="0"/>
          <w:sz w:val="24"/>
          <w:szCs w:val="24"/>
          <w:highlight w:val="none"/>
          <w:lang w:val="en-US" w:eastAsia="zh-CN"/>
        </w:rPr>
        <w:t>。</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64、桩基施工</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（1）没有编制安全技术措施方案，或未报工程监理、业主方审批、存档备查而擅自开工的，可责令停工并扣款5000元/次。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（2）安排没有取得特种作业操作资格证书人员进行作业的，可责令停止作业并扣款1000元/人次。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（3）施工安全技术措施不交底或不履行签字手续或不严格执行施工措施、方案的，扣款2000元。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（4）不按施工方案采取安全措施组织施工，扣款1000元/次。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（5）现场作业人员没有按规定和要求正确佩戴和使用劳动防护用品，扣款100元/人次。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（6）桩机系统布置不合理、存在缺陷或不满足安全用电要求的，扣款500元。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（7）施工作业区施工警戒、施工公告、安全纪律牌、安全警告标志、重大危险源告知牌等不完善就组织施工，视情况扣款200-500元/处。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（8）起重工作无统一明确的指挥信号，盲目指挥的，扣款200-500元。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65、交叉作业</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（1）施工项目无安全措施或未交底，施工负责人就组织施工，扣款500-1000元。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（3）垂直交叉作业无可靠、牢固的防护隔离设施的，扣款200-500元/处。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（4）擅自决定变动、拆除、挪用或停用安全装置或安全设施，扣款200-500元/处。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（5）交叉作业随手抛掷工器具、消耗性材料等物件，扣款200元。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（6）交叉作业施工负责单位未明确各自责任、未告知可能存在的危险源及控制措施的，扣款500-1000元。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（7）交叉作业过程中未设专人监护或未按操作规程违章作业的，扣款200-500元。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66、焊接、切割作业</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（1）安排没有取得特种作业操作资格证书人员进行作业的，可责令停止作业并扣款1000元/人次。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（2）现场作业人员没有按规定和要求正确佩戴和使用劳动防护用品，扣款200元/人次。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（3）焊接、切割工作前未清理周围的易燃物，工作结束后未检查清理遗留物，以致留下火灾隐患，扣款200元/处。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（4）易燃、易爆区、重点防火区、消防器材配备不齐，不符合消防规程的要求，无警示标志的，扣款200元/处。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（5）电、火焊作业未采取必要的防护措施，扣款200元。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（6）易燃、易爆品运输、存放不符合国家规定的，扣款1000元。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67、起重作业</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（1）安排没有取得特种作业操作资格证书人员进行作业的，可责令停止作业并扣款1000元/人次。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使用涉及生命安全、危险性较大的特种设备（如塔吊、龙门架、起重机、卷扬机等），以及危险品的运输工具，没有按有关规定，由专业生产单位生产，并经有专业资质的检测、检验机构检测、检验合格，取得安全使用证或者安全标志，而擅自投入使用的，可责令停止使用，并扣款3000- 10000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扣款1000-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（4）未对进场施工机械和设备进行验收，未定期对施工机械和设备进行检验，施工中使用不安全的（如运转部位的防护部件没有或缺失）加工机械和设备，可责令进行整改，并扣款1000-5000元。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（5）没有在其施工区域内的危险场所或部位设置明显的安全警示标志或使用不符合国家标准或行业标准的安全警示标志的，扣款200-500元/处。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（6）使用有缺陷的起重机械设备进行起重作业的，扣款1000-3000元。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（7）未按安全操作规程违章作业的，扣款200-500元。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（8）起重工作无统一明确的指挥信号，盲目指挥的，扣款200-500元。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（9）工作地点风力达到六级及以上时安排进行起吊作业，或遇有大雪、大雾、雷雨等恶劣天气，或照明不足指挥人员看不清工作地点，操作人员看不见指挥信号时进行起吊作业，扣款500-1000元。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68、高压试验</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进行危险性大的作业（如：斜/竖井施工、深基坑作业、重大件起重、吊装、脚手架搭设等）时，没有编制专项施工措施或安全措施、未经审批的、或没有进行专家论证的、没有安排专人进行现场管理、指挥人员没有相应资质、以及未按安全操作规程作业的，可责令停止作业并扣款1000-5000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（2）高压试验（设备耐压、局部放电、空载试验）没有编制试验方案，或未报工程监理、业主方审批、存档备查而擅自开工的，可责令停工并扣款5000元/次。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（4）现场作业人员没有按规定和要求正确佩戴和使用劳动防护用品，扣款200元/人次。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（5）施工安全技术措施不交底或不履行签字手续或不严格执行施工措施、方案的，扣款2000元。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（6）高压试验过程中未设专人监护或未按安全操作规程违章作业的，扣款200-500元。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（7）雷雨、6级以上（含6级）大风天气或恶劣气候进行高压试验的，扣款500-1000元。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69、人员作业行为</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1</w:t>
      </w:r>
      <w:r>
        <w:rPr>
          <w:rFonts w:asciiTheme="minorEastAsia" w:eastAsiaTheme="minorEastAsia" w:hAnsiTheme="minorEastAsia" w:cstheme="minorEastAsia" w:hint="eastAsia"/>
          <w:bCs/>
          <w:kern w:val="0"/>
          <w:sz w:val="24"/>
          <w:szCs w:val="24"/>
          <w:highlight w:val="none"/>
        </w:rPr>
        <w:t>）擅自变动、拆除、挪用或停用安全装置或安全设施，扣款200-500元/处。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）进入施工现场穿高跟鞋、露脚指的凉鞋、拖鞋及裙子、短裤、背心或裸背、长发披肩、酒后进入施工现场的，扣款200元/人次。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3</w:t>
      </w:r>
      <w:r>
        <w:rPr>
          <w:rFonts w:asciiTheme="minorEastAsia" w:eastAsiaTheme="minorEastAsia" w:hAnsiTheme="minorEastAsia" w:cstheme="minorEastAsia" w:hint="eastAsia"/>
          <w:bCs/>
          <w:kern w:val="0"/>
          <w:sz w:val="24"/>
          <w:szCs w:val="24"/>
          <w:highlight w:val="none"/>
        </w:rPr>
        <w:t>）违反职业禁忌症的有关规定，安排不符合身体健康要求的人员上岗作业，扣款500-1000元。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4</w:t>
      </w:r>
      <w:r>
        <w:rPr>
          <w:rFonts w:asciiTheme="minorEastAsia" w:eastAsiaTheme="minorEastAsia" w:hAnsiTheme="minorEastAsia" w:cstheme="minorEastAsia" w:hint="eastAsia"/>
          <w:bCs/>
          <w:kern w:val="0"/>
          <w:sz w:val="24"/>
          <w:szCs w:val="24"/>
          <w:highlight w:val="none"/>
        </w:rPr>
        <w:t>）无证操作非本专业的机械设备，扣款200-500元。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5</w:t>
      </w:r>
      <w:r>
        <w:rPr>
          <w:rFonts w:asciiTheme="minorEastAsia" w:eastAsiaTheme="minorEastAsia" w:hAnsiTheme="minorEastAsia" w:cstheme="minorEastAsia" w:hint="eastAsia"/>
          <w:bCs/>
          <w:kern w:val="0"/>
          <w:sz w:val="24"/>
          <w:szCs w:val="24"/>
          <w:highlight w:val="none"/>
        </w:rPr>
        <w:t>）无视安全管理部门、安全管理人员的警告，未及时消除安全隐患的，扣款500-1000元。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6</w:t>
      </w:r>
      <w:r>
        <w:rPr>
          <w:rFonts w:asciiTheme="minorEastAsia" w:eastAsiaTheme="minorEastAsia" w:hAnsiTheme="minorEastAsia" w:cstheme="minorEastAsia" w:hint="eastAsia"/>
          <w:bCs/>
          <w:kern w:val="0"/>
          <w:sz w:val="24"/>
          <w:szCs w:val="24"/>
          <w:highlight w:val="none"/>
        </w:rPr>
        <w:t>）发布违反有关安全生产法律、法规和规章制度的命令，违章指挥施工，扣款500-1000元。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7</w:t>
      </w:r>
      <w:r>
        <w:rPr>
          <w:rFonts w:asciiTheme="minorEastAsia" w:eastAsiaTheme="minorEastAsia" w:hAnsiTheme="minorEastAsia" w:cstheme="minorEastAsia" w:hint="eastAsia"/>
          <w:bCs/>
          <w:kern w:val="0"/>
          <w:sz w:val="24"/>
          <w:szCs w:val="24"/>
          <w:highlight w:val="none"/>
        </w:rPr>
        <w:t>）违章指挥，默认工人违章作业、冒险作业、在没有可靠的技术措施和安全保障措施的状态下施工，扣款500-1000元。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70、办公区域文明施工管理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（1）办公区域未挂项目部铭牌的，扣款500元。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（2）办公、生活区域废弃物未分类收集处理、任意倾倒生活垃圾、消防设施不齐全的，扣款500-1000元。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（3）办公区域未设置安全、文明、学习宣传专栏的，扣款500元。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（4）办公室、会议室等布置不合理或办公设备、材料不齐全的，扣款300元/处。</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71、生活区域文明施工管理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（1）员工宿舍布置不合理或通风、卫生条件差的，扣款300元/处。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（2）办公、生活区域废弃物未分类收集处理、任意倾倒生活垃圾、消防设施不齐全的，扣款500-1000元。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（3）任意排放生活废水的，扣款1000-3000元。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（4）安排未经体检合格或体检不合格的人员从事炊事饮食作业的，扣款1000元/人次。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（5）生活用电不满足安全用电要求的，扣款500元。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72、工程文明施工管理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（1）施工场地不平整、排水设施不通畅、道路或作业面有积水及施工废料的，视情况扣款200-500元/处。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（2）没有在其施工区域内的危险场所或部位设置明显的安全警示标志或使用不符合国家标准或行业标准的安全警示标志的，视情况扣款200-500元/处。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（3）施工作业区施工警戒、施工公告、安全纪律牌、安全警告标志、重大危险源告知牌等不完善就组织施工，视情况扣款200-500元/处。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（4）材料、工器具未分类、分区域规范堆放的，扣款200-500元/处。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（5）照明、通风、应急设施不能满足施工条件的，扣款300-1000元/处。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（6）临时设施不符合防洪、防火、防爆、防风、防雷、防砸、防坍塌及工业卫生要求的，视情况扣款1000-3000元。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（7）施工关键区域未落实安全保卫措施的，扣款1000元。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（8）未做到“工完、料尽、场地清”的，扣款200-500元/处。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（9）未按要求对成品、半成品采取保护措施的，扣款200-500元/处。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（10）现场作业人员没有按规定和要求正确佩戴和使用劳动防护用品，扣款100元/人次。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（11）未按安全操作规程违章作业的，扣款200-500元。</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73、文明施工整体视觉形象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（1）临建设施布置不合理，安全设施、标识牌不齐全或不符规范要求的，视情况扣款200-500元/处。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（2）隔离设施不完善或不符合规范要求的，视情况扣款200-500元/处。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（3）生活、施工用电不能满足安全用电要求的，扣款500元/处。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（4）现场作业人员没有按规定和要求正确佩戴和使用劳动防护用品，扣款100元/人次。</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（5）施工场地不平整、排水设施不通畅、道路或作业面有积水及施工废料的，视情况扣款200-500元/处。</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（6）材料、工器具未分类、分区域规范堆放的，扣款200-500元/处。</w:t>
      </w:r>
    </w:p>
    <w:p>
      <w:pPr>
        <w:spacing w:line="360" w:lineRule="auto"/>
        <w:rPr>
          <w:rFonts w:asciiTheme="minorEastAsia" w:eastAsiaTheme="minorEastAsia" w:hAnsiTheme="minorEastAsia" w:cstheme="minorEastAsia" w:hint="eastAsia"/>
          <w:b/>
          <w:bCs/>
          <w:kern w:val="0"/>
          <w:sz w:val="24"/>
          <w:szCs w:val="24"/>
          <w:highlight w:val="none"/>
        </w:rPr>
      </w:pPr>
      <w:r>
        <w:rPr>
          <w:rFonts w:asciiTheme="minorEastAsia" w:eastAsiaTheme="minorEastAsia" w:hAnsiTheme="minorEastAsia" w:cstheme="minorEastAsia" w:hint="eastAsia"/>
          <w:b/>
          <w:bCs/>
          <w:kern w:val="0"/>
          <w:sz w:val="24"/>
          <w:szCs w:val="24"/>
          <w:highlight w:val="none"/>
        </w:rPr>
        <w:t>74、其他</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1</w:t>
      </w:r>
      <w:r>
        <w:rPr>
          <w:rFonts w:asciiTheme="minorEastAsia" w:eastAsiaTheme="minorEastAsia" w:hAnsiTheme="minorEastAsia" w:cstheme="minorEastAsia" w:hint="eastAsia"/>
          <w:bCs/>
          <w:kern w:val="0"/>
          <w:sz w:val="24"/>
          <w:szCs w:val="24"/>
          <w:highlight w:val="none"/>
        </w:rPr>
        <w:t>）重复发生的</w:t>
      </w:r>
      <w:r>
        <w:rPr>
          <w:rFonts w:asciiTheme="minorEastAsia" w:eastAsiaTheme="minorEastAsia" w:hAnsiTheme="minorEastAsia" w:cstheme="minorEastAsia" w:hint="eastAsia"/>
          <w:bCs/>
          <w:kern w:val="0"/>
          <w:sz w:val="24"/>
          <w:szCs w:val="24"/>
          <w:highlight w:val="none"/>
          <w:lang w:eastAsia="zh-CN"/>
        </w:rPr>
        <w:t>问题</w:t>
      </w:r>
      <w:r>
        <w:rPr>
          <w:rFonts w:asciiTheme="minorEastAsia" w:eastAsiaTheme="minorEastAsia" w:hAnsiTheme="minorEastAsia" w:cstheme="minorEastAsia" w:hint="eastAsia"/>
          <w:bCs/>
          <w:kern w:val="0"/>
          <w:sz w:val="24"/>
          <w:szCs w:val="24"/>
          <w:highlight w:val="none"/>
        </w:rPr>
        <w:t>按倍违约扣款。例：对“高处作业随手抛掷工器具、消耗性材料等物件，扣款200元”。第一次扣款200元，第二次发生则扣款2*200元（400元），第三次发生则扣款3*</w:t>
      </w:r>
      <w:r>
        <w:rPr>
          <w:rFonts w:asciiTheme="minorEastAsia" w:eastAsiaTheme="minorEastAsia" w:hAnsiTheme="minorEastAsia" w:cstheme="minorEastAsia" w:hint="eastAsia"/>
          <w:bCs/>
          <w:kern w:val="0"/>
          <w:sz w:val="24"/>
          <w:szCs w:val="24"/>
          <w:highlight w:val="none"/>
          <w:lang w:eastAsia="zh-CN"/>
        </w:rPr>
        <w:t>2</w:t>
      </w:r>
      <w:r>
        <w:rPr>
          <w:rFonts w:asciiTheme="minorEastAsia" w:eastAsiaTheme="minorEastAsia" w:hAnsiTheme="minorEastAsia" w:cstheme="minorEastAsia" w:hint="eastAsia"/>
          <w:bCs/>
          <w:kern w:val="0"/>
          <w:sz w:val="24"/>
          <w:szCs w:val="24"/>
          <w:highlight w:val="none"/>
        </w:rPr>
        <w:t>00元（</w:t>
      </w:r>
      <w:r>
        <w:rPr>
          <w:rFonts w:asciiTheme="minorEastAsia" w:eastAsiaTheme="minorEastAsia" w:hAnsiTheme="minorEastAsia" w:cstheme="minorEastAsia" w:hint="eastAsia"/>
          <w:bCs/>
          <w:kern w:val="0"/>
          <w:sz w:val="24"/>
          <w:szCs w:val="24"/>
          <w:highlight w:val="none"/>
          <w:lang w:eastAsia="zh-CN"/>
        </w:rPr>
        <w:t>6</w:t>
      </w:r>
      <w:r>
        <w:rPr>
          <w:rFonts w:asciiTheme="minorEastAsia" w:eastAsiaTheme="minorEastAsia" w:hAnsiTheme="minorEastAsia" w:cstheme="minorEastAsia" w:hint="eastAsia"/>
          <w:bCs/>
          <w:kern w:val="0"/>
          <w:sz w:val="24"/>
          <w:szCs w:val="24"/>
          <w:highlight w:val="none"/>
        </w:rPr>
        <w:t>00元），依此类推。</w:t>
      </w:r>
    </w:p>
    <w:p>
      <w:pPr>
        <w:spacing w:line="360" w:lineRule="auto"/>
        <w:ind w:firstLine="480" w:firstLineChars="200"/>
        <w:rPr>
          <w:rFonts w:asciiTheme="minorEastAsia" w:eastAsiaTheme="minorEastAsia" w:hAnsiTheme="minorEastAsia" w:cstheme="minorEastAsia" w:hint="eastAsia"/>
          <w:bCs/>
          <w:kern w:val="0"/>
          <w:sz w:val="24"/>
          <w:szCs w:val="24"/>
          <w:highlight w:val="none"/>
          <w:lang w:eastAsia="zh-CN"/>
        </w:rPr>
      </w:pP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val="en-US" w:eastAsia="zh-CN"/>
        </w:rPr>
        <w:t>2</w:t>
      </w:r>
      <w:r>
        <w:rPr>
          <w:rFonts w:asciiTheme="minorEastAsia" w:eastAsiaTheme="minorEastAsia" w:hAnsiTheme="minorEastAsia" w:cstheme="minorEastAsia" w:hint="eastAsia"/>
          <w:bCs/>
          <w:kern w:val="0"/>
          <w:sz w:val="24"/>
          <w:szCs w:val="24"/>
          <w:highlight w:val="none"/>
        </w:rPr>
        <w:t>）</w:t>
      </w:r>
      <w:r>
        <w:rPr>
          <w:rFonts w:asciiTheme="minorEastAsia" w:eastAsiaTheme="minorEastAsia" w:hAnsiTheme="minorEastAsia" w:cstheme="minorEastAsia" w:hint="eastAsia"/>
          <w:bCs/>
          <w:kern w:val="0"/>
          <w:sz w:val="24"/>
          <w:szCs w:val="24"/>
          <w:highlight w:val="none"/>
          <w:lang w:eastAsia="zh-CN"/>
        </w:rPr>
        <w:t>对</w:t>
      </w:r>
      <w:r>
        <w:rPr>
          <w:rFonts w:asciiTheme="minorEastAsia" w:eastAsiaTheme="minorEastAsia" w:hAnsiTheme="minorEastAsia" w:cstheme="minorEastAsia" w:hint="eastAsia"/>
          <w:bCs/>
          <w:kern w:val="0"/>
          <w:sz w:val="24"/>
          <w:szCs w:val="24"/>
          <w:highlight w:val="none"/>
        </w:rPr>
        <w:t>违章行为</w:t>
      </w:r>
      <w:r>
        <w:rPr>
          <w:rFonts w:asciiTheme="minorEastAsia" w:eastAsiaTheme="minorEastAsia" w:hAnsiTheme="minorEastAsia" w:cstheme="minorEastAsia" w:hint="eastAsia"/>
          <w:bCs/>
          <w:kern w:val="0"/>
          <w:sz w:val="24"/>
          <w:szCs w:val="24"/>
          <w:highlight w:val="none"/>
          <w:lang w:eastAsia="zh-CN"/>
        </w:rPr>
        <w:t>、违章现象、不符合等情况，以上有对应标准的，执行以上标准，没有的则执行以下标准：</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rPr>
        <w:t>1）</w:t>
      </w:r>
      <w:r>
        <w:rPr>
          <w:rFonts w:asciiTheme="minorEastAsia" w:eastAsiaTheme="minorEastAsia" w:hAnsiTheme="minorEastAsia" w:cstheme="minorEastAsia" w:hint="eastAsia"/>
          <w:bCs/>
          <w:color w:val="000000"/>
          <w:kern w:val="0"/>
          <w:sz w:val="24"/>
          <w:szCs w:val="24"/>
          <w:highlight w:val="none"/>
        </w:rPr>
        <w:t>违反</w:t>
      </w:r>
      <w:r>
        <w:rPr>
          <w:rFonts w:asciiTheme="minorEastAsia" w:eastAsiaTheme="minorEastAsia" w:hAnsiTheme="minorEastAsia" w:cstheme="minorEastAsia" w:hint="eastAsia"/>
          <w:bCs/>
          <w:kern w:val="0"/>
          <w:sz w:val="24"/>
          <w:szCs w:val="24"/>
          <w:highlight w:val="none"/>
        </w:rPr>
        <w:t>国家标准《电业安全工作规程》中“热力和机械、发电厂和变电站电气部分、电力线路部分、高压试验室部分”</w:t>
      </w:r>
      <w:r>
        <w:rPr>
          <w:rFonts w:asciiTheme="minorEastAsia" w:eastAsiaTheme="minorEastAsia" w:hAnsiTheme="minorEastAsia" w:cstheme="minorEastAsia" w:hint="eastAsia"/>
          <w:bCs/>
          <w:color w:val="000000"/>
          <w:kern w:val="0"/>
          <w:sz w:val="24"/>
          <w:szCs w:val="24"/>
          <w:highlight w:val="none"/>
        </w:rPr>
        <w:t>其它相关条款的</w:t>
      </w:r>
      <w:r>
        <w:rPr>
          <w:rFonts w:asciiTheme="minorEastAsia" w:eastAsiaTheme="minorEastAsia" w:hAnsiTheme="minorEastAsia" w:cstheme="minorEastAsia" w:hint="eastAsia"/>
          <w:bCs/>
          <w:kern w:val="0"/>
          <w:sz w:val="24"/>
          <w:szCs w:val="24"/>
          <w:highlight w:val="none"/>
        </w:rPr>
        <w:t>，每起（每人、每次）扣款100-500元。</w:t>
      </w:r>
    </w:p>
    <w:p>
      <w:pPr>
        <w:spacing w:line="360" w:lineRule="auto"/>
        <w:ind w:firstLine="480" w:firstLineChars="200"/>
        <w:rPr>
          <w:rFonts w:asciiTheme="minorEastAsia" w:eastAsiaTheme="minorEastAsia" w:hAnsiTheme="minorEastAsia" w:cstheme="minorEastAsia" w:hint="eastAsia"/>
          <w:bCs/>
          <w:color w:val="000000"/>
          <w:kern w:val="0"/>
          <w:sz w:val="24"/>
          <w:szCs w:val="24"/>
          <w:highlight w:val="none"/>
        </w:rPr>
      </w:pPr>
      <w:r>
        <w:rPr>
          <w:rFonts w:asciiTheme="minorEastAsia" w:eastAsiaTheme="minorEastAsia" w:hAnsiTheme="minorEastAsia" w:cstheme="minorEastAsia" w:hint="eastAsia"/>
          <w:bCs/>
          <w:kern w:val="0"/>
          <w:sz w:val="24"/>
          <w:szCs w:val="24"/>
          <w:highlight w:val="none"/>
        </w:rPr>
        <w:t>2）违反中国南方电网有限责任公司《电力安全工作规程》其它相关条款的，依据风险大小、后果程度、影响范围等因素，特别是人身方面的，每起（每人、每次）扣款200-1000元；其他不符合的，每起（每人、每次）扣款100-</w:t>
      </w:r>
      <w:r>
        <w:rPr>
          <w:rFonts w:asciiTheme="minorEastAsia" w:eastAsiaTheme="minorEastAsia" w:hAnsiTheme="minorEastAsia" w:cstheme="minorEastAsia" w:hint="eastAsia"/>
          <w:bCs/>
          <w:kern w:val="0"/>
          <w:sz w:val="24"/>
          <w:szCs w:val="24"/>
          <w:highlight w:val="none"/>
          <w:lang w:val="en-US" w:eastAsia="zh-CN"/>
        </w:rPr>
        <w:t>3</w:t>
      </w:r>
      <w:r>
        <w:rPr>
          <w:rFonts w:asciiTheme="minorEastAsia" w:eastAsiaTheme="minorEastAsia" w:hAnsiTheme="minorEastAsia" w:cstheme="minorEastAsia" w:hint="eastAsia"/>
          <w:bCs/>
          <w:kern w:val="0"/>
          <w:sz w:val="24"/>
          <w:szCs w:val="24"/>
          <w:highlight w:val="none"/>
        </w:rPr>
        <w:t>00元。</w:t>
      </w:r>
    </w:p>
    <w:p>
      <w:pPr>
        <w:spacing w:line="360" w:lineRule="auto"/>
        <w:ind w:firstLine="480" w:firstLineChars="200"/>
        <w:rPr>
          <w:rFonts w:asciiTheme="minorEastAsia" w:eastAsiaTheme="minorEastAsia" w:hAnsiTheme="minorEastAsia" w:cstheme="minorEastAsia" w:hint="eastAsia"/>
          <w:bCs/>
          <w:kern w:val="0"/>
          <w:sz w:val="24"/>
          <w:szCs w:val="24"/>
          <w:highlight w:val="none"/>
        </w:rPr>
      </w:pPr>
      <w:r>
        <w:rPr>
          <w:rFonts w:asciiTheme="minorEastAsia" w:eastAsiaTheme="minorEastAsia" w:hAnsiTheme="minorEastAsia" w:cstheme="minorEastAsia" w:hint="eastAsia"/>
          <w:bCs/>
          <w:kern w:val="0"/>
          <w:sz w:val="24"/>
          <w:szCs w:val="24"/>
          <w:highlight w:val="none"/>
          <w:lang w:val="en-US" w:eastAsia="zh-CN"/>
        </w:rPr>
        <w:t>（3</w:t>
      </w:r>
      <w:r>
        <w:rPr>
          <w:rFonts w:asciiTheme="minorEastAsia" w:eastAsiaTheme="minorEastAsia" w:hAnsiTheme="minorEastAsia" w:cstheme="minorEastAsia" w:hint="eastAsia"/>
          <w:bCs/>
          <w:kern w:val="0"/>
          <w:sz w:val="24"/>
          <w:szCs w:val="24"/>
          <w:highlight w:val="none"/>
        </w:rPr>
        <w:t>）</w:t>
      </w:r>
      <w:r>
        <w:rPr>
          <w:rFonts w:ascii="Times New Roman" w:hAnsi="Times New Roman" w:hint="eastAsia"/>
          <w:sz w:val="24"/>
          <w:highlight w:val="none"/>
        </w:rPr>
        <w:t>进入现场</w:t>
      </w:r>
      <w:r>
        <w:rPr>
          <w:rFonts w:hint="eastAsia"/>
          <w:sz w:val="24"/>
          <w:lang w:eastAsia="zh-CN"/>
        </w:rPr>
        <w:t>作业</w:t>
      </w:r>
      <w:r>
        <w:rPr>
          <w:rFonts w:ascii="Times New Roman" w:hAnsi="Times New Roman" w:hint="eastAsia"/>
          <w:sz w:val="24"/>
          <w:highlight w:val="none"/>
        </w:rPr>
        <w:t>的</w:t>
      </w:r>
      <w:r>
        <w:rPr>
          <w:rFonts w:ascii="Times New Roman" w:eastAsia="宋体" w:hAnsi="Times New Roman" w:cs="Times New Roman" w:hint="eastAsia"/>
          <w:b w:val="0"/>
          <w:sz w:val="24"/>
          <w:szCs w:val="24"/>
          <w:highlight w:val="none"/>
          <w:shd w:val="clear" w:color="auto" w:fill="auto"/>
          <w:lang w:val="zh-CN" w:eastAsia="zh-CN"/>
        </w:rPr>
        <w:t>临</w:t>
      </w:r>
      <w:r>
        <w:rPr>
          <w:rFonts w:ascii="Times New Roman" w:eastAsia="宋体" w:hAnsi="Times New Roman" w:cs="Times New Roman" w:hint="eastAsia"/>
          <w:b w:val="0"/>
          <w:sz w:val="24"/>
          <w:szCs w:val="24"/>
          <w:highlight w:val="none"/>
          <w:shd w:val="clear" w:color="auto" w:fill="auto"/>
          <w:lang w:val="zh-CN"/>
        </w:rPr>
        <w:t>聘</w:t>
      </w:r>
      <w:r>
        <w:rPr>
          <w:rFonts w:ascii="Times New Roman" w:hAnsi="Times New Roman" w:hint="eastAsia"/>
          <w:sz w:val="24"/>
          <w:highlight w:val="none"/>
        </w:rPr>
        <w:t>施工人员未</w:t>
      </w:r>
      <w:r>
        <w:rPr>
          <w:rFonts w:hint="eastAsia"/>
          <w:sz w:val="24"/>
          <w:lang w:eastAsia="zh-CN"/>
        </w:rPr>
        <w:t>购买商业意外保险的，</w:t>
      </w:r>
      <w:r>
        <w:rPr>
          <w:rFonts w:asciiTheme="minorEastAsia" w:eastAsiaTheme="minorEastAsia" w:hAnsiTheme="minorEastAsia" w:cstheme="minorEastAsia" w:hint="eastAsia"/>
          <w:bCs/>
          <w:kern w:val="0"/>
          <w:sz w:val="24"/>
          <w:szCs w:val="24"/>
          <w:highlight w:val="none"/>
        </w:rPr>
        <w:t>扣款</w:t>
      </w:r>
      <w:r>
        <w:rPr>
          <w:rFonts w:asciiTheme="minorEastAsia" w:eastAsiaTheme="minorEastAsia" w:hAnsiTheme="minorEastAsia" w:cstheme="minorEastAsia" w:hint="eastAsia"/>
          <w:bCs/>
          <w:kern w:val="0"/>
          <w:sz w:val="24"/>
          <w:szCs w:val="24"/>
          <w:highlight w:val="none"/>
          <w:lang w:val="en-US" w:eastAsia="zh-CN"/>
        </w:rPr>
        <w:t>100</w:t>
      </w:r>
      <w:r>
        <w:rPr>
          <w:rFonts w:asciiTheme="minorEastAsia" w:eastAsiaTheme="minorEastAsia" w:hAnsiTheme="minorEastAsia" w:cstheme="minorEastAsia" w:hint="eastAsia"/>
          <w:bCs/>
          <w:kern w:val="0"/>
          <w:sz w:val="24"/>
          <w:szCs w:val="24"/>
          <w:highlight w:val="none"/>
        </w:rPr>
        <w:t>0元</w:t>
      </w:r>
      <w:r>
        <w:rPr>
          <w:rFonts w:asciiTheme="minorEastAsia" w:eastAsiaTheme="minorEastAsia" w:hAnsiTheme="minorEastAsia" w:cstheme="minorEastAsia" w:hint="eastAsia"/>
          <w:bCs/>
          <w:kern w:val="0"/>
          <w:sz w:val="24"/>
          <w:szCs w:val="24"/>
          <w:highlight w:val="none"/>
          <w:lang w:val="en-US" w:eastAsia="zh-CN"/>
        </w:rPr>
        <w:t>/人</w:t>
      </w:r>
      <w:r>
        <w:rPr>
          <w:rFonts w:asciiTheme="minorEastAsia" w:eastAsiaTheme="minorEastAsia" w:hAnsiTheme="minorEastAsia" w:cstheme="minorEastAsia" w:hint="eastAsia"/>
          <w:bCs/>
          <w:kern w:val="0"/>
          <w:sz w:val="24"/>
          <w:szCs w:val="24"/>
          <w:highlight w:val="none"/>
        </w:rPr>
        <w:t>。</w:t>
      </w:r>
    </w:p>
    <w:p>
      <w:pPr>
        <w:spacing w:line="360" w:lineRule="auto"/>
        <w:ind w:firstLine="480" w:firstLineChars="200"/>
        <w:rPr>
          <w:rFonts w:ascii="Times New Roman" w:eastAsia="宋体" w:hAnsi="Times New Roman" w:cs="Times New Roman" w:hint="eastAsia"/>
          <w:b w:val="0"/>
          <w:sz w:val="24"/>
          <w:szCs w:val="24"/>
          <w:shd w:val="clear" w:color="auto" w:fill="auto"/>
          <w:lang w:val="zh-CN"/>
        </w:rPr>
      </w:pPr>
      <w:r>
        <w:rPr>
          <w:rFonts w:asciiTheme="minorEastAsia" w:eastAsiaTheme="minorEastAsia" w:hAnsiTheme="minorEastAsia" w:cstheme="minorEastAsia" w:hint="eastAsia"/>
          <w:bCs/>
          <w:kern w:val="0"/>
          <w:sz w:val="24"/>
          <w:szCs w:val="24"/>
          <w:highlight w:val="none"/>
          <w:lang w:val="en-US" w:eastAsia="zh-CN"/>
        </w:rPr>
        <w:t>（4</w:t>
      </w:r>
      <w:r>
        <w:rPr>
          <w:rFonts w:asciiTheme="minorEastAsia" w:eastAsiaTheme="minorEastAsia" w:hAnsiTheme="minorEastAsia" w:cstheme="minorEastAsia" w:hint="eastAsia"/>
          <w:bCs/>
          <w:kern w:val="0"/>
          <w:sz w:val="24"/>
          <w:szCs w:val="24"/>
          <w:highlight w:val="none"/>
        </w:rPr>
        <w:t>）</w:t>
      </w:r>
      <w:r>
        <w:rPr>
          <w:rFonts w:ascii="Times New Roman" w:hAnsi="Times New Roman" w:hint="eastAsia"/>
          <w:sz w:val="24"/>
        </w:rPr>
        <w:t>进入现场</w:t>
      </w:r>
      <w:r>
        <w:rPr>
          <w:rFonts w:hint="eastAsia"/>
          <w:sz w:val="24"/>
          <w:lang w:eastAsia="zh-CN"/>
        </w:rPr>
        <w:t>作业</w:t>
      </w:r>
      <w:r>
        <w:rPr>
          <w:rFonts w:ascii="Times New Roman" w:hAnsi="Times New Roman" w:hint="eastAsia"/>
          <w:sz w:val="24"/>
        </w:rPr>
        <w:t>的</w:t>
      </w:r>
      <w:r>
        <w:rPr>
          <w:rFonts w:ascii="Times New Roman" w:eastAsia="宋体" w:hAnsi="Times New Roman" w:cs="Times New Roman" w:hint="eastAsia"/>
          <w:b w:val="0"/>
          <w:sz w:val="24"/>
          <w:szCs w:val="24"/>
          <w:shd w:val="clear" w:color="auto" w:fill="auto"/>
          <w:lang w:val="zh-CN" w:eastAsia="zh-CN"/>
        </w:rPr>
        <w:t>临</w:t>
      </w:r>
      <w:r>
        <w:rPr>
          <w:rFonts w:ascii="Times New Roman" w:eastAsia="宋体" w:hAnsi="Times New Roman" w:cs="Times New Roman" w:hint="eastAsia"/>
          <w:b w:val="0"/>
          <w:sz w:val="24"/>
          <w:szCs w:val="24"/>
          <w:shd w:val="clear" w:color="auto" w:fill="auto"/>
          <w:lang w:val="zh-CN"/>
        </w:rPr>
        <w:t>聘</w:t>
      </w:r>
      <w:r>
        <w:rPr>
          <w:rFonts w:ascii="Times New Roman" w:hAnsi="Times New Roman" w:hint="eastAsia"/>
          <w:sz w:val="24"/>
        </w:rPr>
        <w:t>施工人员未</w:t>
      </w:r>
      <w:r>
        <w:rPr>
          <w:rFonts w:hint="eastAsia"/>
          <w:sz w:val="24"/>
          <w:lang w:eastAsia="zh-CN"/>
        </w:rPr>
        <w:t>签订</w:t>
      </w:r>
      <w:r>
        <w:rPr>
          <w:rFonts w:cs="Times New Roman" w:hint="eastAsia"/>
          <w:b w:val="0"/>
          <w:sz w:val="24"/>
          <w:szCs w:val="24"/>
          <w:shd w:val="clear" w:color="auto" w:fill="auto"/>
          <w:lang w:val="zh-CN"/>
        </w:rPr>
        <w:t>用工</w:t>
      </w:r>
      <w:r>
        <w:rPr>
          <w:rFonts w:ascii="Times New Roman" w:eastAsia="宋体" w:hAnsi="Times New Roman" w:cs="Times New Roman" w:hint="eastAsia"/>
          <w:b w:val="0"/>
          <w:sz w:val="24"/>
          <w:szCs w:val="24"/>
          <w:shd w:val="clear" w:color="auto" w:fill="auto"/>
          <w:lang w:val="zh-CN"/>
        </w:rPr>
        <w:t>合同或协议</w:t>
      </w:r>
      <w:r>
        <w:rPr>
          <w:rFonts w:hint="eastAsia"/>
          <w:sz w:val="24"/>
          <w:lang w:eastAsia="zh-CN"/>
        </w:rPr>
        <w:t>的，</w:t>
      </w:r>
      <w:r>
        <w:rPr>
          <w:rFonts w:asciiTheme="minorEastAsia" w:eastAsiaTheme="minorEastAsia" w:hAnsiTheme="minorEastAsia" w:cstheme="minorEastAsia" w:hint="eastAsia"/>
          <w:bCs/>
          <w:kern w:val="0"/>
          <w:sz w:val="24"/>
          <w:szCs w:val="24"/>
          <w:highlight w:val="none"/>
        </w:rPr>
        <w:t>扣款扣款</w:t>
      </w:r>
      <w:r>
        <w:rPr>
          <w:rFonts w:asciiTheme="minorEastAsia" w:eastAsiaTheme="minorEastAsia" w:hAnsiTheme="minorEastAsia" w:cstheme="minorEastAsia" w:hint="eastAsia"/>
          <w:bCs/>
          <w:kern w:val="0"/>
          <w:sz w:val="24"/>
          <w:szCs w:val="24"/>
          <w:highlight w:val="none"/>
          <w:lang w:val="en-US" w:eastAsia="zh-CN"/>
        </w:rPr>
        <w:t>100</w:t>
      </w:r>
      <w:r>
        <w:rPr>
          <w:rFonts w:asciiTheme="minorEastAsia" w:eastAsiaTheme="minorEastAsia" w:hAnsiTheme="minorEastAsia" w:cstheme="minorEastAsia" w:hint="eastAsia"/>
          <w:bCs/>
          <w:kern w:val="0"/>
          <w:sz w:val="24"/>
          <w:szCs w:val="24"/>
          <w:highlight w:val="none"/>
        </w:rPr>
        <w:t>0元</w:t>
      </w:r>
      <w:r>
        <w:rPr>
          <w:rFonts w:asciiTheme="minorEastAsia" w:eastAsiaTheme="minorEastAsia" w:hAnsiTheme="minorEastAsia" w:cstheme="minorEastAsia" w:hint="eastAsia"/>
          <w:bCs/>
          <w:kern w:val="0"/>
          <w:sz w:val="24"/>
          <w:szCs w:val="24"/>
          <w:highlight w:val="none"/>
          <w:lang w:val="en-US" w:eastAsia="zh-CN"/>
        </w:rPr>
        <w:t>/人</w:t>
      </w:r>
      <w:r>
        <w:rPr>
          <w:rFonts w:asciiTheme="minorEastAsia" w:eastAsiaTheme="minorEastAsia" w:hAnsiTheme="minorEastAsia" w:cstheme="minorEastAsia" w:hint="eastAsia"/>
          <w:bCs/>
          <w:kern w:val="0"/>
          <w:sz w:val="24"/>
          <w:szCs w:val="24"/>
          <w:highlight w:val="none"/>
        </w:rPr>
        <w:t>。</w:t>
      </w:r>
    </w:p>
    <w:p>
      <w:pPr>
        <w:spacing w:line="360" w:lineRule="auto"/>
        <w:rPr>
          <w:rFonts w:asciiTheme="minorEastAsia" w:eastAsiaTheme="minorEastAsia" w:hAnsiTheme="minorEastAsia" w:cstheme="minorEastAsia" w:hint="eastAsia"/>
          <w:sz w:val="24"/>
          <w:szCs w:val="24"/>
          <w:highlight w:val="none"/>
        </w:rPr>
      </w:pPr>
    </w:p>
    <w:p>
      <w:pPr>
        <w:spacing w:line="360" w:lineRule="auto"/>
        <w:rPr>
          <w:rFonts w:asciiTheme="minorEastAsia" w:eastAsiaTheme="minorEastAsia" w:hAnsiTheme="minorEastAsia" w:cstheme="minorEastAsia" w:hint="eastAsia"/>
          <w:sz w:val="24"/>
          <w:szCs w:val="24"/>
          <w:highlight w:val="none"/>
        </w:rPr>
      </w:pPr>
    </w:p>
    <w:p>
      <w:pPr>
        <w:spacing w:line="360" w:lineRule="auto"/>
        <w:rPr>
          <w:sz w:val="24"/>
          <w:highlight w:val="none"/>
        </w:rPr>
      </w:pPr>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FZHei-B01">
    <w:altName w:val="宋体"/>
    <w:panose1 w:val="00000000000000000000"/>
    <w:charset w:val="86"/>
    <w:family w:val="script"/>
    <w:pitch w:val="default"/>
    <w:sig w:usb0="00000000" w:usb1="0000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BDD327E"/>
    <w:multiLevelType w:val="multilevel"/>
    <w:tmpl w:val="1BDD327E"/>
    <w:lvl w:ilvl="0">
      <w:start w:val="1"/>
      <w:numFmt w:val="decimal"/>
      <w:pStyle w:val="a45"/>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nsid w:val="1EFA0247"/>
    <w:multiLevelType w:val="multilevel"/>
    <w:tmpl w:val="1EFA0247"/>
    <w:lvl w:ilvl="0">
      <w:start w:val="1"/>
      <w:numFmt w:val="decimal"/>
      <w:pStyle w:val="a51"/>
      <w:lvlText w:val="%1）"/>
      <w:lvlJc w:val="left"/>
      <w:pPr>
        <w:ind w:left="456" w:hanging="420"/>
      </w:pPr>
      <w:rPr>
        <w:rFonts w:hint="eastAsia"/>
      </w:rPr>
    </w:lvl>
    <w:lvl w:ilvl="1">
      <w:start w:val="1"/>
      <w:numFmt w:val="lowerLetter"/>
      <w:lvlText w:val="%2)"/>
      <w:lvlJc w:val="left"/>
      <w:pPr>
        <w:ind w:left="876" w:hanging="420"/>
      </w:pPr>
    </w:lvl>
    <w:lvl w:ilvl="2">
      <w:start w:val="1"/>
      <w:numFmt w:val="lowerRoman"/>
      <w:lvlText w:val="%3."/>
      <w:lvlJc w:val="right"/>
      <w:pPr>
        <w:ind w:left="1296" w:hanging="420"/>
      </w:pPr>
    </w:lvl>
    <w:lvl w:ilvl="3">
      <w:start w:val="1"/>
      <w:numFmt w:val="decimal"/>
      <w:lvlText w:val="%4."/>
      <w:lvlJc w:val="left"/>
      <w:pPr>
        <w:ind w:left="1716" w:hanging="420"/>
      </w:pPr>
    </w:lvl>
    <w:lvl w:ilvl="4">
      <w:start w:val="1"/>
      <w:numFmt w:val="lowerLetter"/>
      <w:lvlText w:val="%5)"/>
      <w:lvlJc w:val="left"/>
      <w:pPr>
        <w:ind w:left="2136" w:hanging="420"/>
      </w:pPr>
    </w:lvl>
    <w:lvl w:ilvl="5">
      <w:start w:val="1"/>
      <w:numFmt w:val="lowerRoman"/>
      <w:lvlText w:val="%6."/>
      <w:lvlJc w:val="right"/>
      <w:pPr>
        <w:ind w:left="2556" w:hanging="420"/>
      </w:pPr>
    </w:lvl>
    <w:lvl w:ilvl="6">
      <w:start w:val="1"/>
      <w:numFmt w:val="decimal"/>
      <w:lvlText w:val="%7."/>
      <w:lvlJc w:val="left"/>
      <w:pPr>
        <w:ind w:left="2976" w:hanging="420"/>
      </w:pPr>
    </w:lvl>
    <w:lvl w:ilvl="7">
      <w:start w:val="1"/>
      <w:numFmt w:val="lowerLetter"/>
      <w:lvlText w:val="%8)"/>
      <w:lvlJc w:val="left"/>
      <w:pPr>
        <w:ind w:left="3396" w:hanging="420"/>
      </w:pPr>
    </w:lvl>
    <w:lvl w:ilvl="8">
      <w:start w:val="1"/>
      <w:numFmt w:val="lowerRoman"/>
      <w:lvlText w:val="%9."/>
      <w:lvlJc w:val="right"/>
      <w:pPr>
        <w:ind w:left="3816" w:hanging="420"/>
      </w:pPr>
    </w:lvl>
  </w:abstractNum>
  <w:abstractNum w:abstractNumId="2">
    <w:nsid w:val="30FE387D"/>
    <w:multiLevelType w:val="multilevel"/>
    <w:tmpl w:val="30FE387D"/>
    <w:lvl w:ilvl="0">
      <w:start w:val="1"/>
      <w:numFmt w:val="decimal"/>
      <w:pStyle w:val="a50"/>
      <w:lvlText w:val="%1）"/>
      <w:lvlJc w:val="left"/>
      <w:pPr>
        <w:ind w:left="710" w:firstLine="0"/>
      </w:pPr>
      <w:rPr>
        <w:rFonts w:hint="eastAsia"/>
      </w:rPr>
    </w:lvl>
    <w:lvl w:ilvl="1">
      <w:start w:val="1"/>
      <w:numFmt w:val="lowerLetter"/>
      <w:lvlText w:val="%2)"/>
      <w:lvlJc w:val="left"/>
      <w:pPr>
        <w:ind w:left="2100" w:hanging="420"/>
      </w:pPr>
    </w:lvl>
    <w:lvl w:ilvl="2">
      <w:start w:val="1"/>
      <w:numFmt w:val="lowerRoman"/>
      <w:lvlText w:val="%3."/>
      <w:lvlJc w:val="right"/>
      <w:pPr>
        <w:ind w:left="2520" w:hanging="420"/>
      </w:pPr>
    </w:lvl>
    <w:lvl w:ilvl="3">
      <w:start w:val="1"/>
      <w:numFmt w:val="decimal"/>
      <w:lvlText w:val="%4."/>
      <w:lvlJc w:val="left"/>
      <w:pPr>
        <w:ind w:left="2940" w:hanging="420"/>
      </w:pPr>
    </w:lvl>
    <w:lvl w:ilvl="4">
      <w:start w:val="1"/>
      <w:numFmt w:val="lowerLetter"/>
      <w:lvlText w:val="%5)"/>
      <w:lvlJc w:val="left"/>
      <w:pPr>
        <w:ind w:left="3360" w:hanging="420"/>
      </w:pPr>
    </w:lvl>
    <w:lvl w:ilvl="5">
      <w:start w:val="1"/>
      <w:numFmt w:val="lowerRoman"/>
      <w:lvlText w:val="%6."/>
      <w:lvlJc w:val="right"/>
      <w:pPr>
        <w:ind w:left="3780" w:hanging="420"/>
      </w:pPr>
    </w:lvl>
    <w:lvl w:ilvl="6">
      <w:start w:val="1"/>
      <w:numFmt w:val="decimal"/>
      <w:lvlText w:val="%7."/>
      <w:lvlJc w:val="left"/>
      <w:pPr>
        <w:ind w:left="4200" w:hanging="420"/>
      </w:pPr>
    </w:lvl>
    <w:lvl w:ilvl="7">
      <w:start w:val="1"/>
      <w:numFmt w:val="lowerLetter"/>
      <w:lvlText w:val="%8)"/>
      <w:lvlJc w:val="left"/>
      <w:pPr>
        <w:ind w:left="4620" w:hanging="420"/>
      </w:pPr>
    </w:lvl>
    <w:lvl w:ilvl="8">
      <w:start w:val="1"/>
      <w:numFmt w:val="lowerRoman"/>
      <w:lvlText w:val="%9."/>
      <w:lvlJc w:val="right"/>
      <w:pPr>
        <w:ind w:left="5040" w:hanging="420"/>
      </w:pPr>
    </w:lvl>
  </w:abstractNum>
  <w:abstractNum w:abstractNumId="3">
    <w:nsid w:val="45580C4B"/>
    <w:multiLevelType w:val="multilevel"/>
    <w:tmpl w:val="45580C4B"/>
    <w:lvl w:ilvl="0">
      <w:start w:val="1"/>
      <w:numFmt w:val="none"/>
      <w:suff w:val="nothing"/>
      <w:lvlJc w:val="left"/>
      <w:pPr>
        <w:ind w:left="0" w:firstLine="0"/>
      </w:pPr>
      <w:rPr>
        <w:rFonts w:ascii="黑体" w:eastAsia="黑体" w:hAnsi="Times New Roman" w:hint="eastAsia"/>
        <w:b/>
        <w:i w:val="0"/>
        <w:sz w:val="28"/>
      </w:rPr>
    </w:lvl>
    <w:lvl w:ilvl="1">
      <w:start w:val="1"/>
      <w:numFmt w:val="decimal"/>
      <w:pStyle w:val="a"/>
      <w:lvlText w:val="%1%2"/>
      <w:lvlJc w:val="left"/>
      <w:pPr>
        <w:tabs>
          <w:tab w:val="left" w:pos="360"/>
        </w:tabs>
        <w:ind w:left="0" w:firstLine="0"/>
      </w:pPr>
      <w:rPr>
        <w:rFonts w:ascii="黑体" w:eastAsia="黑体" w:hAnsi="Times New Roman" w:hint="eastAsia"/>
        <w:b w:val="0"/>
        <w:i w:val="0"/>
        <w:sz w:val="24"/>
        <w:szCs w:val="24"/>
      </w:rPr>
    </w:lvl>
    <w:lvl w:ilvl="2">
      <w:start w:val="1"/>
      <w:numFmt w:val="decimal"/>
      <w:pStyle w:val="a0"/>
      <w:lvlText w:val="%1%2.%3"/>
      <w:lvlJc w:val="left"/>
      <w:pPr>
        <w:tabs>
          <w:tab w:val="left" w:pos="825"/>
        </w:tabs>
        <w:ind w:left="105" w:firstLine="0"/>
      </w:pPr>
      <w:rPr>
        <w:rFonts w:ascii="宋体" w:eastAsia="宋体" w:hAnsi="宋体" w:hint="eastAsia"/>
        <w:b w:val="0"/>
        <w:i w:val="0"/>
        <w:sz w:val="24"/>
        <w:szCs w:val="24"/>
      </w:rPr>
    </w:lvl>
    <w:lvl w:ilvl="3">
      <w:start w:val="1"/>
      <w:numFmt w:val="decimal"/>
      <w:pStyle w:val="a1"/>
      <w:lvlText w:val="%1%2.%3.%4"/>
      <w:lvlJc w:val="left"/>
      <w:pPr>
        <w:tabs>
          <w:tab w:val="left" w:pos="720"/>
        </w:tabs>
        <w:ind w:left="0" w:firstLine="0"/>
      </w:pPr>
      <w:rPr>
        <w:rFonts w:ascii="宋体" w:eastAsia="宋体" w:hAnsi="宋体" w:hint="eastAsia"/>
        <w:b w:val="0"/>
        <w:i w:val="0"/>
        <w:sz w:val="24"/>
        <w:szCs w:val="24"/>
      </w:rPr>
    </w:lvl>
    <w:lvl w:ilvl="4">
      <w:start w:val="1"/>
      <w:numFmt w:val="decimal"/>
      <w:pStyle w:val="a2"/>
      <w:lvlText w:val="%2.%3.%4.%5"/>
      <w:lvlJc w:val="left"/>
      <w:pPr>
        <w:tabs>
          <w:tab w:val="left" w:pos="1080"/>
        </w:tabs>
        <w:ind w:left="0" w:firstLine="0"/>
      </w:pPr>
      <w:rPr>
        <w:rFonts w:ascii="宋体" w:eastAsia="宋体" w:hAnsi="宋体" w:hint="eastAsia"/>
        <w:b w:val="0"/>
        <w:i w:val="0"/>
        <w:color w:val="auto"/>
        <w:sz w:val="24"/>
        <w:szCs w:val="24"/>
      </w:rPr>
    </w:lvl>
    <w:lvl w:ilvl="5">
      <w:start w:val="1"/>
      <w:numFmt w:val="decimal"/>
      <w:pStyle w:val="a3"/>
      <w:lvlText w:val="%2.%3.%4.%5.%6"/>
      <w:lvlJc w:val="left"/>
      <w:pPr>
        <w:tabs>
          <w:tab w:val="left" w:pos="1021"/>
        </w:tabs>
        <w:ind w:left="1021" w:hanging="1021"/>
      </w:pPr>
      <w:rPr>
        <w:rFonts w:ascii="黑体" w:eastAsia="黑体" w:hAnsi="Times New Roman" w:hint="eastAsia"/>
        <w:b/>
        <w:i w:val="0"/>
        <w:sz w:val="30"/>
        <w:szCs w:val="30"/>
      </w:rPr>
    </w:lvl>
    <w:lvl w:ilvl="6">
      <w:start w:val="1"/>
      <w:numFmt w:val="decimal"/>
      <w:lvlRestart w:val="5"/>
      <w:pStyle w:val="a4"/>
      <w:lvlText w:val="%2.%3.%4.%5.%6.%7"/>
      <w:lvlJc w:val="left"/>
      <w:pPr>
        <w:tabs>
          <w:tab w:val="left" w:pos="1440"/>
        </w:tabs>
        <w:ind w:left="0" w:firstLine="0"/>
      </w:pPr>
      <w:rPr>
        <w:rFonts w:ascii="黑体" w:eastAsia="黑体" w:hAnsi="Times New Roman" w:hint="eastAsia"/>
        <w:b/>
        <w:i w:val="0"/>
        <w:sz w:val="30"/>
        <w:szCs w:val="30"/>
      </w:rPr>
    </w:lvl>
    <w:lvl w:ilvl="7">
      <w:start w:val="1"/>
      <w:numFmt w:val="decimal"/>
      <w:lvlRestart w:val="5"/>
      <w:lvlText w:val="图 %2.0.%5 -%8"/>
      <w:lvlJc w:val="left"/>
      <w:pPr>
        <w:tabs>
          <w:tab w:val="left" w:pos="1440"/>
        </w:tabs>
        <w:ind w:left="0" w:firstLine="0"/>
      </w:pPr>
      <w:rPr>
        <w:rFonts w:ascii="黑体" w:eastAsia="黑体" w:hint="eastAsia"/>
        <w:b/>
        <w:i w:val="0"/>
        <w:sz w:val="21"/>
      </w:rPr>
    </w:lvl>
    <w:lvl w:ilvl="8">
      <w:start w:val="1"/>
      <w:numFmt w:val="decimal"/>
      <w:lvlRestart w:val="6"/>
      <w:lvlText w:val="      %9)"/>
      <w:lvlJc w:val="left"/>
      <w:pPr>
        <w:tabs>
          <w:tab w:val="left" w:pos="1080"/>
        </w:tabs>
        <w:ind w:left="0" w:firstLine="0"/>
      </w:pPr>
      <w:rPr>
        <w:rFonts w:ascii="黑体" w:eastAsia="黑体" w:hAnsi="华文细黑" w:hint="eastAsia"/>
        <w:b/>
        <w:i w:val="0"/>
        <w:sz w:val="21"/>
      </w:rPr>
    </w:lvl>
  </w:abstractNum>
  <w:abstractNum w:abstractNumId="4">
    <w:nsid w:val="46806F7D"/>
    <w:multiLevelType w:val="multilevel"/>
    <w:tmpl w:val="46806F7D"/>
    <w:lvl w:ilvl="0">
      <w:start w:val="1"/>
      <w:numFmt w:val="none"/>
      <w:pStyle w:val="a34"/>
      <w:lvlText w:val="图"/>
      <w:lvlJc w:val="left"/>
      <w:pPr>
        <w:tabs>
          <w:tab w:val="left" w:pos="360"/>
        </w:tabs>
        <w:ind w:left="0" w:firstLine="0"/>
      </w:pPr>
      <w:rPr>
        <w:rFonts w:ascii="黑体" w:eastAsia="黑体" w:hint="eastAsia"/>
        <w:b w:val="0"/>
        <w:i w:val="0"/>
        <w:sz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4CF81C36"/>
    <w:multiLevelType w:val="multilevel"/>
    <w:tmpl w:val="4CF81C36"/>
    <w:lvl w:ilvl="0">
      <w:start w:val="1"/>
      <w:numFmt w:val="lowerLetter"/>
      <w:pStyle w:val="a53"/>
      <w:lvlText w:val="%1)"/>
      <w:lvlJc w:val="left"/>
      <w:pPr>
        <w:tabs>
          <w:tab w:val="left" w:pos="840"/>
        </w:tabs>
        <w:ind w:left="840" w:hanging="420"/>
      </w:pPr>
      <w:rPr>
        <w:rFonts w:ascii="宋体" w:eastAsia="宋体" w:hAnsi="宋体"/>
      </w:rPr>
    </w:lvl>
    <w:lvl w:ilvl="1">
      <w:start w:val="1"/>
      <w:numFmt w:val="lowerLetter"/>
      <w:lvlText w:val="%2）"/>
      <w:lvlJc w:val="left"/>
      <w:pPr>
        <w:tabs>
          <w:tab w:val="left" w:pos="780"/>
        </w:tabs>
        <w:ind w:left="780" w:hanging="360"/>
      </w:pPr>
      <w:rPr>
        <w:rFonts w:eastAsia="黑体" w:hint="default"/>
        <w:sz w:val="24"/>
        <w:szCs w:val="24"/>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4F302902"/>
    <w:multiLevelType w:val="multilevel"/>
    <w:tmpl w:val="4F302902"/>
    <w:lvl w:ilvl="0">
      <w:start w:val="1"/>
      <w:numFmt w:val="none"/>
      <w:pStyle w:val="a28"/>
      <w:lvlText w:val="表"/>
      <w:lvlJc w:val="left"/>
      <w:pPr>
        <w:tabs>
          <w:tab w:val="left" w:pos="360"/>
        </w:tabs>
        <w:ind w:left="0" w:firstLine="0"/>
      </w:pPr>
      <w:rPr>
        <w:rFonts w:ascii="黑体" w:eastAsia="黑体" w:hint="eastAsia"/>
        <w:b w:val="0"/>
        <w:i w:val="0"/>
        <w:sz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54062920"/>
    <w:multiLevelType w:val="multilevel"/>
    <w:tmpl w:val="54062920"/>
    <w:lvl w:ilvl="0">
      <w:start w:val="1"/>
      <w:numFmt w:val="decimal"/>
      <w:lvlText w:val="%1."/>
      <w:lvlJc w:val="left"/>
      <w:pPr>
        <w:ind w:left="360" w:hanging="360"/>
      </w:pPr>
      <w:rPr>
        <w:rFonts w:hint="eastAsia"/>
      </w:rPr>
    </w:lvl>
    <w:lvl w:ilvl="1">
      <w:start w:val="1"/>
      <w:numFmt w:val="decimal"/>
      <w:lvlText w:val="%1.%2."/>
      <w:lvlJc w:val="left"/>
      <w:pPr>
        <w:ind w:left="792" w:hanging="432"/>
      </w:pPr>
      <w:rPr>
        <w:rFonts w:hint="eastAsia"/>
      </w:rPr>
    </w:lvl>
    <w:lvl w:ilvl="2">
      <w:start w:val="1"/>
      <w:numFmt w:val="decimal"/>
      <w:lvlText w:val="%1.%2.%3."/>
      <w:lvlJc w:val="left"/>
      <w:pPr>
        <w:ind w:left="567" w:firstLine="153"/>
      </w:pPr>
      <w:rPr>
        <w:rFonts w:hint="eastAsia"/>
        <w:b w:val="0"/>
      </w:rPr>
    </w:lvl>
    <w:lvl w:ilvl="3">
      <w:start w:val="1"/>
      <w:numFmt w:val="decimal"/>
      <w:lvlText w:val="%1.%2.%3.%4."/>
      <w:lvlJc w:val="left"/>
      <w:pPr>
        <w:ind w:left="1728" w:hanging="648"/>
      </w:pPr>
      <w:rPr>
        <w:rFonts w:hint="eastAsia"/>
      </w:rPr>
    </w:lvl>
    <w:lvl w:ilvl="4">
      <w:start w:val="1"/>
      <w:numFmt w:val="decimal"/>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pStyle w:val="a35"/>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8">
    <w:nsid w:val="557C2AF5"/>
    <w:multiLevelType w:val="multilevel"/>
    <w:tmpl w:val="557C2AF5"/>
    <w:lvl w:ilvl="0">
      <w:start w:val="1"/>
      <w:numFmt w:val="decimal"/>
      <w:pStyle w:val="a55"/>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9">
    <w:nsid w:val="5AA12481"/>
    <w:multiLevelType w:val="multilevel"/>
    <w:tmpl w:val="5AA12481"/>
    <w:lvl w:ilvl="0">
      <w:start w:val="1"/>
      <w:numFmt w:val="decimal"/>
      <w:lvlText w:val="%1"/>
      <w:lvlJc w:val="left"/>
      <w:pPr>
        <w:ind w:left="425" w:hanging="425"/>
      </w:pPr>
    </w:lvl>
    <w:lvl w:ilvl="1">
      <w:start w:val="1"/>
      <w:numFmt w:val="decimal"/>
      <w:pStyle w:val="a29"/>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708"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nsid w:val="6350366A"/>
    <w:multiLevelType w:val="multilevel"/>
    <w:tmpl w:val="6350366A"/>
    <w:lvl w:ilvl="0">
      <w:start w:val="1"/>
      <w:numFmt w:val="none"/>
      <w:pStyle w:val="a39"/>
      <w:lvlText w:val="%1●　"/>
      <w:lvlJc w:val="left"/>
      <w:pPr>
        <w:tabs>
          <w:tab w:val="left" w:pos="760"/>
        </w:tabs>
        <w:ind w:left="717" w:hanging="317"/>
      </w:pPr>
      <w:rPr>
        <w:rFonts w:ascii="宋体" w:eastAsia="宋体" w:hAnsi="Times New Roman" w:hint="eastAsia"/>
        <w:b w:val="0"/>
        <w:i w:val="0"/>
        <w:position w:val="4"/>
        <w:sz w:val="13"/>
      </w:rPr>
    </w:lvl>
    <w:lvl w:ilvl="1">
      <w:start w:val="1"/>
      <w:numFmt w:val="lowerLetter"/>
      <w:lvlText w:val="%2)"/>
      <w:lvlJc w:val="left"/>
      <w:pPr>
        <w:tabs>
          <w:tab w:val="left" w:pos="780"/>
        </w:tabs>
        <w:ind w:left="780" w:hanging="360"/>
      </w:pPr>
      <w:rPr>
        <w:rFonts w:hint="eastAsia"/>
      </w:r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nsid w:val="657D3FBC"/>
    <w:multiLevelType w:val="multilevel"/>
    <w:tmpl w:val="657D3FBC"/>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pStyle w:val="a30"/>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31"/>
      <w:suff w:val="nothing"/>
      <w:lvlText w:val="%1.%2.%3　"/>
      <w:lvlJc w:val="left"/>
      <w:pPr>
        <w:ind w:left="0" w:firstLine="0"/>
      </w:pPr>
      <w:rPr>
        <w:rFonts w:ascii="黑体" w:eastAsia="黑体" w:hAnsi="Times New Roman" w:hint="eastAsia"/>
        <w:b w:val="0"/>
        <w:i w:val="0"/>
        <w:sz w:val="21"/>
      </w:rPr>
    </w:lvl>
    <w:lvl w:ilvl="3">
      <w:start w:val="1"/>
      <w:numFmt w:val="decimal"/>
      <w:pStyle w:val="a32"/>
      <w:suff w:val="nothing"/>
      <w:lvlText w:val="%1.%2.%3.%4　"/>
      <w:lvlJc w:val="left"/>
      <w:pPr>
        <w:ind w:left="0" w:firstLine="0"/>
      </w:pPr>
      <w:rPr>
        <w:rFonts w:ascii="黑体" w:eastAsia="黑体" w:hAnsi="Times New Roman" w:hint="eastAsia"/>
        <w:b w:val="0"/>
        <w:i w:val="0"/>
        <w:sz w:val="21"/>
      </w:rPr>
    </w:lvl>
    <w:lvl w:ilvl="4">
      <w:start w:val="1"/>
      <w:numFmt w:val="decimal"/>
      <w:pStyle w:val="a33"/>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2">
    <w:nsid w:val="6C622F4B"/>
    <w:multiLevelType w:val="multilevel"/>
    <w:tmpl w:val="6C622F4B"/>
    <w:lvl w:ilvl="0">
      <w:start w:val="1"/>
      <w:numFmt w:val="decimal"/>
      <w:pStyle w:val="a52"/>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6CEA2025"/>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1111111"/>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pStyle w:val="10"/>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pStyle w:val="a13"/>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4">
    <w:nsid w:val="6DBF04F4"/>
    <w:multiLevelType w:val="multilevel"/>
    <w:tmpl w:val="6DBF04F4"/>
    <w:lvl w:ilvl="0">
      <w:start w:val="1"/>
      <w:numFmt w:val="none"/>
      <w:pStyle w:val="a56"/>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76933334"/>
    <w:multiLevelType w:val="multilevel"/>
    <w:tmpl w:val="76933334"/>
    <w:lvl w:ilvl="0">
      <w:start w:val="1"/>
      <w:numFmt w:val="upperLetter"/>
      <w:pStyle w:val="a27"/>
      <w:suff w:val="nothing"/>
      <w:lvlText w:val="附  录  %1 "/>
      <w:lvlJc w:val="left"/>
      <w:pPr>
        <w:ind w:left="420" w:firstLine="0"/>
      </w:pPr>
      <w:rPr>
        <w:rFonts w:ascii="黑体" w:eastAsia="黑体" w:hAnsi="Times New Roman" w:hint="eastAsia"/>
        <w:b w:val="0"/>
        <w:i w:val="0"/>
        <w:sz w:val="21"/>
        <w:szCs w:val="21"/>
      </w:rPr>
    </w:lvl>
    <w:lvl w:ilvl="1">
      <w:start w:val="1"/>
      <w:numFmt w:val="decimal"/>
      <w:suff w:val="nothing"/>
      <w:lvlText w:val="%1%2　"/>
      <w:lvlJc w:val="left"/>
      <w:pPr>
        <w:ind w:left="420" w:firstLine="0"/>
      </w:pPr>
      <w:rPr>
        <w:rFonts w:ascii="黑体" w:eastAsia="黑体" w:hAnsi="Times New Roman" w:hint="eastAsia"/>
        <w:b w:val="0"/>
        <w:i w:val="0"/>
        <w:sz w:val="21"/>
      </w:rPr>
    </w:lvl>
    <w:lvl w:ilvl="2">
      <w:start w:val="1"/>
      <w:numFmt w:val="decimal"/>
      <w:suff w:val="nothing"/>
      <w:lvlText w:val="%1%2.%3　"/>
      <w:lvlJc w:val="left"/>
      <w:pPr>
        <w:ind w:left="420" w:firstLine="0"/>
      </w:pPr>
      <w:rPr>
        <w:rFonts w:ascii="黑体" w:eastAsia="黑体" w:hAnsi="Times New Roman" w:hint="eastAsia"/>
        <w:b w:val="0"/>
        <w:i w:val="0"/>
        <w:sz w:val="21"/>
      </w:rPr>
    </w:lvl>
    <w:lvl w:ilvl="3">
      <w:start w:val="1"/>
      <w:numFmt w:val="decimal"/>
      <w:suff w:val="nothing"/>
      <w:lvlText w:val="%1%2.%3.%4　"/>
      <w:lvlJc w:val="left"/>
      <w:pPr>
        <w:ind w:left="420" w:firstLine="0"/>
      </w:pPr>
      <w:rPr>
        <w:rFonts w:ascii="黑体" w:eastAsia="黑体" w:hAnsi="Times New Roman" w:hint="eastAsia"/>
        <w:b w:val="0"/>
        <w:i w:val="0"/>
        <w:sz w:val="21"/>
      </w:rPr>
    </w:lvl>
    <w:lvl w:ilvl="4">
      <w:start w:val="1"/>
      <w:numFmt w:val="decimal"/>
      <w:suff w:val="nothing"/>
      <w:lvlText w:val="%1%2.%3.%4.%5　"/>
      <w:lvlJc w:val="left"/>
      <w:pPr>
        <w:ind w:left="420" w:firstLine="0"/>
      </w:pPr>
      <w:rPr>
        <w:rFonts w:ascii="黑体" w:eastAsia="黑体" w:hAnsi="Times New Roman" w:hint="eastAsia"/>
        <w:b w:val="0"/>
        <w:i w:val="0"/>
        <w:sz w:val="21"/>
      </w:rPr>
    </w:lvl>
    <w:lvl w:ilvl="5">
      <w:start w:val="1"/>
      <w:numFmt w:val="decimal"/>
      <w:suff w:val="nothing"/>
      <w:lvlText w:val="%1%2.%3.%4.%5.%6　"/>
      <w:lvlJc w:val="left"/>
      <w:pPr>
        <w:ind w:left="420" w:firstLine="0"/>
      </w:pPr>
      <w:rPr>
        <w:rFonts w:ascii="黑体" w:eastAsia="黑体" w:hAnsi="Times New Roman" w:hint="eastAsia"/>
        <w:b w:val="0"/>
        <w:i w:val="0"/>
        <w:sz w:val="21"/>
      </w:rPr>
    </w:lvl>
    <w:lvl w:ilvl="6">
      <w:start w:val="1"/>
      <w:numFmt w:val="decimal"/>
      <w:suff w:val="nothing"/>
      <w:lvlText w:val="%1%2.%3.%4.%5.%6.%7　"/>
      <w:lvlJc w:val="left"/>
      <w:pPr>
        <w:ind w:left="420" w:firstLine="0"/>
      </w:pPr>
      <w:rPr>
        <w:rFonts w:ascii="黑体" w:eastAsia="黑体" w:hAnsi="Times New Roman" w:hint="eastAsia"/>
        <w:b w:val="0"/>
        <w:i w:val="0"/>
        <w:sz w:val="21"/>
      </w:rPr>
    </w:lvl>
    <w:lvl w:ilvl="7">
      <w:start w:val="1"/>
      <w:numFmt w:val="decimal"/>
      <w:lvlText w:val="%1.%2.%3.%4.%5.%6.%7.%8"/>
      <w:lvlJc w:val="left"/>
      <w:pPr>
        <w:tabs>
          <w:tab w:val="left" w:pos="4771"/>
        </w:tabs>
        <w:ind w:left="4389" w:hanging="1418"/>
      </w:pPr>
      <w:rPr>
        <w:rFonts w:hint="eastAsia"/>
      </w:rPr>
    </w:lvl>
    <w:lvl w:ilvl="8">
      <w:start w:val="1"/>
      <w:numFmt w:val="decimal"/>
      <w:lvlText w:val="%1.%2.%3.%4.%5.%6.%7.%8.%9"/>
      <w:lvlJc w:val="left"/>
      <w:pPr>
        <w:tabs>
          <w:tab w:val="left" w:pos="5197"/>
        </w:tabs>
        <w:ind w:left="5097" w:hanging="1700"/>
      </w:pPr>
      <w:rPr>
        <w:rFonts w:hint="eastAsia"/>
      </w:rPr>
    </w:lvl>
  </w:abstractNum>
  <w:num w:numId="1">
    <w:abstractNumId w:val="13"/>
  </w:num>
  <w:num w:numId="2">
    <w:abstractNumId w:val="3"/>
  </w:num>
  <w:num w:numId="3">
    <w:abstractNumId w:val="15"/>
  </w:num>
  <w:num w:numId="4">
    <w:abstractNumId w:val="6"/>
  </w:num>
  <w:num w:numId="5">
    <w:abstractNumId w:val="9"/>
  </w:num>
  <w:num w:numId="6">
    <w:abstractNumId w:val="11"/>
  </w:num>
  <w:num w:numId="7">
    <w:abstractNumId w:val="4"/>
  </w:num>
  <w:num w:numId="8">
    <w:abstractNumId w:val="7"/>
  </w:num>
  <w:num w:numId="9">
    <w:abstractNumId w:val="10"/>
  </w:num>
  <w:num w:numId="10">
    <w:abstractNumId w:val="0"/>
  </w:num>
  <w:num w:numId="11">
    <w:abstractNumId w:val="2"/>
  </w:num>
  <w:num w:numId="12">
    <w:abstractNumId w:val="1"/>
  </w:num>
  <w:num w:numId="13">
    <w:abstractNumId w:val="12"/>
  </w:num>
  <w:num w:numId="14">
    <w:abstractNumId w:val="5"/>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revisionView w:comments="1" w:formatting="1" w:inkAnnotations="1" w:insDel="1" w:markup="0"/>
  <w:documentProtection w:edit="readOnly" w:enforcement="1" w:cryptProviderType="rsaFull" w:cryptAlgorithmClass="hash" w:cryptAlgorithmType="typeAny" w:cryptAlgorithmSid="4" w:cryptSpinCount="50000" w:hash="n3Wfr4Q+jSCPSmxtfhC4AFRfz6Q=&#10;" w:salt="hIqOl99kIr/+N0hyovEq7Q==&#10;"/>
  <w:defaultTabStop w:val="420"/>
  <w:drawingGridVerticalSpacing w:val="156"/>
  <w:displayHorizontalDrawingGridEvery w:val="0"/>
  <w:displayVerticalDrawingGridEvery w:val="2"/>
  <w:characterSpacingControl w:val="compressPunctuation"/>
  <w:doNotValidateAgainstSchema/>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1BF"/>
    <w:rsid w:val="00002D14"/>
    <w:rsid w:val="000031BF"/>
    <w:rsid w:val="000036B9"/>
    <w:rsid w:val="00012BE8"/>
    <w:rsid w:val="000215EB"/>
    <w:rsid w:val="00024A4E"/>
    <w:rsid w:val="00032722"/>
    <w:rsid w:val="00033BB2"/>
    <w:rsid w:val="00035F46"/>
    <w:rsid w:val="00062265"/>
    <w:rsid w:val="0007661D"/>
    <w:rsid w:val="000818F9"/>
    <w:rsid w:val="00097CD5"/>
    <w:rsid w:val="000B2ED6"/>
    <w:rsid w:val="00104D6C"/>
    <w:rsid w:val="001064D4"/>
    <w:rsid w:val="00112DFE"/>
    <w:rsid w:val="001217BB"/>
    <w:rsid w:val="00137ECD"/>
    <w:rsid w:val="00163A09"/>
    <w:rsid w:val="00190C25"/>
    <w:rsid w:val="001A11CE"/>
    <w:rsid w:val="001A58F3"/>
    <w:rsid w:val="001B7EA3"/>
    <w:rsid w:val="001D7D23"/>
    <w:rsid w:val="001F2659"/>
    <w:rsid w:val="001F64F7"/>
    <w:rsid w:val="002072CC"/>
    <w:rsid w:val="002179E4"/>
    <w:rsid w:val="00226080"/>
    <w:rsid w:val="00254AD9"/>
    <w:rsid w:val="0029655F"/>
    <w:rsid w:val="002A5627"/>
    <w:rsid w:val="002B3F82"/>
    <w:rsid w:val="002B5AD1"/>
    <w:rsid w:val="002C6F6E"/>
    <w:rsid w:val="002F049C"/>
    <w:rsid w:val="002F53AD"/>
    <w:rsid w:val="00316652"/>
    <w:rsid w:val="00344F6F"/>
    <w:rsid w:val="0035672D"/>
    <w:rsid w:val="00397F36"/>
    <w:rsid w:val="003D0FD9"/>
    <w:rsid w:val="003E3C16"/>
    <w:rsid w:val="00402020"/>
    <w:rsid w:val="00412175"/>
    <w:rsid w:val="004123A0"/>
    <w:rsid w:val="00422B12"/>
    <w:rsid w:val="0043749B"/>
    <w:rsid w:val="0044485A"/>
    <w:rsid w:val="00451812"/>
    <w:rsid w:val="00461764"/>
    <w:rsid w:val="00474C3F"/>
    <w:rsid w:val="0048586F"/>
    <w:rsid w:val="004B7559"/>
    <w:rsid w:val="004C63C2"/>
    <w:rsid w:val="004D0F2D"/>
    <w:rsid w:val="004D37F3"/>
    <w:rsid w:val="0052741D"/>
    <w:rsid w:val="00543A1E"/>
    <w:rsid w:val="00574494"/>
    <w:rsid w:val="0058263C"/>
    <w:rsid w:val="0059152D"/>
    <w:rsid w:val="00591E05"/>
    <w:rsid w:val="0059376A"/>
    <w:rsid w:val="0059767F"/>
    <w:rsid w:val="005B462A"/>
    <w:rsid w:val="005B5318"/>
    <w:rsid w:val="005C0D4D"/>
    <w:rsid w:val="005C1B6D"/>
    <w:rsid w:val="005C3D52"/>
    <w:rsid w:val="005C71E8"/>
    <w:rsid w:val="005E7B29"/>
    <w:rsid w:val="005F121D"/>
    <w:rsid w:val="005F25E4"/>
    <w:rsid w:val="00615951"/>
    <w:rsid w:val="00666D47"/>
    <w:rsid w:val="00673C6E"/>
    <w:rsid w:val="006C22E8"/>
    <w:rsid w:val="006C2894"/>
    <w:rsid w:val="006D742E"/>
    <w:rsid w:val="006E2FA9"/>
    <w:rsid w:val="006F30A2"/>
    <w:rsid w:val="006F37F3"/>
    <w:rsid w:val="007112E0"/>
    <w:rsid w:val="00722843"/>
    <w:rsid w:val="00733ADF"/>
    <w:rsid w:val="00736D0B"/>
    <w:rsid w:val="00753EEE"/>
    <w:rsid w:val="0078651C"/>
    <w:rsid w:val="007A6CF3"/>
    <w:rsid w:val="007B5AC9"/>
    <w:rsid w:val="007B6556"/>
    <w:rsid w:val="007C491A"/>
    <w:rsid w:val="007C580E"/>
    <w:rsid w:val="007C6810"/>
    <w:rsid w:val="007F2C2B"/>
    <w:rsid w:val="0081475D"/>
    <w:rsid w:val="008163C0"/>
    <w:rsid w:val="008200E9"/>
    <w:rsid w:val="008419D7"/>
    <w:rsid w:val="0087136F"/>
    <w:rsid w:val="00872446"/>
    <w:rsid w:val="0087467B"/>
    <w:rsid w:val="00874D48"/>
    <w:rsid w:val="008A5B0C"/>
    <w:rsid w:val="008B6729"/>
    <w:rsid w:val="008C223B"/>
    <w:rsid w:val="008C6F47"/>
    <w:rsid w:val="008D1802"/>
    <w:rsid w:val="008D2795"/>
    <w:rsid w:val="008D5E01"/>
    <w:rsid w:val="008E1E03"/>
    <w:rsid w:val="008E353B"/>
    <w:rsid w:val="008F4D0D"/>
    <w:rsid w:val="009075CD"/>
    <w:rsid w:val="0092631E"/>
    <w:rsid w:val="00944A5F"/>
    <w:rsid w:val="00953700"/>
    <w:rsid w:val="00964ABF"/>
    <w:rsid w:val="0096595E"/>
    <w:rsid w:val="009765D5"/>
    <w:rsid w:val="009B307A"/>
    <w:rsid w:val="00A4295C"/>
    <w:rsid w:val="00A61358"/>
    <w:rsid w:val="00A81CD1"/>
    <w:rsid w:val="00A93B14"/>
    <w:rsid w:val="00A96658"/>
    <w:rsid w:val="00AF174A"/>
    <w:rsid w:val="00B01557"/>
    <w:rsid w:val="00B07325"/>
    <w:rsid w:val="00B13982"/>
    <w:rsid w:val="00B2262A"/>
    <w:rsid w:val="00B4584D"/>
    <w:rsid w:val="00B67B57"/>
    <w:rsid w:val="00B76346"/>
    <w:rsid w:val="00B8616E"/>
    <w:rsid w:val="00B87FCD"/>
    <w:rsid w:val="00B94DCE"/>
    <w:rsid w:val="00BE364F"/>
    <w:rsid w:val="00BE7C02"/>
    <w:rsid w:val="00BF7A43"/>
    <w:rsid w:val="00C32C4D"/>
    <w:rsid w:val="00C37C90"/>
    <w:rsid w:val="00C4030C"/>
    <w:rsid w:val="00C43662"/>
    <w:rsid w:val="00C86520"/>
    <w:rsid w:val="00C9361A"/>
    <w:rsid w:val="00CC3180"/>
    <w:rsid w:val="00D005CC"/>
    <w:rsid w:val="00D007FB"/>
    <w:rsid w:val="00D3168A"/>
    <w:rsid w:val="00D6089A"/>
    <w:rsid w:val="00D71929"/>
    <w:rsid w:val="00D80D2C"/>
    <w:rsid w:val="00D924AB"/>
    <w:rsid w:val="00DA2760"/>
    <w:rsid w:val="00DC4E3C"/>
    <w:rsid w:val="00E0494F"/>
    <w:rsid w:val="00E07BD0"/>
    <w:rsid w:val="00E3416C"/>
    <w:rsid w:val="00E37399"/>
    <w:rsid w:val="00E7028E"/>
    <w:rsid w:val="00E7120F"/>
    <w:rsid w:val="00E7348B"/>
    <w:rsid w:val="00E87C4B"/>
    <w:rsid w:val="00E908CD"/>
    <w:rsid w:val="00E97368"/>
    <w:rsid w:val="00EA58A7"/>
    <w:rsid w:val="00EB7C9C"/>
    <w:rsid w:val="00EC3838"/>
    <w:rsid w:val="00EC4763"/>
    <w:rsid w:val="00EC6675"/>
    <w:rsid w:val="00ED0484"/>
    <w:rsid w:val="00EE4636"/>
    <w:rsid w:val="00EE6527"/>
    <w:rsid w:val="00EF75BC"/>
    <w:rsid w:val="00F01AF3"/>
    <w:rsid w:val="00F03AA5"/>
    <w:rsid w:val="00F10B03"/>
    <w:rsid w:val="00F36A4A"/>
    <w:rsid w:val="00F72B49"/>
    <w:rsid w:val="00F9195D"/>
    <w:rsid w:val="00F966F8"/>
    <w:rsid w:val="00FA1843"/>
    <w:rsid w:val="00FA683F"/>
    <w:rsid w:val="00FB792F"/>
    <w:rsid w:val="00FE37FF"/>
    <w:rsid w:val="00FF6CD1"/>
    <w:rsid w:val="012249BF"/>
    <w:rsid w:val="02182062"/>
    <w:rsid w:val="022F3E96"/>
    <w:rsid w:val="028011D3"/>
    <w:rsid w:val="046D0CA0"/>
    <w:rsid w:val="05467EB4"/>
    <w:rsid w:val="062C22F1"/>
    <w:rsid w:val="0664047C"/>
    <w:rsid w:val="085102D4"/>
    <w:rsid w:val="094C4AEF"/>
    <w:rsid w:val="098C149F"/>
    <w:rsid w:val="09F00069"/>
    <w:rsid w:val="0A5A7A5B"/>
    <w:rsid w:val="0AB02CF8"/>
    <w:rsid w:val="0B3B62D2"/>
    <w:rsid w:val="0BBA7FB9"/>
    <w:rsid w:val="0D3F5680"/>
    <w:rsid w:val="0E1D615B"/>
    <w:rsid w:val="0E4218C1"/>
    <w:rsid w:val="0E427FC4"/>
    <w:rsid w:val="0F917FAD"/>
    <w:rsid w:val="10592273"/>
    <w:rsid w:val="10651E79"/>
    <w:rsid w:val="12BB4676"/>
    <w:rsid w:val="1337550A"/>
    <w:rsid w:val="13842CCB"/>
    <w:rsid w:val="159A0C1F"/>
    <w:rsid w:val="15ED20AE"/>
    <w:rsid w:val="16225936"/>
    <w:rsid w:val="16A17BD3"/>
    <w:rsid w:val="183F6638"/>
    <w:rsid w:val="188A1372"/>
    <w:rsid w:val="18E30276"/>
    <w:rsid w:val="1A2A5AC3"/>
    <w:rsid w:val="1B835C09"/>
    <w:rsid w:val="1CAB0ECA"/>
    <w:rsid w:val="1D6E33B3"/>
    <w:rsid w:val="1DC500AC"/>
    <w:rsid w:val="1EDB015E"/>
    <w:rsid w:val="1F8B0146"/>
    <w:rsid w:val="1F8D1DD9"/>
    <w:rsid w:val="1FD66C85"/>
    <w:rsid w:val="20D37BEE"/>
    <w:rsid w:val="20DA68F0"/>
    <w:rsid w:val="23147353"/>
    <w:rsid w:val="23F50008"/>
    <w:rsid w:val="24CD271B"/>
    <w:rsid w:val="261D39C1"/>
    <w:rsid w:val="26E15F77"/>
    <w:rsid w:val="27562330"/>
    <w:rsid w:val="279625B9"/>
    <w:rsid w:val="288B6335"/>
    <w:rsid w:val="29AA61AB"/>
    <w:rsid w:val="2A1C786E"/>
    <w:rsid w:val="2AE67B75"/>
    <w:rsid w:val="2B8E2E36"/>
    <w:rsid w:val="2D246F3A"/>
    <w:rsid w:val="2D424209"/>
    <w:rsid w:val="2DF70094"/>
    <w:rsid w:val="3050585C"/>
    <w:rsid w:val="31DD31B6"/>
    <w:rsid w:val="33F86B71"/>
    <w:rsid w:val="346A11D8"/>
    <w:rsid w:val="35720311"/>
    <w:rsid w:val="363F681F"/>
    <w:rsid w:val="393870B9"/>
    <w:rsid w:val="3A1C2540"/>
    <w:rsid w:val="3A7D35A4"/>
    <w:rsid w:val="3CF60D92"/>
    <w:rsid w:val="3D045C7F"/>
    <w:rsid w:val="3E354352"/>
    <w:rsid w:val="409622FB"/>
    <w:rsid w:val="411F6586"/>
    <w:rsid w:val="41444492"/>
    <w:rsid w:val="416B7BC4"/>
    <w:rsid w:val="41BA672E"/>
    <w:rsid w:val="420D1FDA"/>
    <w:rsid w:val="42294B3C"/>
    <w:rsid w:val="43094DBA"/>
    <w:rsid w:val="437F7F59"/>
    <w:rsid w:val="44E31F22"/>
    <w:rsid w:val="462B3D62"/>
    <w:rsid w:val="47067E54"/>
    <w:rsid w:val="47463953"/>
    <w:rsid w:val="47E865C7"/>
    <w:rsid w:val="4945340D"/>
    <w:rsid w:val="4AC77F95"/>
    <w:rsid w:val="4BBE353C"/>
    <w:rsid w:val="4CBF0DA6"/>
    <w:rsid w:val="4D6B5354"/>
    <w:rsid w:val="4E085AB6"/>
    <w:rsid w:val="4EA73F70"/>
    <w:rsid w:val="4EC941F0"/>
    <w:rsid w:val="51C814B6"/>
    <w:rsid w:val="52737CE9"/>
    <w:rsid w:val="53B57319"/>
    <w:rsid w:val="5418326C"/>
    <w:rsid w:val="56BD5E67"/>
    <w:rsid w:val="57D33488"/>
    <w:rsid w:val="589F0473"/>
    <w:rsid w:val="58B47C48"/>
    <w:rsid w:val="58D0360B"/>
    <w:rsid w:val="59557784"/>
    <w:rsid w:val="59CC7E43"/>
    <w:rsid w:val="5A0B0CD2"/>
    <w:rsid w:val="5A7D06B1"/>
    <w:rsid w:val="5AC727E4"/>
    <w:rsid w:val="5BA43CFC"/>
    <w:rsid w:val="5BA5558B"/>
    <w:rsid w:val="5BFB00CD"/>
    <w:rsid w:val="5E996F46"/>
    <w:rsid w:val="5F3F3F5E"/>
    <w:rsid w:val="60FF414B"/>
    <w:rsid w:val="61A52564"/>
    <w:rsid w:val="63125672"/>
    <w:rsid w:val="64215F56"/>
    <w:rsid w:val="64C011C1"/>
    <w:rsid w:val="64E5191A"/>
    <w:rsid w:val="65946BE8"/>
    <w:rsid w:val="665D3965"/>
    <w:rsid w:val="66904E24"/>
    <w:rsid w:val="66CB4A36"/>
    <w:rsid w:val="66D54996"/>
    <w:rsid w:val="676212C1"/>
    <w:rsid w:val="68850F51"/>
    <w:rsid w:val="68E42D61"/>
    <w:rsid w:val="6A013C2B"/>
    <w:rsid w:val="6AAD3DA3"/>
    <w:rsid w:val="6AFF3AC0"/>
    <w:rsid w:val="6D90790B"/>
    <w:rsid w:val="6EDB4D78"/>
    <w:rsid w:val="6F176DC2"/>
    <w:rsid w:val="6FD838B5"/>
    <w:rsid w:val="7132318C"/>
    <w:rsid w:val="723D6325"/>
    <w:rsid w:val="72724B36"/>
    <w:rsid w:val="73CB5710"/>
    <w:rsid w:val="74691242"/>
    <w:rsid w:val="761F1D0A"/>
    <w:rsid w:val="77D23BE5"/>
    <w:rsid w:val="788749C3"/>
    <w:rsid w:val="78DA6B98"/>
    <w:rsid w:val="797701F4"/>
    <w:rsid w:val="79FB0BC6"/>
    <w:rsid w:val="7CCF3806"/>
    <w:rsid w:val="7CD50582"/>
    <w:rsid w:val="7F18323E"/>
  </w:rsids>
  <w:docVars>
    <w:docVar w:name="commondata" w:val="eyJoZGlkIjoiNzZmOTMwYTk1Zjc0Y2ZlZTNkNTE2ZmNlNGEzZDg0N2QifQ=="/>
  </w:docVar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qFormat="1"/>
    <w:lsdException w:name="toc 2" w:semiHidden="0" w:uiPriority="39" w:qFormat="1"/>
    <w:lsdException w:name="toc 3" w:semiHidden="0" w:uiPriority="0" w:unhideWhenUsed="0" w:qFormat="1"/>
    <w:lsdException w:name="toc 4" w:semiHidden="0" w:uiPriority="0" w:unhideWhenUsed="0" w:qFormat="1"/>
    <w:lsdException w:name="toc 5" w:semiHidden="0" w:uiPriority="0" w:unhideWhenUsed="0" w:qFormat="1"/>
    <w:lsdException w:name="toc 6" w:semiHidden="0" w:uiPriority="0" w:unhideWhenUsed="0" w:qFormat="1"/>
    <w:lsdException w:name="toc 7" w:semiHidden="0" w:uiPriority="0" w:unhideWhenUsed="0" w:qFormat="1"/>
    <w:lsdException w:name="toc 8" w:semiHidden="0" w:uiPriority="0" w:unhideWhenUsed="0" w:qFormat="1"/>
    <w:lsdException w:name="toc 9" w:semiHidden="0" w:uiPriority="0" w:unhideWhenUsed="0" w:qFormat="1"/>
    <w:lsdException w:name="Normal Indent"/>
    <w:lsdException w:name="footnote text" w:semiHidden="0" w:uiPriority="0" w:unhideWhenUsed="0" w:qFormat="1"/>
    <w:lsdException w:name="annotation text" w:semiHidden="0" w:uiPriority="0" w:unhideWhenUsed="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semiHidden="0" w:uiPriority="0" w:unhideWhenUsed="0" w:qFormat="1"/>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semiHidden="0" w:uiPriority="0" w:unhideWhenUsed="0" w:qFormat="1"/>
    <w:lsdException w:name="Body Text First Indent 2" w:semiHidden="0" w:uiPriority="0" w:unhideWhenUsed="0" w:qFormat="1"/>
    <w:lsdException w:name="Note Heading"/>
    <w:lsdException w:name="Body Text 2"/>
    <w:lsdException w:name="Body Text 3"/>
    <w:lsdException w:name="Body Text Indent 2"/>
    <w:lsdException w:name="Body Text Indent 3" w:semiHidden="0" w:uiPriority="0" w:unhideWhenUsed="0" w:qFormat="1"/>
    <w:lsdException w:name="Block Text"/>
    <w:lsdException w:name="Hyperlink" w:semiHidden="0" w:qFormat="1"/>
    <w:lsdException w:name="FollowedHyperlink" w:semiHidden="0" w:qFormat="1"/>
    <w:lsdException w:name="Strong" w:semiHidden="0" w:uiPriority="22" w:unhideWhenUsed="0" w:qFormat="1"/>
    <w:lsdException w:name="Emphasis" w:semiHidden="0" w:uiPriority="20" w:unhideWhenUsed="0" w:qFormat="1"/>
    <w:lsdException w:name="Document Map" w:semiHidden="0" w:uiPriority="0" w:qFormat="1"/>
    <w:lsdException w:name="Plain Text" w:semiHidden="0" w:uiPriority="0" w:unhideWhenUsed="0" w:qFormat="1"/>
    <w:lsdException w:name="E-mail Signature"/>
    <w:lsdException w:name="Normal (Web)" w:semiHidden="0" w:unhideWhenUsed="0" w:qFormat="1"/>
    <w:lsdException w:name="HTML Acronym" w:semiHidden="0" w:uiPriority="0" w:unhideWhenUsed="0" w:qFormat="1"/>
    <w:lsdException w:name="HTML Address" w:semiHidden="0" w:uiPriority="0" w:unhideWhenUsed="0" w:qFormat="1"/>
    <w:lsdException w:name="HTML Cite" w:semiHidden="0" w:uiPriority="0" w:unhideWhenUsed="0" w:qFormat="1"/>
    <w:lsdException w:name="HTML Code" w:semiHidden="0" w:uiPriority="0" w:unhideWhenUsed="0" w:qFormat="1"/>
    <w:lsdException w:name="HTML Definition" w:semiHidden="0" w:uiPriority="0" w:unhideWhenUsed="0" w:qFormat="1"/>
    <w:lsdException w:name="HTML Keyboard" w:semiHidden="0" w:uiPriority="0" w:unhideWhenUsed="0" w:qFormat="1"/>
    <w:lsdException w:name="HTML Preformatted" w:semiHidden="0" w:uiPriority="0" w:unhideWhenUsed="0" w:qFormat="1"/>
    <w:lsdException w:name="HTML Sample" w:semiHidden="0" w:uiPriority="0" w:unhideWhenUsed="0" w:qFormat="1"/>
    <w:lsdException w:name="HTML Typewriter" w:semiHidden="0" w:uiPriority="0" w:unhideWhenUsed="0" w:qFormat="1"/>
    <w:lsdException w:name="HTML Variable" w:semiHidden="0" w:uiPriority="0" w:unhideWhenUsed="0" w:qFormat="1"/>
    <w:lsdException w:name="Normal Table" w:semiHidden="0" w:qFormat="1"/>
    <w:lsdException w:name="annotation subject" w:semiHidden="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qFormat="1"/>
    <w:lsdException w:name="Table Grid" w:semiHidden="0" w:uiPriority="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link w:val="1Char"/>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uiPriority w:val="9"/>
    <w:qFormat/>
    <w:pPr>
      <w:keepNext/>
      <w:keepLines/>
      <w:spacing w:before="260" w:after="260" w:line="416" w:lineRule="auto"/>
      <w:outlineLvl w:val="1"/>
    </w:pPr>
    <w:rPr>
      <w:rFonts w:ascii="Cambria" w:hAnsi="Cambria"/>
      <w:b/>
      <w:bCs/>
      <w:color w:val="4F81BD"/>
      <w:sz w:val="26"/>
      <w:szCs w:val="26"/>
    </w:rPr>
  </w:style>
  <w:style w:type="paragraph" w:styleId="Heading3">
    <w:name w:val="heading 3"/>
    <w:basedOn w:val="Normal"/>
    <w:next w:val="Normal"/>
    <w:link w:val="3Char"/>
    <w:qFormat/>
    <w:pPr>
      <w:keepNext/>
      <w:keepLines/>
      <w:spacing w:before="260" w:after="260" w:line="416" w:lineRule="auto"/>
      <w:outlineLvl w:val="2"/>
    </w:pPr>
    <w:rPr>
      <w:b/>
      <w:bCs/>
      <w:sz w:val="32"/>
      <w:szCs w:val="32"/>
    </w:rPr>
  </w:style>
  <w:style w:type="paragraph" w:styleId="Heading4">
    <w:name w:val="heading 4"/>
    <w:basedOn w:val="Normal"/>
    <w:next w:val="Normal"/>
    <w:link w:val="4Char"/>
    <w:qFormat/>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link w:val="5Char"/>
    <w:qFormat/>
    <w:pPr>
      <w:keepNext/>
      <w:keepLines/>
      <w:spacing w:before="280" w:after="290" w:line="376" w:lineRule="auto"/>
      <w:outlineLvl w:val="4"/>
    </w:pPr>
    <w:rPr>
      <w:b/>
      <w:bCs/>
      <w:sz w:val="28"/>
      <w:szCs w:val="28"/>
    </w:rPr>
  </w:style>
  <w:style w:type="paragraph" w:styleId="Heading6">
    <w:name w:val="heading 6"/>
    <w:basedOn w:val="Normal"/>
    <w:next w:val="Normal"/>
    <w:link w:val="6Char"/>
    <w:qFormat/>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link w:val="7Char"/>
    <w:qFormat/>
    <w:pPr>
      <w:keepNext/>
      <w:keepLines/>
      <w:spacing w:before="240" w:after="64" w:line="320" w:lineRule="auto"/>
      <w:outlineLvl w:val="6"/>
    </w:pPr>
    <w:rPr>
      <w:b/>
      <w:bCs/>
      <w:sz w:val="24"/>
    </w:rPr>
  </w:style>
  <w:style w:type="paragraph" w:styleId="Heading8">
    <w:name w:val="heading 8"/>
    <w:basedOn w:val="Normal"/>
    <w:next w:val="Normal"/>
    <w:link w:val="8Char"/>
    <w:qFormat/>
    <w:pPr>
      <w:keepNext/>
      <w:keepLines/>
      <w:spacing w:before="240" w:after="64" w:line="320" w:lineRule="auto"/>
      <w:outlineLvl w:val="7"/>
    </w:pPr>
    <w:rPr>
      <w:rFonts w:ascii="Arial" w:eastAsia="黑体" w:hAnsi="Arial"/>
      <w:sz w:val="24"/>
    </w:rPr>
  </w:style>
  <w:style w:type="paragraph" w:styleId="Heading9">
    <w:name w:val="heading 9"/>
    <w:basedOn w:val="Normal"/>
    <w:next w:val="Normal"/>
    <w:link w:val="9Char"/>
    <w:qFormat/>
    <w:pPr>
      <w:keepNext/>
      <w:keepLines/>
      <w:spacing w:before="240" w:after="64" w:line="320" w:lineRule="auto"/>
      <w:outlineLvl w:val="8"/>
    </w:pPr>
    <w:rPr>
      <w:rFonts w:ascii="Arial" w:eastAsia="黑体" w:hAnsi="Arial"/>
      <w:szCs w:val="21"/>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BodyText">
    <w:name w:val="Body Text"/>
    <w:basedOn w:val="Normal"/>
    <w:next w:val="Title"/>
    <w:link w:val="Char7"/>
    <w:uiPriority w:val="99"/>
    <w:unhideWhenUsed/>
    <w:qFormat/>
    <w:pPr>
      <w:spacing w:after="120"/>
    </w:pPr>
    <w:rPr>
      <w:rFonts w:ascii="Calibri" w:hAnsi="Calibri"/>
      <w:szCs w:val="22"/>
    </w:rPr>
  </w:style>
  <w:style w:type="paragraph" w:styleId="Title">
    <w:name w:val="Title"/>
    <w:basedOn w:val="Normal"/>
    <w:next w:val="Normal"/>
    <w:link w:val="Char9"/>
    <w:qFormat/>
    <w:pPr>
      <w:spacing w:before="240" w:after="60"/>
      <w:jc w:val="center"/>
      <w:outlineLvl w:val="0"/>
    </w:pPr>
    <w:rPr>
      <w:rFonts w:ascii="Arial" w:hAnsi="Arial"/>
      <w:b/>
      <w:bCs/>
      <w:sz w:val="32"/>
      <w:szCs w:val="32"/>
    </w:rPr>
  </w:style>
  <w:style w:type="paragraph" w:styleId="TOC7">
    <w:name w:val="toc 7"/>
    <w:basedOn w:val="TOC6"/>
    <w:next w:val="Normal"/>
    <w:qFormat/>
  </w:style>
  <w:style w:type="paragraph" w:styleId="TOC6">
    <w:name w:val="toc 6"/>
    <w:basedOn w:val="TOC5"/>
    <w:next w:val="Normal"/>
    <w:qFormat/>
  </w:style>
  <w:style w:type="paragraph" w:styleId="TOC5">
    <w:name w:val="toc 5"/>
    <w:basedOn w:val="TOC4"/>
    <w:next w:val="Normal"/>
    <w:qFormat/>
  </w:style>
  <w:style w:type="paragraph" w:styleId="TOC4">
    <w:name w:val="toc 4"/>
    <w:basedOn w:val="TOC3"/>
    <w:next w:val="Normal"/>
    <w:qFormat/>
  </w:style>
  <w:style w:type="paragraph" w:styleId="TOC3">
    <w:name w:val="toc 3"/>
    <w:basedOn w:val="TOC2"/>
    <w:next w:val="Normal"/>
    <w:qFormat/>
    <w:pPr>
      <w:widowControl/>
      <w:spacing w:after="0"/>
      <w:ind w:left="0"/>
    </w:pPr>
    <w:rPr>
      <w:rFonts w:ascii="宋体" w:hAnsi="Times New Roman"/>
      <w:kern w:val="0"/>
      <w:szCs w:val="20"/>
    </w:rPr>
  </w:style>
  <w:style w:type="paragraph" w:styleId="TOC2">
    <w:name w:val="toc 2"/>
    <w:basedOn w:val="Normal"/>
    <w:next w:val="Normal"/>
    <w:uiPriority w:val="39"/>
    <w:unhideWhenUsed/>
    <w:qFormat/>
    <w:pPr>
      <w:spacing w:after="100"/>
      <w:ind w:left="210"/>
    </w:pPr>
    <w:rPr>
      <w:rFonts w:ascii="Calibri" w:hAnsi="Calibri"/>
      <w:szCs w:val="22"/>
    </w:rPr>
  </w:style>
  <w:style w:type="paragraph" w:styleId="DocumentMap">
    <w:name w:val="Document Map"/>
    <w:basedOn w:val="Normal"/>
    <w:link w:val="Char2"/>
    <w:unhideWhenUsed/>
    <w:qFormat/>
    <w:rPr>
      <w:rFonts w:ascii="宋体" w:hAnsi="Calibri"/>
      <w:kern w:val="0"/>
      <w:sz w:val="18"/>
      <w:szCs w:val="18"/>
    </w:rPr>
  </w:style>
  <w:style w:type="paragraph" w:styleId="CommentText">
    <w:name w:val="annotation text"/>
    <w:basedOn w:val="Normal"/>
    <w:link w:val="Char1"/>
    <w:qFormat/>
    <w:pPr>
      <w:jc w:val="left"/>
    </w:pPr>
    <w:rPr>
      <w:rFonts w:ascii="Calibri" w:hAnsi="Calibri"/>
      <w:kern w:val="0"/>
      <w:sz w:val="20"/>
      <w:szCs w:val="20"/>
    </w:rPr>
  </w:style>
  <w:style w:type="paragraph" w:styleId="BodyTextIndent">
    <w:name w:val="Body Text Indent"/>
    <w:basedOn w:val="Normal"/>
    <w:link w:val="Char6"/>
    <w:qFormat/>
    <w:pPr>
      <w:spacing w:after="120"/>
      <w:ind w:left="420" w:leftChars="200"/>
    </w:pPr>
    <w:rPr>
      <w:rFonts w:ascii="Calibri" w:hAnsi="Calibri"/>
      <w:szCs w:val="22"/>
    </w:rPr>
  </w:style>
  <w:style w:type="paragraph" w:styleId="HTMLAddress">
    <w:name w:val="HTML Address"/>
    <w:basedOn w:val="Normal"/>
    <w:link w:val="HTMLChar"/>
    <w:qFormat/>
    <w:rPr>
      <w:i/>
      <w:iCs/>
    </w:rPr>
  </w:style>
  <w:style w:type="paragraph" w:styleId="PlainText">
    <w:name w:val="Plain Text"/>
    <w:basedOn w:val="Normal"/>
    <w:link w:val="Char19"/>
    <w:qFormat/>
    <w:rPr>
      <w:rFonts w:ascii="宋体" w:hAnsi="Courier New"/>
      <w:szCs w:val="20"/>
    </w:rPr>
  </w:style>
  <w:style w:type="paragraph" w:styleId="TOC8">
    <w:name w:val="toc 8"/>
    <w:basedOn w:val="TOC7"/>
    <w:next w:val="Normal"/>
    <w:qFormat/>
  </w:style>
  <w:style w:type="paragraph" w:styleId="Date">
    <w:name w:val="Date"/>
    <w:basedOn w:val="Normal"/>
    <w:next w:val="Normal"/>
    <w:link w:val="Char12"/>
    <w:qFormat/>
    <w:pPr>
      <w:ind w:left="100" w:leftChars="2500"/>
    </w:pPr>
  </w:style>
  <w:style w:type="paragraph" w:styleId="BalloonText">
    <w:name w:val="Balloon Text"/>
    <w:basedOn w:val="Normal"/>
    <w:link w:val="Char3"/>
    <w:uiPriority w:val="99"/>
    <w:unhideWhenUsed/>
    <w:qFormat/>
    <w:rPr>
      <w:rFonts w:ascii="宋体" w:hAnsi="Calibri"/>
      <w:kern w:val="0"/>
      <w:sz w:val="18"/>
      <w:szCs w:val="18"/>
    </w:rPr>
  </w:style>
  <w:style w:type="paragraph" w:styleId="Footer">
    <w:name w:val="footer"/>
    <w:basedOn w:val="Normal"/>
    <w:link w:val="Char0"/>
    <w:uiPriority w:val="99"/>
    <w:qFormat/>
    <w:pPr>
      <w:tabs>
        <w:tab w:val="center" w:pos="4153"/>
        <w:tab w:val="right" w:pos="8306"/>
      </w:tabs>
      <w:snapToGrid w:val="0"/>
      <w:jc w:val="left"/>
    </w:pPr>
    <w:rPr>
      <w:sz w:val="18"/>
      <w:szCs w:val="18"/>
    </w:rPr>
  </w:style>
  <w:style w:type="paragraph" w:styleId="Header">
    <w:name w:val="header"/>
    <w:basedOn w:val="Normal"/>
    <w:link w:val="Char"/>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unhideWhenUsed/>
    <w:qFormat/>
    <w:pPr>
      <w:tabs>
        <w:tab w:val="left" w:pos="840"/>
        <w:tab w:val="right" w:leader="dot" w:pos="8302"/>
      </w:tabs>
      <w:spacing w:line="276" w:lineRule="auto"/>
    </w:pPr>
    <w:rPr>
      <w:rFonts w:ascii="Calibri" w:hAnsi="Calibri"/>
      <w:szCs w:val="22"/>
    </w:rPr>
  </w:style>
  <w:style w:type="paragraph" w:styleId="FootnoteText">
    <w:name w:val="footnote text"/>
    <w:basedOn w:val="Normal"/>
    <w:link w:val="Char10"/>
    <w:qFormat/>
    <w:pPr>
      <w:snapToGrid w:val="0"/>
      <w:jc w:val="left"/>
    </w:pPr>
    <w:rPr>
      <w:sz w:val="18"/>
      <w:szCs w:val="18"/>
    </w:rPr>
  </w:style>
  <w:style w:type="paragraph" w:styleId="BodyTextIndent3">
    <w:name w:val="Body Text Indent 3"/>
    <w:basedOn w:val="Normal"/>
    <w:link w:val="3Char0"/>
    <w:qFormat/>
    <w:pPr>
      <w:spacing w:after="120"/>
      <w:ind w:left="420" w:leftChars="200"/>
    </w:pPr>
    <w:rPr>
      <w:sz w:val="16"/>
      <w:szCs w:val="16"/>
    </w:rPr>
  </w:style>
  <w:style w:type="paragraph" w:styleId="TOC9">
    <w:name w:val="toc 9"/>
    <w:basedOn w:val="TOC8"/>
    <w:next w:val="Normal"/>
    <w:qFormat/>
  </w:style>
  <w:style w:type="paragraph" w:styleId="HTMLPreformatted">
    <w:name w:val="HTML Preformatted"/>
    <w:basedOn w:val="Normal"/>
    <w:link w:val="HTMLChar0"/>
    <w:qFormat/>
    <w:rPr>
      <w:rFonts w:ascii="Courier New" w:hAnsi="Courier New"/>
      <w:sz w:val="20"/>
      <w:szCs w:val="20"/>
    </w:rPr>
  </w:style>
  <w:style w:type="paragraph" w:styleId="NormalWeb">
    <w:name w:val="Normal (Web)"/>
    <w:basedOn w:val="Normal"/>
    <w:uiPriority w:val="99"/>
    <w:qFormat/>
    <w:pPr>
      <w:widowControl/>
      <w:spacing w:before="100" w:beforeAutospacing="1" w:after="100" w:afterAutospacing="1"/>
      <w:jc w:val="left"/>
    </w:pPr>
    <w:rPr>
      <w:rFonts w:ascii="宋体" w:hAnsi="宋体" w:cs="宋体"/>
      <w:color w:val="000000"/>
      <w:kern w:val="0"/>
      <w:sz w:val="24"/>
    </w:rPr>
  </w:style>
  <w:style w:type="paragraph" w:styleId="CommentSubject">
    <w:name w:val="annotation subject"/>
    <w:basedOn w:val="CommentText"/>
    <w:next w:val="CommentText"/>
    <w:link w:val="Char4"/>
    <w:uiPriority w:val="99"/>
    <w:unhideWhenUsed/>
    <w:qFormat/>
    <w:pPr>
      <w:jc w:val="both"/>
    </w:pPr>
    <w:rPr>
      <w:b/>
      <w:bCs/>
    </w:rPr>
  </w:style>
  <w:style w:type="paragraph" w:styleId="BodyTextFirstIndent">
    <w:name w:val="Body Text First Indent"/>
    <w:basedOn w:val="BodyText"/>
    <w:link w:val="Char16"/>
    <w:qFormat/>
    <w:pPr>
      <w:spacing w:before="120" w:after="0"/>
      <w:ind w:firstLine="200" w:firstLineChars="200"/>
    </w:pPr>
    <w:rPr>
      <w:lang w:eastAsia="en-US"/>
    </w:rPr>
  </w:style>
  <w:style w:type="paragraph" w:styleId="BodyTextFirstIndent2">
    <w:name w:val="Body Text First Indent 2"/>
    <w:basedOn w:val="BodyTextIndent"/>
    <w:link w:val="2Char0"/>
    <w:qFormat/>
    <w:pPr>
      <w:ind w:firstLine="420" w:firstLineChars="200"/>
    </w:pPr>
    <w:rPr>
      <w:sz w:val="28"/>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Pr>
      <w:b/>
      <w:bCs/>
    </w:rPr>
  </w:style>
  <w:style w:type="character" w:styleId="PageNumber">
    <w:name w:val="page number"/>
    <w:qFormat/>
    <w:rPr>
      <w:rFonts w:ascii="Times New Roman" w:eastAsia="宋体" w:hAnsi="Times New Roman"/>
      <w:sz w:val="18"/>
    </w:rPr>
  </w:style>
  <w:style w:type="character" w:styleId="FollowedHyperlink">
    <w:name w:val="FollowedHyperlink"/>
    <w:uiPriority w:val="99"/>
    <w:unhideWhenUsed/>
    <w:qFormat/>
    <w:rPr>
      <w:color w:val="800080"/>
      <w:u w:val="single"/>
    </w:rPr>
  </w:style>
  <w:style w:type="character" w:styleId="HTMLDefinition">
    <w:name w:val="HTML Definition"/>
    <w:qFormat/>
    <w:rPr>
      <w:i/>
      <w:iCs/>
    </w:rPr>
  </w:style>
  <w:style w:type="character" w:styleId="HTMLTypewriter">
    <w:name w:val="HTML Typewriter"/>
    <w:qFormat/>
    <w:rPr>
      <w:rFonts w:ascii="Courier New" w:hAnsi="Courier New"/>
      <w:sz w:val="20"/>
      <w:szCs w:val="20"/>
    </w:rPr>
  </w:style>
  <w:style w:type="character" w:styleId="HTMLAcronym">
    <w:name w:val="HTML Acronym"/>
    <w:qFormat/>
  </w:style>
  <w:style w:type="character" w:styleId="HTMLVariable">
    <w:name w:val="HTML Variable"/>
    <w:qFormat/>
    <w:rPr>
      <w:i/>
      <w:iCs/>
    </w:rPr>
  </w:style>
  <w:style w:type="character" w:styleId="Hyperlink">
    <w:name w:val="Hyperlink"/>
    <w:uiPriority w:val="99"/>
    <w:unhideWhenUsed/>
    <w:qFormat/>
    <w:rPr>
      <w:color w:val="0000FF"/>
      <w:u w:val="single"/>
    </w:rPr>
  </w:style>
  <w:style w:type="character" w:styleId="HTMLCode">
    <w:name w:val="HTML Code"/>
    <w:qFormat/>
    <w:rPr>
      <w:rFonts w:ascii="Courier New" w:hAnsi="Courier New"/>
      <w:sz w:val="20"/>
      <w:szCs w:val="20"/>
    </w:rPr>
  </w:style>
  <w:style w:type="character" w:styleId="CommentReference">
    <w:name w:val="annotation reference"/>
    <w:qFormat/>
    <w:rPr>
      <w:sz w:val="21"/>
      <w:szCs w:val="21"/>
    </w:rPr>
  </w:style>
  <w:style w:type="character" w:styleId="HTMLCite">
    <w:name w:val="HTML Cite"/>
    <w:qFormat/>
    <w:rPr>
      <w:i/>
      <w:iCs/>
    </w:rPr>
  </w:style>
  <w:style w:type="character" w:styleId="FootnoteReference">
    <w:name w:val="footnote reference"/>
    <w:qFormat/>
    <w:rPr>
      <w:vertAlign w:val="superscript"/>
    </w:rPr>
  </w:style>
  <w:style w:type="character" w:styleId="HTMLKeyboard">
    <w:name w:val="HTML Keyboard"/>
    <w:qFormat/>
    <w:rPr>
      <w:rFonts w:ascii="Courier New" w:hAnsi="Courier New"/>
      <w:sz w:val="20"/>
      <w:szCs w:val="20"/>
    </w:rPr>
  </w:style>
  <w:style w:type="character" w:styleId="HTMLSample">
    <w:name w:val="HTML Sample"/>
    <w:qFormat/>
    <w:rPr>
      <w:rFonts w:ascii="Courier New" w:hAnsi="Courier New"/>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uiPriority w:val="9"/>
    <w:qFormat/>
    <w:rPr>
      <w:rFonts w:ascii="Cambria" w:eastAsia="宋体" w:hAnsi="Cambria" w:cs="Times New Roman"/>
      <w:b/>
      <w:bCs/>
      <w:color w:val="4F81BD"/>
      <w:sz w:val="26"/>
      <w:szCs w:val="26"/>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5Char">
    <w:name w:val="标题 5 Char"/>
    <w:basedOn w:val="DefaultParagraphFont"/>
    <w:link w:val="Heading5"/>
    <w:qFormat/>
    <w:rPr>
      <w:rFonts w:ascii="Times New Roman" w:eastAsia="宋体" w:hAnsi="Times New Roman" w:cs="Times New Roman"/>
      <w:b/>
      <w:bCs/>
      <w:sz w:val="28"/>
      <w:szCs w:val="28"/>
    </w:rPr>
  </w:style>
  <w:style w:type="character" w:customStyle="1" w:styleId="6Char">
    <w:name w:val="标题 6 Char"/>
    <w:basedOn w:val="DefaultParagraphFont"/>
    <w:link w:val="Heading6"/>
    <w:qFormat/>
    <w:rPr>
      <w:rFonts w:ascii="Arial" w:eastAsia="黑体" w:hAnsi="Arial" w:cs="Times New Roman"/>
      <w:b/>
      <w:bCs/>
      <w:sz w:val="24"/>
      <w:szCs w:val="24"/>
    </w:rPr>
  </w:style>
  <w:style w:type="character" w:customStyle="1" w:styleId="7Char">
    <w:name w:val="标题 7 Char"/>
    <w:basedOn w:val="DefaultParagraphFont"/>
    <w:link w:val="Heading7"/>
    <w:qFormat/>
    <w:rPr>
      <w:rFonts w:ascii="Times New Roman" w:eastAsia="宋体" w:hAnsi="Times New Roman" w:cs="Times New Roman"/>
      <w:b/>
      <w:bCs/>
      <w:sz w:val="24"/>
      <w:szCs w:val="24"/>
    </w:rPr>
  </w:style>
  <w:style w:type="character" w:customStyle="1" w:styleId="8Char">
    <w:name w:val="标题 8 Char"/>
    <w:basedOn w:val="DefaultParagraphFont"/>
    <w:link w:val="Heading8"/>
    <w:qFormat/>
    <w:rPr>
      <w:rFonts w:ascii="Arial" w:eastAsia="黑体" w:hAnsi="Arial" w:cs="Times New Roman"/>
      <w:sz w:val="24"/>
      <w:szCs w:val="24"/>
    </w:rPr>
  </w:style>
  <w:style w:type="character" w:customStyle="1" w:styleId="9Char">
    <w:name w:val="标题 9 Char"/>
    <w:basedOn w:val="DefaultParagraphFont"/>
    <w:link w:val="Heading9"/>
    <w:qFormat/>
    <w:rPr>
      <w:rFonts w:ascii="Arial" w:eastAsia="黑体" w:hAnsi="Arial" w:cs="Times New Roman"/>
      <w:szCs w:val="21"/>
    </w:rPr>
  </w:style>
  <w:style w:type="character" w:customStyle="1" w:styleId="Char">
    <w:name w:val="页眉 Char"/>
    <w:basedOn w:val="DefaultParagraphFont"/>
    <w:link w:val="Header"/>
    <w:uiPriority w:val="99"/>
    <w:qFormat/>
    <w:rPr>
      <w:rFonts w:ascii="Times New Roman" w:eastAsia="宋体" w:hAnsi="Times New Roman" w:cs="Times New Roman"/>
      <w:sz w:val="18"/>
      <w:szCs w:val="18"/>
    </w:rPr>
  </w:style>
  <w:style w:type="character" w:customStyle="1" w:styleId="Char0">
    <w:name w:val="页脚 Char"/>
    <w:basedOn w:val="DefaultParagraphFont"/>
    <w:link w:val="Footer"/>
    <w:uiPriority w:val="99"/>
    <w:qFormat/>
    <w:rPr>
      <w:rFonts w:ascii="Times New Roman" w:eastAsia="宋体" w:hAnsi="Times New Roman" w:cs="Times New Roman"/>
      <w:sz w:val="18"/>
      <w:szCs w:val="18"/>
    </w:rPr>
  </w:style>
  <w:style w:type="paragraph" w:customStyle="1" w:styleId="21">
    <w:name w:val="标题 21"/>
    <w:basedOn w:val="Normal"/>
    <w:next w:val="Normal"/>
    <w:uiPriority w:val="9"/>
    <w:unhideWhenUsed/>
    <w:qFormat/>
    <w:pPr>
      <w:keepNext/>
      <w:keepLines/>
      <w:spacing w:before="200"/>
      <w:outlineLvl w:val="1"/>
    </w:pPr>
    <w:rPr>
      <w:rFonts w:ascii="Cambria" w:hAnsi="Cambria"/>
      <w:b/>
      <w:bCs/>
      <w:color w:val="4F81BD"/>
      <w:sz w:val="26"/>
      <w:szCs w:val="26"/>
    </w:rPr>
  </w:style>
  <w:style w:type="paragraph" w:customStyle="1" w:styleId="1">
    <w:name w:val="列出段落1"/>
    <w:basedOn w:val="Normal"/>
    <w:uiPriority w:val="99"/>
    <w:qFormat/>
    <w:pPr>
      <w:ind w:firstLine="420" w:firstLineChars="200"/>
    </w:pPr>
    <w:rPr>
      <w:rFonts w:ascii="Calibri" w:hAnsi="Calibri"/>
      <w:szCs w:val="22"/>
    </w:rPr>
  </w:style>
  <w:style w:type="paragraph" w:customStyle="1" w:styleId="Covertext2">
    <w:name w:val="Cover text 2"/>
    <w:basedOn w:val="Normal"/>
    <w:qFormat/>
    <w:pPr>
      <w:widowControl/>
      <w:suppressAutoHyphens/>
      <w:autoSpaceDN w:val="0"/>
      <w:spacing w:before="120" w:after="120" w:line="360" w:lineRule="auto"/>
      <w:jc w:val="center"/>
      <w:textAlignment w:val="baseline"/>
    </w:pPr>
    <w:rPr>
      <w:rFonts w:ascii="Arial" w:eastAsia="Times New Roman" w:hAnsi="Arial" w:cs="Arial"/>
      <w:kern w:val="0"/>
      <w:sz w:val="40"/>
      <w:szCs w:val="40"/>
    </w:rPr>
  </w:style>
  <w:style w:type="character" w:customStyle="1" w:styleId="Char1">
    <w:name w:val="批注文字 Char"/>
    <w:basedOn w:val="DefaultParagraphFont"/>
    <w:link w:val="CommentText"/>
    <w:qFormat/>
    <w:rPr>
      <w:rFonts w:ascii="Calibri" w:eastAsia="宋体" w:hAnsi="Calibri" w:cs="Times New Roman"/>
      <w:kern w:val="0"/>
      <w:sz w:val="20"/>
      <w:szCs w:val="20"/>
    </w:rPr>
  </w:style>
  <w:style w:type="character" w:customStyle="1" w:styleId="Char2">
    <w:name w:val="文档结构图 Char"/>
    <w:basedOn w:val="DefaultParagraphFont"/>
    <w:link w:val="DocumentMap"/>
    <w:qFormat/>
    <w:rPr>
      <w:rFonts w:ascii="宋体" w:eastAsia="宋体" w:hAnsi="Calibri" w:cs="Times New Roman"/>
      <w:kern w:val="0"/>
      <w:sz w:val="18"/>
      <w:szCs w:val="18"/>
    </w:rPr>
  </w:style>
  <w:style w:type="character" w:customStyle="1" w:styleId="Char3">
    <w:name w:val="批注框文本 Char"/>
    <w:basedOn w:val="DefaultParagraphFont"/>
    <w:link w:val="BalloonText"/>
    <w:uiPriority w:val="99"/>
    <w:qFormat/>
    <w:rPr>
      <w:rFonts w:ascii="宋体" w:eastAsia="宋体" w:hAnsi="Calibri" w:cs="Times New Roman"/>
      <w:kern w:val="0"/>
      <w:sz w:val="18"/>
      <w:szCs w:val="18"/>
    </w:rPr>
  </w:style>
  <w:style w:type="character" w:customStyle="1" w:styleId="Char4">
    <w:name w:val="批注主题 Char"/>
    <w:basedOn w:val="Char1"/>
    <w:link w:val="CommentSubject"/>
    <w:uiPriority w:val="99"/>
    <w:qFormat/>
    <w:rPr>
      <w:rFonts w:ascii="Calibri" w:eastAsia="宋体" w:hAnsi="Calibri" w:cs="Times New Roman"/>
      <w:b/>
      <w:bCs/>
      <w:kern w:val="0"/>
      <w:sz w:val="20"/>
      <w:szCs w:val="20"/>
    </w:rPr>
  </w:style>
  <w:style w:type="paragraph" w:customStyle="1" w:styleId="1111111">
    <w:name w:val="1111111"/>
    <w:basedOn w:val="Heading2"/>
    <w:link w:val="1111111Char"/>
    <w:qFormat/>
    <w:pPr>
      <w:numPr>
        <w:ilvl w:val="1"/>
        <w:numId w:val="1"/>
      </w:numPr>
    </w:pPr>
  </w:style>
  <w:style w:type="character" w:customStyle="1" w:styleId="1111111Char">
    <w:name w:val="1111111 Char"/>
    <w:link w:val="1111111"/>
    <w:qFormat/>
    <w:rPr>
      <w:rFonts w:ascii="Cambria" w:eastAsia="宋体" w:hAnsi="Cambria" w:cs="Times New Roman"/>
      <w:b/>
      <w:bCs/>
      <w:color w:val="4F81BD"/>
      <w:sz w:val="26"/>
      <w:szCs w:val="26"/>
    </w:rPr>
  </w:style>
  <w:style w:type="paragraph" w:customStyle="1" w:styleId="10">
    <w:name w:val="修订1"/>
    <w:hidden/>
    <w:uiPriority w:val="99"/>
    <w:semiHidden/>
    <w:qFormat/>
    <w:pPr>
      <w:numPr>
        <w:ilvl w:val="3"/>
        <w:numId w:val="1"/>
      </w:numPr>
    </w:pPr>
    <w:rPr>
      <w:rFonts w:ascii="Calibri" w:eastAsia="宋体" w:hAnsi="Calibri" w:cs="Times New Roman"/>
      <w:kern w:val="2"/>
      <w:sz w:val="21"/>
      <w:szCs w:val="22"/>
      <w:lang w:val="en-US" w:eastAsia="zh-CN" w:bidi="ar-SA"/>
    </w:rPr>
  </w:style>
  <w:style w:type="character" w:customStyle="1" w:styleId="2Char1">
    <w:name w:val="标题 2 Char1"/>
    <w:uiPriority w:val="9"/>
    <w:semiHidden/>
    <w:qFormat/>
    <w:rPr>
      <w:rFonts w:ascii="Cambria" w:eastAsia="宋体" w:hAnsi="Cambria" w:cs="Times New Roman"/>
      <w:b/>
      <w:bCs/>
      <w:sz w:val="32"/>
      <w:szCs w:val="32"/>
    </w:rPr>
  </w:style>
  <w:style w:type="paragraph" w:customStyle="1" w:styleId="11">
    <w:name w:val="无间隔1"/>
    <w:link w:val="Char5"/>
    <w:uiPriority w:val="1"/>
    <w:qFormat/>
    <w:rPr>
      <w:rFonts w:ascii="Calibri" w:eastAsia="宋体" w:hAnsi="Calibri" w:cs="Times New Roman"/>
      <w:sz w:val="22"/>
      <w:lang w:val="en-US" w:eastAsia="zh-CN" w:bidi="ar-SA"/>
    </w:rPr>
  </w:style>
  <w:style w:type="character" w:customStyle="1" w:styleId="Char5">
    <w:name w:val="无间隔 Char"/>
    <w:link w:val="11"/>
    <w:uiPriority w:val="1"/>
    <w:qFormat/>
    <w:rPr>
      <w:rFonts w:ascii="Calibri" w:eastAsia="宋体" w:hAnsi="Calibri" w:cs="Times New Roman"/>
      <w:kern w:val="0"/>
      <w:sz w:val="22"/>
      <w:szCs w:val="20"/>
    </w:rPr>
  </w:style>
  <w:style w:type="paragraph" w:customStyle="1" w:styleId="a">
    <w:name w:val="章标题"/>
    <w:next w:val="Normal"/>
    <w:qFormat/>
    <w:pPr>
      <w:numPr>
        <w:ilvl w:val="1"/>
        <w:numId w:val="2"/>
      </w:numPr>
      <w:tabs>
        <w:tab w:val="left" w:pos="420"/>
      </w:tabs>
      <w:spacing w:before="120" w:after="120" w:line="360" w:lineRule="auto"/>
      <w:jc w:val="both"/>
      <w:outlineLvl w:val="1"/>
    </w:pPr>
    <w:rPr>
      <w:rFonts w:ascii="黑体" w:eastAsia="黑体" w:hAnsi="Times New Roman" w:cs="Times New Roman"/>
      <w:sz w:val="24"/>
      <w:lang w:val="en-US" w:eastAsia="zh-CN" w:bidi="ar-SA"/>
    </w:rPr>
  </w:style>
  <w:style w:type="paragraph" w:customStyle="1" w:styleId="a0">
    <w:name w:val="一级条标题"/>
    <w:basedOn w:val="a"/>
    <w:next w:val="Normal"/>
    <w:link w:val="Char11"/>
    <w:qFormat/>
    <w:pPr>
      <w:numPr>
        <w:ilvl w:val="2"/>
      </w:numPr>
      <w:tabs>
        <w:tab w:val="clear" w:pos="420"/>
        <w:tab w:val="left" w:pos="525"/>
      </w:tabs>
      <w:spacing w:before="0" w:after="0"/>
      <w:outlineLvl w:val="2"/>
    </w:pPr>
    <w:rPr>
      <w:rFonts w:ascii="宋体" w:eastAsia="宋体" w:hAnsi="宋体"/>
    </w:rPr>
  </w:style>
  <w:style w:type="paragraph" w:customStyle="1" w:styleId="a1">
    <w:name w:val="二级条标题"/>
    <w:basedOn w:val="a0"/>
    <w:next w:val="Normal"/>
    <w:link w:val="Char15"/>
    <w:qFormat/>
    <w:pPr>
      <w:numPr>
        <w:ilvl w:val="3"/>
      </w:numPr>
      <w:tabs>
        <w:tab w:val="clear" w:pos="525"/>
      </w:tabs>
      <w:outlineLvl w:val="3"/>
    </w:pPr>
  </w:style>
  <w:style w:type="paragraph" w:customStyle="1" w:styleId="a2">
    <w:name w:val="三级条标题"/>
    <w:basedOn w:val="a1"/>
    <w:next w:val="Normal"/>
    <w:qFormat/>
    <w:pPr>
      <w:numPr>
        <w:ilvl w:val="4"/>
      </w:numPr>
      <w:tabs>
        <w:tab w:val="left" w:pos="945"/>
      </w:tabs>
      <w:outlineLvl w:val="4"/>
    </w:pPr>
  </w:style>
  <w:style w:type="paragraph" w:customStyle="1" w:styleId="a3">
    <w:name w:val="四级条标题"/>
    <w:basedOn w:val="a2"/>
    <w:next w:val="Normal"/>
    <w:qFormat/>
    <w:pPr>
      <w:numPr>
        <w:ilvl w:val="5"/>
      </w:numPr>
      <w:tabs>
        <w:tab w:val="clear" w:pos="945"/>
        <w:tab w:val="left" w:pos="1155"/>
      </w:tabs>
      <w:outlineLvl w:val="5"/>
    </w:pPr>
  </w:style>
  <w:style w:type="paragraph" w:customStyle="1" w:styleId="a4">
    <w:name w:val="五级条标题"/>
    <w:basedOn w:val="a3"/>
    <w:next w:val="Normal"/>
    <w:qFormat/>
    <w:pPr>
      <w:numPr>
        <w:ilvl w:val="6"/>
      </w:numPr>
      <w:tabs>
        <w:tab w:val="clear" w:pos="1155"/>
        <w:tab w:val="left" w:pos="1407"/>
      </w:tabs>
      <w:outlineLvl w:val="6"/>
    </w:pPr>
  </w:style>
  <w:style w:type="character" w:customStyle="1" w:styleId="Char6">
    <w:name w:val="正文文本缩进 Char"/>
    <w:basedOn w:val="DefaultParagraphFont"/>
    <w:link w:val="BodyTextIndent"/>
    <w:qFormat/>
    <w:rPr>
      <w:rFonts w:ascii="Calibri" w:eastAsia="宋体" w:hAnsi="Calibri" w:cs="Times New Roman"/>
    </w:rPr>
  </w:style>
  <w:style w:type="character" w:customStyle="1" w:styleId="2Char0">
    <w:name w:val="正文首行缩进 2 Char"/>
    <w:basedOn w:val="Char6"/>
    <w:link w:val="BodyTextFirstIndent2"/>
    <w:qFormat/>
    <w:rPr>
      <w:rFonts w:ascii="Calibri" w:eastAsia="宋体" w:hAnsi="Calibri" w:cs="Times New Roman"/>
      <w:sz w:val="28"/>
    </w:rPr>
  </w:style>
  <w:style w:type="paragraph" w:customStyle="1" w:styleId="h">
    <w:name w:val="h三级条标题"/>
    <w:basedOn w:val="Normal"/>
    <w:next w:val="Normal"/>
    <w:qFormat/>
    <w:pPr>
      <w:widowControl/>
      <w:tabs>
        <w:tab w:val="left" w:pos="945"/>
        <w:tab w:val="left" w:pos="1080"/>
      </w:tabs>
      <w:spacing w:line="360" w:lineRule="auto"/>
      <w:outlineLvl w:val="4"/>
    </w:pPr>
    <w:rPr>
      <w:kern w:val="0"/>
      <w:sz w:val="24"/>
      <w:szCs w:val="20"/>
    </w:rPr>
  </w:style>
  <w:style w:type="paragraph" w:customStyle="1" w:styleId="h0">
    <w:name w:val="h这是章节的"/>
    <w:basedOn w:val="a"/>
    <w:qFormat/>
    <w:pPr>
      <w:numPr>
        <w:ilvl w:val="0"/>
        <w:numId w:val="0"/>
      </w:numPr>
      <w:spacing w:beforeLines="50" w:afterLines="50" w:line="240" w:lineRule="auto"/>
    </w:pPr>
    <w:rPr>
      <w:rFonts w:cs="宋体"/>
      <w:b/>
      <w:bCs/>
    </w:rPr>
  </w:style>
  <w:style w:type="paragraph" w:customStyle="1" w:styleId="h1">
    <w:name w:val="h这是正文的"/>
    <w:basedOn w:val="BodyTextFirstIndent2"/>
    <w:qFormat/>
    <w:pPr>
      <w:spacing w:line="360" w:lineRule="auto"/>
      <w:ind w:left="200" w:firstLine="200"/>
    </w:pPr>
    <w:rPr>
      <w:rFonts w:cs="宋体"/>
      <w:sz w:val="24"/>
    </w:rPr>
  </w:style>
  <w:style w:type="paragraph" w:customStyle="1" w:styleId="2">
    <w:name w:val="样式 段 + 首行缩进:  2 字符"/>
    <w:basedOn w:val="Normal"/>
    <w:qFormat/>
    <w:pPr>
      <w:widowControl/>
      <w:spacing w:line="360" w:lineRule="auto"/>
      <w:jc w:val="center"/>
      <w:outlineLvl w:val="1"/>
    </w:pPr>
    <w:rPr>
      <w:rFonts w:ascii="黑体" w:eastAsia="黑体" w:hAnsi="宋体" w:cs="宋体"/>
      <w:kern w:val="0"/>
      <w:sz w:val="32"/>
      <w:szCs w:val="21"/>
    </w:rPr>
  </w:style>
  <w:style w:type="paragraph" w:customStyle="1" w:styleId="CharCharCharCharCharChar">
    <w:name w:val="Char Char Char Char Char Char"/>
    <w:basedOn w:val="Normal"/>
    <w:qFormat/>
    <w:pPr>
      <w:spacing w:line="360" w:lineRule="auto"/>
    </w:pPr>
    <w:rPr>
      <w:rFonts w:ascii="Tahoma" w:hAnsi="Tahoma"/>
      <w:sz w:val="24"/>
      <w:szCs w:val="20"/>
    </w:rPr>
  </w:style>
  <w:style w:type="character" w:customStyle="1" w:styleId="Char7">
    <w:name w:val="正文文本 Char"/>
    <w:basedOn w:val="DefaultParagraphFont"/>
    <w:link w:val="BodyText"/>
    <w:uiPriority w:val="99"/>
    <w:qFormat/>
    <w:rPr>
      <w:rFonts w:ascii="Calibri" w:eastAsia="宋体" w:hAnsi="Calibri" w:cs="Times New Roman"/>
    </w:rPr>
  </w:style>
  <w:style w:type="paragraph" w:customStyle="1" w:styleId="a5">
    <w:name w:val="表格标题"/>
    <w:basedOn w:val="Normal"/>
    <w:next w:val="Normal"/>
    <w:qFormat/>
    <w:pPr>
      <w:jc w:val="center"/>
    </w:pPr>
    <w:rPr>
      <w:rFonts w:cs="宋体"/>
      <w:b/>
      <w:bCs/>
      <w:smallCaps/>
      <w:szCs w:val="20"/>
    </w:rPr>
  </w:style>
  <w:style w:type="paragraph" w:customStyle="1" w:styleId="a6">
    <w:name w:val="标准称谓"/>
    <w:next w:val="Normal"/>
    <w:qFormat/>
    <w:pPr>
      <w:widowControl w:val="0"/>
      <w:kinsoku w:val="0"/>
      <w:overflowPunct w:val="0"/>
      <w:autoSpaceDE w:val="0"/>
      <w:autoSpaceDN w:val="0"/>
      <w:spacing w:line="0" w:lineRule="atLeast"/>
      <w:jc w:val="distribute"/>
    </w:pPr>
    <w:rPr>
      <w:rFonts w:ascii="宋体" w:eastAsia="宋体" w:hAnsi="Times New Roman" w:cs="Times New Roman"/>
      <w:b/>
      <w:bCs/>
      <w:spacing w:val="20"/>
      <w:w w:val="148"/>
      <w:sz w:val="52"/>
      <w:lang w:val="en-US" w:eastAsia="zh-CN" w:bidi="ar-SA"/>
    </w:rPr>
  </w:style>
  <w:style w:type="paragraph" w:customStyle="1" w:styleId="a7">
    <w:name w:val="表格文本 居左"/>
    <w:basedOn w:val="Normal"/>
    <w:link w:val="Char8"/>
    <w:unhideWhenUsed/>
    <w:qFormat/>
    <w:pPr>
      <w:wordWrap w:val="0"/>
      <w:jc w:val="left"/>
    </w:pPr>
    <w:rPr>
      <w:rFonts w:ascii="宋体" w:hAnsi="宋体"/>
      <w:szCs w:val="21"/>
    </w:rPr>
  </w:style>
  <w:style w:type="character" w:customStyle="1" w:styleId="Char8">
    <w:name w:val="表格文本 居左 Char"/>
    <w:link w:val="a7"/>
    <w:qFormat/>
    <w:rPr>
      <w:rFonts w:ascii="宋体" w:eastAsia="宋体" w:hAnsi="宋体" w:cs="Times New Roman"/>
      <w:szCs w:val="21"/>
    </w:rPr>
  </w:style>
  <w:style w:type="character" w:customStyle="1" w:styleId="HTMLChar">
    <w:name w:val="HTML 地址 Char"/>
    <w:basedOn w:val="DefaultParagraphFont"/>
    <w:link w:val="HTMLAddress"/>
    <w:qFormat/>
    <w:rPr>
      <w:rFonts w:ascii="Times New Roman" w:eastAsia="宋体" w:hAnsi="Times New Roman" w:cs="Times New Roman"/>
      <w:i/>
      <w:iCs/>
      <w:szCs w:val="24"/>
    </w:rPr>
  </w:style>
  <w:style w:type="character" w:customStyle="1" w:styleId="HTMLChar0">
    <w:name w:val="HTML 预设格式 Char"/>
    <w:basedOn w:val="DefaultParagraphFont"/>
    <w:link w:val="HTMLPreformatted"/>
    <w:qFormat/>
    <w:rPr>
      <w:rFonts w:ascii="Courier New" w:eastAsia="宋体" w:hAnsi="Courier New" w:cs="Times New Roman"/>
      <w:sz w:val="20"/>
      <w:szCs w:val="20"/>
    </w:rPr>
  </w:style>
  <w:style w:type="character" w:customStyle="1" w:styleId="Char9">
    <w:name w:val="标题 Char"/>
    <w:basedOn w:val="DefaultParagraphFont"/>
    <w:link w:val="Title"/>
    <w:qFormat/>
    <w:rPr>
      <w:rFonts w:ascii="Arial" w:eastAsia="宋体" w:hAnsi="Arial" w:cs="Times New Roman"/>
      <w:b/>
      <w:bCs/>
      <w:sz w:val="32"/>
      <w:szCs w:val="32"/>
    </w:rPr>
  </w:style>
  <w:style w:type="paragraph" w:customStyle="1" w:styleId="a8">
    <w:name w:val="标准标志"/>
    <w:next w:val="Normal"/>
    <w:qFormat/>
    <w:pPr>
      <w:framePr w:w="2268" w:h="1392" w:hRule="exact" w:wrap="around" w:vAnchor="margin" w:hAnchor="margin" w:x="6748" w:y="171" w:anchorLock="1"/>
      <w:shd w:val="solid" w:color="FFFFFF" w:fill="FFFFFF"/>
      <w:spacing w:line="0" w:lineRule="atLeast"/>
      <w:jc w:val="right"/>
    </w:pPr>
    <w:rPr>
      <w:rFonts w:ascii="Times New Roman" w:eastAsia="宋体" w:hAnsi="Times New Roman" w:cs="Times New Roman"/>
      <w:b/>
      <w:w w:val="130"/>
      <w:sz w:val="96"/>
      <w:lang w:val="en-US" w:eastAsia="zh-CN" w:bidi="ar-SA"/>
    </w:rPr>
  </w:style>
  <w:style w:type="paragraph" w:customStyle="1" w:styleId="a9">
    <w:name w:val="标准书脚_偶数页"/>
    <w:qFormat/>
    <w:pPr>
      <w:spacing w:before="120"/>
    </w:pPr>
    <w:rPr>
      <w:rFonts w:ascii="Times New Roman" w:eastAsia="宋体" w:hAnsi="Times New Roman" w:cs="Times New Roman"/>
      <w:sz w:val="18"/>
      <w:lang w:val="en-US" w:eastAsia="zh-CN" w:bidi="ar-SA"/>
    </w:rPr>
  </w:style>
  <w:style w:type="paragraph" w:customStyle="1" w:styleId="a10">
    <w:name w:val="标准书脚_奇数页"/>
    <w:qFormat/>
    <w:pPr>
      <w:spacing w:before="120"/>
      <w:jc w:val="right"/>
    </w:pPr>
    <w:rPr>
      <w:rFonts w:ascii="Times New Roman" w:eastAsia="宋体" w:hAnsi="Times New Roman" w:cs="Times New Roman"/>
      <w:sz w:val="18"/>
      <w:lang w:val="en-US" w:eastAsia="zh-CN" w:bidi="ar-SA"/>
    </w:rPr>
  </w:style>
  <w:style w:type="paragraph" w:customStyle="1" w:styleId="a11">
    <w:name w:val="标准书眉_奇数页"/>
    <w:next w:val="Normal"/>
    <w:qFormat/>
    <w:pPr>
      <w:tabs>
        <w:tab w:val="center" w:pos="4154"/>
        <w:tab w:val="right" w:pos="8306"/>
      </w:tabs>
      <w:spacing w:after="120"/>
      <w:jc w:val="right"/>
    </w:pPr>
    <w:rPr>
      <w:rFonts w:ascii="Times New Roman" w:eastAsia="宋体" w:hAnsi="Times New Roman" w:cs="Times New Roman"/>
      <w:sz w:val="21"/>
      <w:lang w:val="en-US" w:eastAsia="zh-CN" w:bidi="ar-SA"/>
    </w:rPr>
  </w:style>
  <w:style w:type="paragraph" w:customStyle="1" w:styleId="a12">
    <w:name w:val="标准书眉_偶数页"/>
    <w:basedOn w:val="a11"/>
    <w:next w:val="Normal"/>
    <w:qFormat/>
    <w:pPr>
      <w:jc w:val="left"/>
    </w:pPr>
  </w:style>
  <w:style w:type="paragraph" w:customStyle="1" w:styleId="a13">
    <w:name w:val="标准书眉一"/>
    <w:qFormat/>
    <w:pPr>
      <w:numPr>
        <w:ilvl w:val="6"/>
        <w:numId w:val="1"/>
      </w:numPr>
      <w:jc w:val="both"/>
    </w:pPr>
    <w:rPr>
      <w:rFonts w:ascii="Times New Roman" w:eastAsia="宋体" w:hAnsi="Times New Roman" w:cs="Times New Roman"/>
      <w:lang w:val="en-US" w:eastAsia="zh-CN" w:bidi="ar-SA"/>
    </w:rPr>
  </w:style>
  <w:style w:type="paragraph" w:customStyle="1" w:styleId="a14">
    <w:name w:val="前言、引言标题"/>
    <w:next w:val="Normal"/>
    <w:link w:val="Char14"/>
    <w:qFormat/>
    <w:pPr>
      <w:shd w:val="clear" w:color="FFFFFF" w:fill="FFFFFF"/>
      <w:spacing w:before="640" w:after="560"/>
      <w:jc w:val="center"/>
      <w:outlineLvl w:val="0"/>
    </w:pPr>
    <w:rPr>
      <w:rFonts w:ascii="黑体" w:eastAsia="黑体" w:hAnsi="Times New Roman" w:cs="Times New Roman"/>
      <w:sz w:val="32"/>
      <w:lang w:val="en-US" w:eastAsia="zh-CN" w:bidi="ar-SA"/>
    </w:rPr>
  </w:style>
  <w:style w:type="paragraph" w:customStyle="1" w:styleId="a15">
    <w:name w:val="参考文献、索引标题"/>
    <w:basedOn w:val="a14"/>
    <w:next w:val="Normal"/>
    <w:qFormat/>
    <w:pPr>
      <w:spacing w:after="200"/>
    </w:pPr>
    <w:rPr>
      <w:sz w:val="21"/>
    </w:rPr>
  </w:style>
  <w:style w:type="paragraph" w:customStyle="1" w:styleId="a16">
    <w:name w:val="段"/>
    <w:link w:val="Char13"/>
    <w:qFormat/>
    <w:pPr>
      <w:autoSpaceDE w:val="0"/>
      <w:autoSpaceDN w:val="0"/>
      <w:ind w:firstLine="200" w:firstLineChars="200"/>
      <w:jc w:val="both"/>
    </w:pPr>
    <w:rPr>
      <w:rFonts w:ascii="宋体" w:eastAsia="宋体" w:hAnsi="Times New Roman" w:cs="Times New Roman"/>
      <w:sz w:val="21"/>
      <w:lang w:val="en-US" w:eastAsia="zh-CN" w:bidi="ar-SA"/>
    </w:rPr>
  </w:style>
  <w:style w:type="character" w:customStyle="1" w:styleId="a17">
    <w:name w:val="发布"/>
    <w:qFormat/>
    <w:rPr>
      <w:rFonts w:ascii="黑体" w:eastAsia="黑体"/>
      <w:spacing w:val="22"/>
      <w:w w:val="100"/>
      <w:position w:val="3"/>
      <w:sz w:val="28"/>
    </w:rPr>
  </w:style>
  <w:style w:type="paragraph" w:customStyle="1" w:styleId="a18">
    <w:name w:val="发布部门"/>
    <w:next w:val="a16"/>
    <w:qFormat/>
    <w:pPr>
      <w:framePr w:w="7433" w:h="585" w:hRule="exact" w:hSpace="180" w:vSpace="180" w:wrap="around" w:vAnchor="margin" w:hAnchor="margin" w:xAlign="center" w:y="14401" w:anchorLock="1"/>
      <w:jc w:val="center"/>
    </w:pPr>
    <w:rPr>
      <w:rFonts w:ascii="宋体" w:eastAsia="宋体" w:hAnsi="Times New Roman" w:cs="Times New Roman"/>
      <w:b/>
      <w:spacing w:val="20"/>
      <w:w w:val="135"/>
      <w:sz w:val="36"/>
      <w:lang w:val="en-US" w:eastAsia="zh-CN" w:bidi="ar-SA"/>
    </w:rPr>
  </w:style>
  <w:style w:type="paragraph" w:customStyle="1" w:styleId="a19">
    <w:name w:val="发布日期"/>
    <w:qFormat/>
    <w:pPr>
      <w:framePr w:w="4000" w:h="473" w:hRule="exact" w:hSpace="180" w:vSpace="180" w:wrap="around" w:vAnchor="margin" w:hAnchor="margin" w:y="13511" w:anchorLock="1"/>
    </w:pPr>
    <w:rPr>
      <w:rFonts w:ascii="Times New Roman" w:eastAsia="黑体" w:hAnsi="Times New Roman" w:cs="Times New Roman"/>
      <w:sz w:val="28"/>
      <w:lang w:val="en-US" w:eastAsia="zh-CN" w:bidi="ar-SA"/>
    </w:rPr>
  </w:style>
  <w:style w:type="paragraph" w:customStyle="1" w:styleId="12">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lang w:val="en-US" w:eastAsia="zh-CN" w:bidi="ar-SA"/>
    </w:rPr>
  </w:style>
  <w:style w:type="paragraph" w:customStyle="1" w:styleId="20">
    <w:name w:val="封面标准号2"/>
    <w:basedOn w:val="12"/>
    <w:qFormat/>
    <w:pPr>
      <w:framePr w:w="9138" w:h="1244" w:hRule="exact" w:wrap="around" w:vAnchor="page" w:hAnchor="margin" w:y="2908"/>
      <w:adjustRightInd w:val="0"/>
      <w:spacing w:before="357" w:line="280" w:lineRule="exact"/>
    </w:pPr>
  </w:style>
  <w:style w:type="paragraph" w:customStyle="1" w:styleId="a20">
    <w:name w:val="封面标准代替信息"/>
    <w:basedOn w:val="20"/>
    <w:qFormat/>
    <w:pPr>
      <w:spacing w:before="57"/>
    </w:pPr>
    <w:rPr>
      <w:rFonts w:ascii="宋体"/>
      <w:sz w:val="21"/>
    </w:rPr>
  </w:style>
  <w:style w:type="paragraph" w:customStyle="1" w:styleId="a21">
    <w:name w:val="封面标准名称"/>
    <w:qFormat/>
    <w:pPr>
      <w:framePr w:w="9638" w:h="6917" w:hRule="exact" w:wrap="around" w:vAnchor="margin" w:hAnchor="margin" w:xAlign="center" w:y="5955" w:anchorLock="1"/>
      <w:widowControl w:val="0"/>
      <w:spacing w:line="680" w:lineRule="exact"/>
      <w:jc w:val="center"/>
      <w:textAlignment w:val="center"/>
    </w:pPr>
    <w:rPr>
      <w:rFonts w:ascii="黑体" w:eastAsia="黑体" w:hAnsi="Times New Roman" w:cs="Times New Roman"/>
      <w:sz w:val="52"/>
      <w:lang w:val="en-US" w:eastAsia="zh-CN" w:bidi="ar-SA"/>
    </w:rPr>
  </w:style>
  <w:style w:type="paragraph" w:customStyle="1" w:styleId="a22">
    <w:name w:val="封面标准文稿编辑信息"/>
    <w:qFormat/>
    <w:pPr>
      <w:spacing w:before="180" w:line="180" w:lineRule="exact"/>
      <w:jc w:val="center"/>
    </w:pPr>
    <w:rPr>
      <w:rFonts w:ascii="宋体" w:eastAsia="宋体" w:hAnsi="Times New Roman" w:cs="Times New Roman"/>
      <w:sz w:val="21"/>
      <w:lang w:val="en-US" w:eastAsia="zh-CN" w:bidi="ar-SA"/>
    </w:rPr>
  </w:style>
  <w:style w:type="paragraph" w:customStyle="1" w:styleId="a23">
    <w:name w:val="封面标准文稿类别"/>
    <w:qFormat/>
    <w:pPr>
      <w:spacing w:before="440" w:line="400" w:lineRule="exact"/>
      <w:jc w:val="center"/>
    </w:pPr>
    <w:rPr>
      <w:rFonts w:ascii="宋体" w:eastAsia="宋体" w:hAnsi="Times New Roman" w:cs="Times New Roman"/>
      <w:sz w:val="24"/>
      <w:lang w:val="en-US" w:eastAsia="zh-CN" w:bidi="ar-SA"/>
    </w:rPr>
  </w:style>
  <w:style w:type="paragraph" w:customStyle="1" w:styleId="a24">
    <w:name w:val="封面标准英文名称"/>
    <w:qFormat/>
    <w:pPr>
      <w:widowControl w:val="0"/>
      <w:spacing w:before="370" w:line="400" w:lineRule="exact"/>
      <w:jc w:val="center"/>
    </w:pPr>
    <w:rPr>
      <w:rFonts w:ascii="Times New Roman" w:eastAsia="宋体" w:hAnsi="Times New Roman" w:cs="Times New Roman"/>
      <w:sz w:val="28"/>
      <w:lang w:val="en-US" w:eastAsia="zh-CN" w:bidi="ar-SA"/>
    </w:rPr>
  </w:style>
  <w:style w:type="paragraph" w:customStyle="1" w:styleId="a25">
    <w:name w:val="封面一致性程度标识"/>
    <w:qFormat/>
    <w:pPr>
      <w:spacing w:before="440" w:line="400" w:lineRule="exact"/>
      <w:jc w:val="center"/>
    </w:pPr>
    <w:rPr>
      <w:rFonts w:ascii="宋体" w:eastAsia="宋体" w:hAnsi="Times New Roman" w:cs="Times New Roman"/>
      <w:sz w:val="28"/>
      <w:lang w:val="en-US" w:eastAsia="zh-CN" w:bidi="ar-SA"/>
    </w:rPr>
  </w:style>
  <w:style w:type="paragraph" w:customStyle="1" w:styleId="a26">
    <w:name w:val="封面正文"/>
    <w:qFormat/>
    <w:pPr>
      <w:jc w:val="both"/>
    </w:pPr>
    <w:rPr>
      <w:rFonts w:ascii="Times New Roman" w:eastAsia="宋体" w:hAnsi="Times New Roman" w:cs="Times New Roman"/>
      <w:lang w:val="en-US" w:eastAsia="zh-CN" w:bidi="ar-SA"/>
    </w:rPr>
  </w:style>
  <w:style w:type="paragraph" w:customStyle="1" w:styleId="a27">
    <w:name w:val="附录标识"/>
    <w:basedOn w:val="a14"/>
    <w:link w:val="CharChar"/>
    <w:qFormat/>
    <w:pPr>
      <w:numPr>
        <w:ilvl w:val="0"/>
        <w:numId w:val="3"/>
      </w:numPr>
      <w:tabs>
        <w:tab w:val="left" w:pos="6405"/>
      </w:tabs>
      <w:spacing w:after="200"/>
    </w:pPr>
    <w:rPr>
      <w:sz w:val="21"/>
    </w:rPr>
  </w:style>
  <w:style w:type="paragraph" w:customStyle="1" w:styleId="a28">
    <w:name w:val="附录表标题"/>
    <w:next w:val="a16"/>
    <w:qFormat/>
    <w:pPr>
      <w:numPr>
        <w:ilvl w:val="0"/>
        <w:numId w:val="4"/>
      </w:numPr>
      <w:jc w:val="center"/>
      <w:textAlignment w:val="baseline"/>
    </w:pPr>
    <w:rPr>
      <w:rFonts w:ascii="黑体" w:eastAsia="黑体" w:hAnsi="Times New Roman" w:cs="Times New Roman"/>
      <w:kern w:val="21"/>
      <w:sz w:val="21"/>
      <w:lang w:val="en-US" w:eastAsia="zh-CN" w:bidi="ar-SA"/>
    </w:rPr>
  </w:style>
  <w:style w:type="paragraph" w:customStyle="1" w:styleId="a29">
    <w:name w:val="附录章标题"/>
    <w:next w:val="a16"/>
    <w:qFormat/>
    <w:pPr>
      <w:numPr>
        <w:ilvl w:val="1"/>
        <w:numId w:val="5"/>
      </w:numPr>
      <w:wordWrap w:val="0"/>
      <w:overflowPunct w:val="0"/>
      <w:autoSpaceDE w:val="0"/>
      <w:spacing w:beforeLines="50" w:afterLines="50"/>
      <w:jc w:val="both"/>
      <w:textAlignment w:val="baseline"/>
      <w:outlineLvl w:val="1"/>
    </w:pPr>
    <w:rPr>
      <w:rFonts w:ascii="黑体" w:eastAsia="黑体" w:hAnsi="Times New Roman" w:cs="Times New Roman"/>
      <w:kern w:val="21"/>
      <w:sz w:val="21"/>
      <w:lang w:val="en-US" w:eastAsia="zh-CN" w:bidi="ar-SA"/>
    </w:rPr>
  </w:style>
  <w:style w:type="paragraph" w:customStyle="1" w:styleId="a30">
    <w:name w:val="附录一级条标题"/>
    <w:basedOn w:val="a29"/>
    <w:next w:val="a16"/>
    <w:qFormat/>
    <w:pPr>
      <w:numPr>
        <w:numId w:val="6"/>
      </w:numPr>
      <w:autoSpaceDN w:val="0"/>
      <w:spacing w:beforeLines="0" w:afterLines="0"/>
      <w:outlineLvl w:val="2"/>
    </w:pPr>
  </w:style>
  <w:style w:type="paragraph" w:customStyle="1" w:styleId="a31">
    <w:name w:val="附录二级条标题"/>
    <w:basedOn w:val="a30"/>
    <w:next w:val="a16"/>
    <w:qFormat/>
    <w:pPr>
      <w:numPr>
        <w:ilvl w:val="2"/>
      </w:numPr>
      <w:outlineLvl w:val="3"/>
    </w:pPr>
  </w:style>
  <w:style w:type="paragraph" w:customStyle="1" w:styleId="a32">
    <w:name w:val="附录三级条标题"/>
    <w:basedOn w:val="a31"/>
    <w:next w:val="a16"/>
    <w:qFormat/>
    <w:pPr>
      <w:numPr>
        <w:ilvl w:val="3"/>
      </w:numPr>
      <w:outlineLvl w:val="4"/>
    </w:pPr>
  </w:style>
  <w:style w:type="paragraph" w:customStyle="1" w:styleId="a33">
    <w:name w:val="附录四级条标题"/>
    <w:basedOn w:val="a32"/>
    <w:next w:val="a16"/>
    <w:qFormat/>
    <w:pPr>
      <w:numPr>
        <w:ilvl w:val="4"/>
      </w:numPr>
      <w:outlineLvl w:val="5"/>
    </w:pPr>
  </w:style>
  <w:style w:type="paragraph" w:customStyle="1" w:styleId="a34">
    <w:name w:val="附录图标题"/>
    <w:next w:val="a16"/>
    <w:qFormat/>
    <w:pPr>
      <w:numPr>
        <w:ilvl w:val="0"/>
        <w:numId w:val="7"/>
      </w:numPr>
      <w:jc w:val="center"/>
    </w:pPr>
    <w:rPr>
      <w:rFonts w:ascii="黑体" w:eastAsia="黑体" w:hAnsi="Times New Roman" w:cs="Times New Roman"/>
      <w:sz w:val="21"/>
      <w:lang w:val="en-US" w:eastAsia="zh-CN" w:bidi="ar-SA"/>
    </w:rPr>
  </w:style>
  <w:style w:type="paragraph" w:customStyle="1" w:styleId="a35">
    <w:name w:val="附录五级条标题"/>
    <w:basedOn w:val="a33"/>
    <w:next w:val="a16"/>
    <w:qFormat/>
    <w:pPr>
      <w:numPr>
        <w:ilvl w:val="6"/>
        <w:numId w:val="8"/>
      </w:numPr>
      <w:outlineLvl w:val="6"/>
    </w:pPr>
  </w:style>
  <w:style w:type="character" w:customStyle="1" w:styleId="a36">
    <w:name w:val="个人答复风格"/>
    <w:qFormat/>
    <w:rPr>
      <w:rFonts w:ascii="Arial" w:eastAsia="宋体" w:hAnsi="Arial" w:cs="Arial"/>
      <w:color w:val="auto"/>
      <w:sz w:val="20"/>
    </w:rPr>
  </w:style>
  <w:style w:type="character" w:customStyle="1" w:styleId="a37">
    <w:name w:val="个人撰写风格"/>
    <w:qFormat/>
    <w:rPr>
      <w:rFonts w:ascii="Arial" w:eastAsia="宋体" w:hAnsi="Arial" w:cs="Arial"/>
      <w:color w:val="auto"/>
      <w:sz w:val="20"/>
    </w:rPr>
  </w:style>
  <w:style w:type="character" w:customStyle="1" w:styleId="Char10">
    <w:name w:val="脚注文本 Char"/>
    <w:basedOn w:val="DefaultParagraphFont"/>
    <w:link w:val="FootnoteText"/>
    <w:qFormat/>
    <w:rPr>
      <w:rFonts w:ascii="Times New Roman" w:eastAsia="宋体" w:hAnsi="Times New Roman" w:cs="Times New Roman"/>
      <w:sz w:val="18"/>
      <w:szCs w:val="18"/>
    </w:rPr>
  </w:style>
  <w:style w:type="paragraph" w:customStyle="1" w:styleId="a38">
    <w:name w:val="列项——（一级）"/>
    <w:qFormat/>
    <w:pPr>
      <w:widowControl w:val="0"/>
      <w:jc w:val="both"/>
    </w:pPr>
    <w:rPr>
      <w:rFonts w:ascii="宋体" w:eastAsia="宋体" w:hAnsi="Times New Roman" w:cs="Times New Roman"/>
      <w:sz w:val="21"/>
      <w:lang w:val="en-US" w:eastAsia="zh-CN" w:bidi="ar-SA"/>
    </w:rPr>
  </w:style>
  <w:style w:type="paragraph" w:customStyle="1" w:styleId="a39">
    <w:name w:val="列项●（二级）"/>
    <w:qFormat/>
    <w:pPr>
      <w:numPr>
        <w:ilvl w:val="0"/>
        <w:numId w:val="9"/>
      </w:numPr>
      <w:tabs>
        <w:tab w:val="left" w:pos="840"/>
      </w:tabs>
      <w:ind w:left="600" w:hanging="200" w:leftChars="400" w:hangingChars="200"/>
      <w:jc w:val="both"/>
    </w:pPr>
    <w:rPr>
      <w:rFonts w:ascii="宋体" w:eastAsia="宋体" w:hAnsi="Times New Roman" w:cs="Times New Roman"/>
      <w:sz w:val="21"/>
      <w:lang w:val="en-US" w:eastAsia="zh-CN" w:bidi="ar-SA"/>
    </w:rPr>
  </w:style>
  <w:style w:type="paragraph" w:customStyle="1" w:styleId="a40">
    <w:name w:val="目次、标准名称标题"/>
    <w:basedOn w:val="a14"/>
    <w:next w:val="a16"/>
    <w:qFormat/>
    <w:pPr>
      <w:spacing w:line="460" w:lineRule="exact"/>
    </w:pPr>
  </w:style>
  <w:style w:type="paragraph" w:customStyle="1" w:styleId="a41">
    <w:name w:val="目次、索引正文"/>
    <w:qFormat/>
    <w:pPr>
      <w:spacing w:line="320" w:lineRule="exact"/>
      <w:jc w:val="both"/>
    </w:pPr>
    <w:rPr>
      <w:rFonts w:ascii="宋体" w:eastAsia="宋体" w:hAnsi="Times New Roman" w:cs="Times New Roman"/>
      <w:sz w:val="21"/>
      <w:lang w:val="en-US" w:eastAsia="zh-CN" w:bidi="ar-SA"/>
    </w:rPr>
  </w:style>
  <w:style w:type="paragraph" w:customStyle="1" w:styleId="a42">
    <w:name w:val="其他标准称谓"/>
    <w:qFormat/>
    <w:pPr>
      <w:spacing w:line="0" w:lineRule="atLeast"/>
      <w:jc w:val="distribute"/>
    </w:pPr>
    <w:rPr>
      <w:rFonts w:ascii="黑体" w:eastAsia="黑体" w:hAnsi="宋体" w:cs="Times New Roman"/>
      <w:sz w:val="52"/>
      <w:lang w:val="en-US" w:eastAsia="zh-CN" w:bidi="ar-SA"/>
    </w:rPr>
  </w:style>
  <w:style w:type="paragraph" w:customStyle="1" w:styleId="a43">
    <w:name w:val="其他发布部门"/>
    <w:basedOn w:val="a18"/>
    <w:qFormat/>
    <w:pPr>
      <w:spacing w:line="0" w:lineRule="atLeast"/>
    </w:pPr>
    <w:rPr>
      <w:rFonts w:ascii="黑体" w:eastAsia="黑体"/>
      <w:b w:val="0"/>
    </w:rPr>
  </w:style>
  <w:style w:type="paragraph" w:customStyle="1" w:styleId="a44">
    <w:name w:val="实施日期"/>
    <w:basedOn w:val="Normal"/>
    <w:qFormat/>
    <w:pPr>
      <w:jc w:val="right"/>
    </w:pPr>
    <w:rPr>
      <w:rFonts w:ascii="黑体" w:eastAsia="黑体" w:hAnsi="黑体"/>
      <w:sz w:val="28"/>
    </w:rPr>
  </w:style>
  <w:style w:type="paragraph" w:customStyle="1" w:styleId="a45">
    <w:name w:val="示例"/>
    <w:next w:val="a16"/>
    <w:qFormat/>
    <w:pPr>
      <w:numPr>
        <w:ilvl w:val="0"/>
        <w:numId w:val="10"/>
      </w:numPr>
      <w:tabs>
        <w:tab w:val="left" w:pos="816"/>
      </w:tabs>
      <w:ind w:firstLine="419" w:firstLineChars="233"/>
      <w:jc w:val="both"/>
    </w:pPr>
    <w:rPr>
      <w:rFonts w:ascii="宋体" w:eastAsia="宋体" w:hAnsi="Times New Roman" w:cs="Times New Roman"/>
      <w:sz w:val="18"/>
      <w:lang w:val="en-US" w:eastAsia="zh-CN" w:bidi="ar-SA"/>
    </w:rPr>
  </w:style>
  <w:style w:type="paragraph" w:customStyle="1" w:styleId="a46">
    <w:name w:val="数字编号列项（二级）"/>
    <w:qFormat/>
    <w:pPr>
      <w:ind w:left="1260" w:hanging="420" w:leftChars="400" w:hangingChars="200"/>
      <w:jc w:val="both"/>
    </w:pPr>
    <w:rPr>
      <w:rFonts w:ascii="宋体" w:eastAsia="宋体" w:hAnsi="Times New Roman" w:cs="Times New Roman"/>
      <w:sz w:val="21"/>
      <w:lang w:val="en-US" w:eastAsia="zh-CN" w:bidi="ar-SA"/>
    </w:rPr>
  </w:style>
  <w:style w:type="paragraph" w:customStyle="1" w:styleId="a47">
    <w:name w:val="条文脚注"/>
    <w:basedOn w:val="FootnoteText"/>
    <w:qFormat/>
    <w:pPr>
      <w:ind w:left="780" w:hanging="360" w:leftChars="200" w:hangingChars="200"/>
      <w:jc w:val="both"/>
    </w:pPr>
    <w:rPr>
      <w:rFonts w:ascii="宋体"/>
    </w:rPr>
  </w:style>
  <w:style w:type="paragraph" w:customStyle="1" w:styleId="a48">
    <w:name w:val="图表脚注"/>
    <w:next w:val="a16"/>
    <w:qFormat/>
    <w:pPr>
      <w:jc w:val="both"/>
    </w:pPr>
    <w:rPr>
      <w:rFonts w:ascii="宋体" w:eastAsia="宋体" w:hAnsi="Times New Roman" w:cs="Times New Roman"/>
      <w:sz w:val="18"/>
      <w:lang w:val="en-US" w:eastAsia="zh-CN" w:bidi="ar-SA"/>
    </w:rPr>
  </w:style>
  <w:style w:type="paragraph" w:customStyle="1" w:styleId="a49">
    <w:name w:val="文献分类号"/>
    <w:qFormat/>
    <w:pPr>
      <w:framePr w:hSpace="180" w:vSpace="180" w:wrap="around" w:vAnchor="margin" w:hAnchor="margin" w:y="1" w:anchorLock="1"/>
      <w:widowControl w:val="0"/>
      <w:textAlignment w:val="center"/>
    </w:pPr>
    <w:rPr>
      <w:rFonts w:ascii="Times New Roman" w:eastAsia="黑体" w:hAnsi="Times New Roman" w:cs="Times New Roman"/>
      <w:sz w:val="21"/>
      <w:lang w:val="en-US" w:eastAsia="zh-CN" w:bidi="ar-SA"/>
    </w:rPr>
  </w:style>
  <w:style w:type="character" w:customStyle="1" w:styleId="Char11">
    <w:name w:val="一级条标题 Char"/>
    <w:link w:val="a0"/>
    <w:qFormat/>
    <w:rPr>
      <w:rFonts w:ascii="宋体" w:eastAsia="宋体" w:hAnsi="宋体" w:cs="Times New Roman"/>
      <w:kern w:val="0"/>
      <w:sz w:val="24"/>
      <w:szCs w:val="20"/>
    </w:rPr>
  </w:style>
  <w:style w:type="paragraph" w:customStyle="1" w:styleId="a50">
    <w:name w:val="正文表标题"/>
    <w:next w:val="a16"/>
    <w:qFormat/>
    <w:pPr>
      <w:numPr>
        <w:ilvl w:val="0"/>
        <w:numId w:val="11"/>
      </w:numPr>
      <w:jc w:val="center"/>
    </w:pPr>
    <w:rPr>
      <w:rFonts w:ascii="黑体" w:eastAsia="黑体" w:hAnsi="Times New Roman" w:cs="Times New Roman"/>
      <w:sz w:val="21"/>
      <w:lang w:val="en-US" w:eastAsia="zh-CN" w:bidi="ar-SA"/>
    </w:rPr>
  </w:style>
  <w:style w:type="paragraph" w:customStyle="1" w:styleId="a51">
    <w:name w:val="正文图标题"/>
    <w:next w:val="a16"/>
    <w:qFormat/>
    <w:pPr>
      <w:numPr>
        <w:ilvl w:val="0"/>
        <w:numId w:val="12"/>
      </w:numPr>
      <w:jc w:val="center"/>
    </w:pPr>
    <w:rPr>
      <w:rFonts w:ascii="黑体" w:eastAsia="黑体" w:hAnsi="Times New Roman" w:cs="Times New Roman"/>
      <w:sz w:val="21"/>
      <w:lang w:val="en-US" w:eastAsia="zh-CN" w:bidi="ar-SA"/>
    </w:rPr>
  </w:style>
  <w:style w:type="paragraph" w:customStyle="1" w:styleId="a52">
    <w:name w:val="注："/>
    <w:next w:val="a16"/>
    <w:qFormat/>
    <w:pPr>
      <w:widowControl w:val="0"/>
      <w:numPr>
        <w:ilvl w:val="0"/>
        <w:numId w:val="13"/>
      </w:numPr>
      <w:autoSpaceDE w:val="0"/>
      <w:autoSpaceDN w:val="0"/>
      <w:jc w:val="both"/>
    </w:pPr>
    <w:rPr>
      <w:rFonts w:ascii="宋体" w:eastAsia="宋体" w:hAnsi="Times New Roman" w:cs="Times New Roman"/>
      <w:sz w:val="18"/>
      <w:lang w:val="en-US" w:eastAsia="zh-CN" w:bidi="ar-SA"/>
    </w:rPr>
  </w:style>
  <w:style w:type="paragraph" w:customStyle="1" w:styleId="a53">
    <w:name w:val="注×："/>
    <w:qFormat/>
    <w:pPr>
      <w:widowControl w:val="0"/>
      <w:numPr>
        <w:ilvl w:val="0"/>
        <w:numId w:val="14"/>
      </w:numPr>
      <w:tabs>
        <w:tab w:val="left" w:pos="630"/>
      </w:tabs>
      <w:autoSpaceDE w:val="0"/>
      <w:autoSpaceDN w:val="0"/>
      <w:jc w:val="both"/>
    </w:pPr>
    <w:rPr>
      <w:rFonts w:ascii="宋体" w:eastAsia="宋体" w:hAnsi="Times New Roman" w:cs="Times New Roman"/>
      <w:sz w:val="18"/>
      <w:lang w:val="en-US" w:eastAsia="zh-CN" w:bidi="ar-SA"/>
    </w:rPr>
  </w:style>
  <w:style w:type="paragraph" w:customStyle="1" w:styleId="a54">
    <w:name w:val="字母编号列项（一级）"/>
    <w:qFormat/>
    <w:pPr>
      <w:ind w:left="840" w:hanging="420" w:leftChars="200" w:hangingChars="200"/>
      <w:jc w:val="both"/>
    </w:pPr>
    <w:rPr>
      <w:rFonts w:ascii="宋体" w:eastAsia="宋体" w:hAnsi="Times New Roman" w:cs="Times New Roman"/>
      <w:sz w:val="21"/>
      <w:lang w:val="en-US" w:eastAsia="zh-CN" w:bidi="ar-SA"/>
    </w:rPr>
  </w:style>
  <w:style w:type="character" w:customStyle="1" w:styleId="Char12">
    <w:name w:val="日期 Char"/>
    <w:basedOn w:val="DefaultParagraphFont"/>
    <w:link w:val="Date"/>
    <w:qFormat/>
    <w:rPr>
      <w:rFonts w:ascii="Times New Roman" w:eastAsia="宋体" w:hAnsi="Times New Roman" w:cs="Times New Roman"/>
      <w:szCs w:val="24"/>
    </w:rPr>
  </w:style>
  <w:style w:type="paragraph" w:customStyle="1" w:styleId="a55">
    <w:name w:val="列项◆（三级）"/>
    <w:qFormat/>
    <w:pPr>
      <w:numPr>
        <w:ilvl w:val="0"/>
        <w:numId w:val="15"/>
      </w:numPr>
      <w:tabs>
        <w:tab w:val="left" w:pos="960"/>
      </w:tabs>
      <w:ind w:left="800" w:hanging="200" w:leftChars="600" w:hangingChars="200"/>
    </w:pPr>
    <w:rPr>
      <w:rFonts w:ascii="宋体" w:eastAsia="宋体" w:hAnsi="Times New Roman" w:cs="Times New Roman"/>
      <w:sz w:val="21"/>
      <w:lang w:val="en-US" w:eastAsia="zh-CN" w:bidi="ar-SA"/>
    </w:rPr>
  </w:style>
  <w:style w:type="paragraph" w:customStyle="1" w:styleId="a56">
    <w:name w:val="编号列项（三级）"/>
    <w:qFormat/>
    <w:pPr>
      <w:numPr>
        <w:ilvl w:val="0"/>
        <w:numId w:val="16"/>
      </w:numPr>
      <w:tabs>
        <w:tab w:val="clear" w:pos="1140"/>
      </w:tabs>
      <w:ind w:left="800" w:hanging="200" w:leftChars="600" w:hangingChars="200"/>
    </w:pPr>
    <w:rPr>
      <w:rFonts w:ascii="宋体" w:eastAsia="宋体" w:hAnsi="Times New Roman" w:cs="Times New Roman"/>
      <w:sz w:val="21"/>
      <w:lang w:val="en-US" w:eastAsia="zh-CN" w:bidi="ar-SA"/>
    </w:rPr>
  </w:style>
  <w:style w:type="character" w:customStyle="1" w:styleId="Char13">
    <w:name w:val="段 Char"/>
    <w:link w:val="a16"/>
    <w:qFormat/>
    <w:rPr>
      <w:rFonts w:ascii="宋体" w:eastAsia="宋体" w:hAnsi="Times New Roman" w:cs="Times New Roman"/>
      <w:kern w:val="0"/>
      <w:szCs w:val="20"/>
    </w:rPr>
  </w:style>
  <w:style w:type="paragraph" w:customStyle="1" w:styleId="Default">
    <w:name w:val="Default"/>
    <w:qFormat/>
    <w:pPr>
      <w:widowControl w:val="0"/>
      <w:autoSpaceDE w:val="0"/>
      <w:autoSpaceDN w:val="0"/>
      <w:adjustRightInd w:val="0"/>
    </w:pPr>
    <w:rPr>
      <w:rFonts w:ascii="黑体" w:eastAsia="黑体" w:hAnsi="Times New Roman" w:cs="黑体"/>
      <w:color w:val="000000"/>
      <w:sz w:val="24"/>
      <w:szCs w:val="24"/>
      <w:lang w:val="en-US" w:eastAsia="zh-CN" w:bidi="ar-SA"/>
    </w:rPr>
  </w:style>
  <w:style w:type="character" w:customStyle="1" w:styleId="Char14">
    <w:name w:val="前言、引言标题 Char"/>
    <w:link w:val="a14"/>
    <w:qFormat/>
    <w:rPr>
      <w:rFonts w:ascii="黑体" w:eastAsia="黑体" w:hAnsi="Times New Roman" w:cs="Times New Roman"/>
      <w:kern w:val="0"/>
      <w:sz w:val="32"/>
      <w:szCs w:val="20"/>
      <w:shd w:val="clear" w:color="FFFFFF" w:fill="FFFFFF"/>
    </w:rPr>
  </w:style>
  <w:style w:type="character" w:customStyle="1" w:styleId="CharChar">
    <w:name w:val="附录标识 Char Char"/>
    <w:link w:val="a27"/>
    <w:qFormat/>
    <w:rPr>
      <w:rFonts w:ascii="黑体" w:eastAsia="黑体" w:hAnsi="Times New Roman" w:cs="Times New Roman"/>
      <w:kern w:val="0"/>
      <w:szCs w:val="20"/>
      <w:shd w:val="clear" w:color="FFFFFF" w:fill="FFFFFF"/>
    </w:rPr>
  </w:style>
  <w:style w:type="character" w:customStyle="1" w:styleId="Char15">
    <w:name w:val="二级条标题 Char"/>
    <w:link w:val="a1"/>
    <w:qFormat/>
    <w:rPr>
      <w:rFonts w:ascii="宋体" w:eastAsia="宋体" w:hAnsi="宋体" w:cs="Times New Roman"/>
      <w:kern w:val="0"/>
      <w:sz w:val="24"/>
      <w:szCs w:val="20"/>
    </w:rPr>
  </w:style>
  <w:style w:type="character" w:customStyle="1" w:styleId="3Char0">
    <w:name w:val="正文文本缩进 3 Char"/>
    <w:basedOn w:val="DefaultParagraphFont"/>
    <w:link w:val="BodyTextIndent3"/>
    <w:qFormat/>
    <w:rPr>
      <w:rFonts w:ascii="Times New Roman" w:eastAsia="宋体" w:hAnsi="Times New Roman" w:cs="Times New Roman"/>
      <w:sz w:val="16"/>
      <w:szCs w:val="16"/>
    </w:rPr>
  </w:style>
  <w:style w:type="character" w:customStyle="1" w:styleId="a57">
    <w:name w:val="印刷版（目录）"/>
    <w:qFormat/>
    <w:rPr>
      <w:rFonts w:ascii="Times New Roman" w:eastAsia="宋体" w:hAnsi="Times New Roman"/>
      <w:sz w:val="30"/>
      <w:szCs w:val="30"/>
      <w:lang w:val="en-US" w:eastAsia="zh-CN"/>
    </w:rPr>
  </w:style>
  <w:style w:type="character" w:customStyle="1" w:styleId="Char16">
    <w:name w:val="正文首行缩进 Char"/>
    <w:basedOn w:val="Char7"/>
    <w:link w:val="BodyTextFirstIndent"/>
    <w:qFormat/>
    <w:rPr>
      <w:rFonts w:ascii="Calibri" w:eastAsia="宋体" w:hAnsi="Calibri" w:cs="Times New Roman"/>
      <w:lang w:eastAsia="en-US"/>
    </w:rPr>
  </w:style>
  <w:style w:type="paragraph" w:customStyle="1" w:styleId="h2">
    <w:name w:val="h二级条标题"/>
    <w:basedOn w:val="h3"/>
    <w:next w:val="a16"/>
    <w:qFormat/>
    <w:pPr>
      <w:tabs>
        <w:tab w:val="left" w:pos="360"/>
        <w:tab w:val="left" w:pos="525"/>
        <w:tab w:val="left" w:pos="720"/>
      </w:tabs>
      <w:outlineLvl w:val="3"/>
    </w:pPr>
  </w:style>
  <w:style w:type="paragraph" w:customStyle="1" w:styleId="h3">
    <w:name w:val="h一级条标题"/>
    <w:basedOn w:val="a"/>
    <w:next w:val="a16"/>
    <w:qFormat/>
    <w:pPr>
      <w:numPr>
        <w:numId w:val="0"/>
      </w:numPr>
      <w:tabs>
        <w:tab w:val="clear" w:pos="420"/>
        <w:tab w:val="left" w:pos="525"/>
        <w:tab w:val="left" w:pos="720"/>
      </w:tabs>
      <w:spacing w:before="0" w:after="0"/>
      <w:outlineLvl w:val="2"/>
    </w:pPr>
    <w:rPr>
      <w:rFonts w:ascii="Times New Roman" w:eastAsia="宋体"/>
    </w:rPr>
  </w:style>
  <w:style w:type="paragraph" w:customStyle="1" w:styleId="Char17">
    <w:name w:val="Char"/>
    <w:basedOn w:val="Normal"/>
    <w:qFormat/>
    <w:pPr>
      <w:spacing w:line="360" w:lineRule="auto"/>
    </w:pPr>
    <w:rPr>
      <w:rFonts w:ascii="Tahoma" w:hAnsi="Tahoma"/>
      <w:sz w:val="24"/>
      <w:szCs w:val="20"/>
    </w:rPr>
  </w:style>
  <w:style w:type="paragraph" w:customStyle="1" w:styleId="a58">
    <w:name w:val="表格文本 居右"/>
    <w:basedOn w:val="Normal"/>
    <w:uiPriority w:val="4"/>
    <w:unhideWhenUsed/>
    <w:qFormat/>
    <w:pPr>
      <w:wordWrap w:val="0"/>
      <w:jc w:val="right"/>
    </w:pPr>
    <w:rPr>
      <w:rFonts w:ascii="宋体" w:hAnsi="宋体"/>
      <w:szCs w:val="21"/>
    </w:rPr>
  </w:style>
  <w:style w:type="paragraph" w:customStyle="1" w:styleId="a59">
    <w:name w:val="表格文本 居中 倾斜 深红"/>
    <w:basedOn w:val="a58"/>
    <w:qFormat/>
    <w:pPr>
      <w:jc w:val="center"/>
    </w:pPr>
    <w:rPr>
      <w:rFonts w:cs="宋体"/>
      <w:i/>
      <w:iCs/>
      <w:color w:val="C00000"/>
      <w:szCs w:val="20"/>
    </w:rPr>
  </w:style>
  <w:style w:type="paragraph" w:customStyle="1" w:styleId="a60">
    <w:name w:val="结束线"/>
    <w:basedOn w:val="a48"/>
    <w:qFormat/>
    <w:pPr>
      <w:ind w:left="600" w:hanging="180" w:leftChars="200" w:hangingChars="100"/>
      <w:jc w:val="center"/>
    </w:pPr>
  </w:style>
  <w:style w:type="paragraph" w:customStyle="1" w:styleId="22">
    <w:name w:val="正文首行缩进2字符"/>
    <w:basedOn w:val="Normal"/>
    <w:link w:val="2Char2"/>
    <w:qFormat/>
    <w:pPr>
      <w:spacing w:beforeLines="50" w:afterLines="50" w:line="360" w:lineRule="auto"/>
      <w:ind w:firstLine="480" w:firstLineChars="200"/>
    </w:pPr>
    <w:rPr>
      <w:sz w:val="24"/>
      <w:szCs w:val="20"/>
    </w:rPr>
  </w:style>
  <w:style w:type="character" w:customStyle="1" w:styleId="2Char2">
    <w:name w:val="正文首行缩进2字符 Char"/>
    <w:link w:val="22"/>
    <w:qFormat/>
    <w:rPr>
      <w:rFonts w:ascii="Times New Roman" w:eastAsia="宋体" w:hAnsi="Times New Roman" w:cs="Times New Roman"/>
      <w:sz w:val="24"/>
      <w:szCs w:val="20"/>
    </w:rPr>
  </w:style>
  <w:style w:type="paragraph" w:customStyle="1" w:styleId="h4">
    <w:name w:val="h这是附录表标题"/>
    <w:basedOn w:val="Normal"/>
    <w:next w:val="a16"/>
    <w:qFormat/>
    <w:pPr>
      <w:widowControl/>
      <w:tabs>
        <w:tab w:val="left" w:pos="210"/>
      </w:tabs>
      <w:jc w:val="center"/>
      <w:textAlignment w:val="baseline"/>
    </w:pPr>
    <w:rPr>
      <w:rFonts w:ascii="宋体" w:eastAsia="黑体"/>
      <w:kern w:val="21"/>
      <w:szCs w:val="20"/>
    </w:rPr>
  </w:style>
  <w:style w:type="paragraph" w:customStyle="1" w:styleId="Char18">
    <w:name w:val="Char1"/>
    <w:basedOn w:val="Normal"/>
    <w:qFormat/>
    <w:pPr>
      <w:widowControl/>
      <w:spacing w:after="160" w:line="240" w:lineRule="exact"/>
      <w:jc w:val="left"/>
    </w:pPr>
    <w:rPr>
      <w:rFonts w:ascii="Verdana" w:eastAsia="仿宋_GB2312" w:hAnsi="Verdana"/>
      <w:kern w:val="0"/>
      <w:sz w:val="24"/>
      <w:szCs w:val="20"/>
      <w:lang w:eastAsia="en-US"/>
    </w:rPr>
  </w:style>
  <w:style w:type="character" w:customStyle="1" w:styleId="Char19">
    <w:name w:val="纯文本 Char"/>
    <w:basedOn w:val="DefaultParagraphFont"/>
    <w:link w:val="PlainText"/>
    <w:qFormat/>
    <w:rPr>
      <w:rFonts w:ascii="宋体" w:eastAsia="宋体" w:hAnsi="Courier New" w:cs="Times New Roman"/>
      <w:szCs w:val="20"/>
    </w:rPr>
  </w:style>
  <w:style w:type="character" w:customStyle="1" w:styleId="CharChar0">
    <w:name w:val="普通文字 Char Char"/>
    <w:qFormat/>
    <w:rPr>
      <w:rFonts w:ascii="宋体" w:eastAsia="宋体" w:hAnsi="Courier New" w:cs="Times New Roman"/>
      <w:szCs w:val="20"/>
    </w:rPr>
  </w:style>
  <w:style w:type="paragraph" w:customStyle="1" w:styleId="CM284">
    <w:name w:val="CM284"/>
    <w:basedOn w:val="Normal"/>
    <w:next w:val="Normal"/>
    <w:uiPriority w:val="99"/>
    <w:qFormat/>
    <w:pPr>
      <w:autoSpaceDE w:val="0"/>
      <w:autoSpaceDN w:val="0"/>
      <w:adjustRightInd w:val="0"/>
      <w:jc w:val="left"/>
    </w:pPr>
    <w:rPr>
      <w:rFonts w:ascii="FZHei-B01" w:eastAsia="FZHei-B01" w:hAnsi="Calibri" w:cs="FZHei-B01"/>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30</Pages>
  <Words>19294</Words>
  <Characters>20976</Characters>
  <Application>Microsoft Office Word</Application>
  <DocSecurity>8</DocSecurity>
  <Lines>157</Lines>
  <Paragraphs>44</Paragraphs>
  <ScaleCrop>false</ScaleCrop>
  <Company>微软中国</Company>
  <LinksUpToDate>false</LinksUpToDate>
  <CharactersWithSpaces>21022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袁睿</dc:creator>
  <cp:lastModifiedBy>陈凤华</cp:lastModifiedBy>
  <cp:revision>9</cp:revision>
  <dcterms:created xsi:type="dcterms:W3CDTF">2018-04-11T02:39:00Z</dcterms:created>
  <dcterms:modified xsi:type="dcterms:W3CDTF">2024-08-26T02:30:50Z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08EF20D8CC814D5A904F5954F1A48513</vt:lpwstr>
  </property>
  <property fmtid="{D5CDD505-2E9C-101B-9397-08002B2CF9AE}" pid="3" name="KSOProductBuildVer">
    <vt:lpwstr>2052-11.8.2.12085</vt:lpwstr>
  </property>
</Properties>
</file>