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bCs/>
          <w:kern w:val="0"/>
          <w:sz w:val="28"/>
          <w:szCs w:val="28"/>
          <w:lang w:val="en-US" w:eastAsia="zh-CN"/>
        </w:rPr>
      </w:pPr>
      <w:bookmarkStart w:id="1" w:name="_GoBack"/>
      <w:bookmarkEnd w:id="1"/>
      <w:r>
        <w:rPr>
          <w:rFonts w:hint="eastAsia" w:ascii="宋体" w:hAnsi="宋体" w:eastAsia="宋体" w:cs="宋体"/>
          <w:b/>
          <w:bCs/>
          <w:kern w:val="0"/>
          <w:sz w:val="28"/>
          <w:szCs w:val="28"/>
          <w:lang w:val="en-US" w:eastAsia="zh-CN"/>
        </w:rPr>
        <w:t>保密协议</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2580a14-236e-43ea-8700-b36c2ca7813f}"/>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23a5dad1-eea3-4939-9826-67bef43947d8}"/>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highlight w:val="none"/>
        </w:rPr>
      </w:pPr>
    </w:p>
    <w:p>
      <w:pPr>
        <w:keepNext w:val="0"/>
        <w:keepLines w:val="0"/>
        <w:pageBreakBefore w:val="0"/>
        <w:widowControl w:val="0"/>
        <w:kinsoku/>
        <w:wordWrap/>
        <w:overflowPunct/>
        <w:topLinePunct w:val="0"/>
        <w:bidi w:val="0"/>
        <w:adjustRightInd/>
        <w:snapToGrid/>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项目</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daed17fa-2fdf-4157-858f-32130e7cddf5}"/>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（以下简称“主合同”），现就主合同实施</w:t>
      </w:r>
      <w:r>
        <w:rPr>
          <w:rFonts w:hint="eastAsia" w:ascii="宋体" w:hAnsi="宋体" w:eastAsia="宋体" w:cs="宋体"/>
          <w:sz w:val="28"/>
          <w:szCs w:val="28"/>
          <w:highlight w:val="none"/>
        </w:rPr>
        <w:t>过程中涉及</w:t>
      </w:r>
      <w:r>
        <w:rPr>
          <w:rFonts w:hint="eastAsia" w:ascii="宋体" w:hAnsi="宋体" w:eastAsia="宋体" w:cs="宋体"/>
          <w:sz w:val="28"/>
          <w:szCs w:val="28"/>
          <w:highlight w:val="none"/>
          <w:lang w:val="en-US" w:eastAsia="zh-CN"/>
        </w:rPr>
        <w:t>的</w:t>
      </w:r>
      <w:r>
        <w:rPr>
          <w:rFonts w:hint="eastAsia" w:ascii="宋体" w:hAnsi="宋体" w:eastAsia="宋体" w:cs="宋体"/>
          <w:sz w:val="28"/>
          <w:szCs w:val="28"/>
          <w:highlight w:val="none"/>
        </w:rPr>
        <w:t>保密信息，</w:t>
      </w:r>
      <w:r>
        <w:rPr>
          <w:rFonts w:hint="eastAsia" w:ascii="宋体" w:hAnsi="宋体" w:eastAsia="宋体" w:cs="宋体"/>
          <w:sz w:val="28"/>
          <w:szCs w:val="28"/>
          <w:highlight w:val="none"/>
          <w:lang w:val="en-US" w:eastAsia="zh-CN"/>
        </w:rPr>
        <w:t>签署本保密协议</w:t>
      </w:r>
      <w:r>
        <w:rPr>
          <w:rFonts w:hint="eastAsia" w:ascii="宋体" w:hAnsi="宋体" w:eastAsia="宋体" w:cs="宋体"/>
          <w:sz w:val="28"/>
          <w:szCs w:val="28"/>
          <w:highlight w:val="none"/>
        </w:rPr>
        <w:t>。</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eastAsia="宋体" w:cs="宋体"/>
          <w:sz w:val="28"/>
          <w:szCs w:val="28"/>
          <w:highlight w:val="none"/>
        </w:rPr>
        <w:t>本协议中的“保密信息”</w:t>
      </w:r>
      <w:r>
        <w:rPr>
          <w:rFonts w:hint="eastAsia" w:ascii="宋体" w:hAnsi="宋体" w:eastAsia="宋体" w:cs="宋体"/>
          <w:sz w:val="28"/>
          <w:szCs w:val="28"/>
          <w:lang w:val="zh-CN"/>
        </w:rPr>
        <w:t>包括但不限于因履行</w:t>
      </w:r>
      <w:r>
        <w:rPr>
          <w:rFonts w:hint="eastAsia" w:ascii="宋体" w:hAnsi="宋体" w:eastAsia="宋体" w:cs="宋体"/>
          <w:sz w:val="28"/>
          <w:szCs w:val="28"/>
          <w:lang w:val="en-US" w:eastAsia="zh-CN"/>
        </w:rPr>
        <w:t>主</w:t>
      </w:r>
      <w:r>
        <w:rPr>
          <w:rFonts w:hint="eastAsia" w:ascii="宋体" w:hAnsi="宋体" w:eastAsia="宋体" w:cs="宋体"/>
          <w:sz w:val="28"/>
          <w:szCs w:val="28"/>
          <w:lang w:val="zh-CN"/>
        </w:rPr>
        <w:t>合同而知悉</w:t>
      </w:r>
      <w:r>
        <w:rPr>
          <w:rFonts w:hint="eastAsia" w:ascii="宋体" w:hAnsi="宋体" w:eastAsia="宋体" w:cs="宋体"/>
          <w:sz w:val="28"/>
          <w:szCs w:val="28"/>
          <w:lang w:val="en-US" w:eastAsia="zh-CN"/>
        </w:rPr>
        <w:t>的甲</w:t>
      </w:r>
      <w:r>
        <w:rPr>
          <w:rFonts w:hint="eastAsia" w:ascii="宋体" w:hAnsi="宋体" w:eastAsia="宋体" w:cs="宋体"/>
          <w:sz w:val="28"/>
          <w:szCs w:val="28"/>
          <w:lang w:val="zh-CN"/>
        </w:rPr>
        <w:t>方商业秘密、</w:t>
      </w:r>
      <w:r>
        <w:rPr>
          <w:rFonts w:hint="eastAsia" w:ascii="宋体" w:hAnsi="宋体" w:eastAsia="宋体" w:cs="宋体"/>
          <w:sz w:val="28"/>
          <w:szCs w:val="28"/>
          <w:lang w:val="en-US" w:eastAsia="zh-CN"/>
        </w:rPr>
        <w:t>工作秘密、敏感信息</w:t>
      </w:r>
      <w:r>
        <w:rPr>
          <w:rFonts w:hint="eastAsia" w:ascii="宋体" w:hAnsi="宋体" w:eastAsia="宋体" w:cs="宋体"/>
          <w:sz w:val="28"/>
          <w:szCs w:val="28"/>
          <w:lang w:val="zh-CN"/>
        </w:rPr>
        <w:t>及其他非公开的技术和经营信息</w:t>
      </w:r>
      <w:r>
        <w:rPr>
          <w:rFonts w:hint="eastAsia" w:ascii="宋体" w:hAnsi="宋体" w:eastAsia="宋体" w:cs="宋体"/>
          <w:sz w:val="28"/>
          <w:szCs w:val="28"/>
          <w:lang w:val="en-US" w:eastAsia="zh-CN"/>
        </w:rPr>
        <w:t>等</w:t>
      </w:r>
      <w:r>
        <w:rPr>
          <w:rFonts w:hint="eastAsia" w:ascii="宋体" w:hAnsi="宋体" w:eastAsia="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1.1 商业秘密是指甲方在科研、生产、经营、管理等活动中形成的，不为公众所知悉，具有商业价值并经甲方采取相应保密措施的技术信息、经营信息等商业信息。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1.2 工作秘密是指甲方在履行职能过程中产生或者获取的，不属于国家秘密，但泄露后会妨碍正常履行职能或者对国家安全、公共利益、甲方利益造成不利影响的甲方内部敏感事项。</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lang w:val="en-US" w:eastAsia="zh-CN"/>
        </w:rPr>
        <w:t>1.3 敏感信息是指甲方在生产经营和改革党建工作过程中产生的，未被确定为国家秘密、商业秘密或工作秘密，但只限定在甲方内部传递、使用，不宜对外公开的各类载体。包括但不限于：甲方公文及过程稿、领导讲话及指示批示、会议内容及决定事项、重要工作动态等。</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2</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保密人员</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2.1乙方的管理人员、一般员工以及其它受乙方委托、聘用等直接或间接接触保密信息的人员均应恪尽保密义务，不因人员的流动而免责。</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2.2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3</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保密义务</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3.2乙方所获知的保密信息须在本单位内部谨慎的使用，只能透露给本单位直接参与项目的人员，透露的内容只能是与其工作相关的信息。</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3.3乙方应当采取必要的措施防止复制、泄漏或遗失。乙方亦不得依据保密信息，就任何问题，向第三方做出任何建议。</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rPr>
        <w:t>5</w:t>
      </w:r>
      <w:r>
        <w:rPr>
          <w:rFonts w:hint="eastAsia" w:ascii="宋体" w:hAnsi="宋体" w:eastAsia="宋体" w:cs="宋体"/>
          <w:sz w:val="28"/>
          <w:szCs w:val="28"/>
          <w:highlight w:val="none"/>
        </w:rPr>
        <w:t>在现场实施过程中，乙方必须在甲方指定地点办公，并遵守甲方关于第三方人员管理规定要求。未经许可不得将保密信息带离办公场所。</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outlineLvl w:val="0"/>
        <w:rPr>
          <w:rFonts w:hint="eastAsia" w:ascii="宋体" w:hAnsi="宋体" w:eastAsia="宋体" w:cs="宋体"/>
          <w:b w:val="0"/>
          <w:bCs w:val="0"/>
          <w:i w:val="0"/>
          <w:iCs w:val="0"/>
          <w:color w:val="0000FF"/>
          <w:sz w:val="28"/>
          <w:szCs w:val="28"/>
          <w:highlight w:val="none"/>
          <w:lang w:val="en-US" w:eastAsia="zh-CN"/>
        </w:rPr>
      </w:pPr>
      <w:r>
        <w:rPr>
          <w:rFonts w:hint="eastAsia" w:ascii="宋体" w:hAnsi="宋体" w:eastAsia="宋体" w:cs="宋体"/>
          <w:b w:val="0"/>
          <w:bCs w:val="0"/>
          <w:i w:val="0"/>
          <w:iCs w:val="0"/>
          <w:color w:val="auto"/>
          <w:sz w:val="28"/>
          <w:szCs w:val="28"/>
          <w:highlight w:val="none"/>
          <w:lang w:val="en-US" w:eastAsia="zh-CN"/>
        </w:rPr>
        <w:t>3.6乙方应当在项目完成后5日内将甲方提供的所有文件资料全部退回甲方，或者经甲方同意后全部销毁。</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4.安全责任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4.1乙方及参加项目人员应严格遵守《中华人民共和国网络安全法》、《中华人民共和国密码法》、《中华人民共和国数据安全法》、《中华人民共和国个人信息保护法》、《关键信息基础设施安全保护条例》、网络安全等级保护、《电力监控系统安全防护规定》、《电力监控系统安全防护总体方案等安全防护方案和评估规范》以及南方电网公司网络安全和关基保护相关法律法规和规章的有关规定，承担项目职责范围内的法律、行政、民事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4.2 乙方应对所开发或提供的系统及相关软硬件负安全责任，系统代码中不含有恶意代码、后门等，对所开发或提供系统及软硬件的中高危安全漏洞，乙方有责任及时修复。</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4.3 乙方发现其交付产品、服务存在安全缺陷、漏洞等风险时，应当立即采取补救措施，并及时告知甲方。</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4.4 乙方应提供所交付产品或服务的安全功能、应急响应措施和培训计划。</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4.5 乙方所交付产品、服务具有收集用户信息功能的，应当明示并取得同意；涉及用户个人信息的，还应当遵守《中华人民共和国网络安全法》、《中华人民共和国个人信息保护法》等相关法律法规的规定。</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4.6 乙方提供的网络产品和服务，应符合国家网络安全审查有关规定，国家要求开展网络安全审查时，应当按要求予以配合。</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4.7 乙方参加项目人员应确保安全可靠，防止网络安全事件和失泄密事件发生。</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4.8 乙方及参加项目人员应确保不进行传播计算机病毒、网络入侵、以及通过任何途径外泄涉及南方电网公司敏感信息文档、重要信息数据等行为。</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4.9 乙方及参加项目人员不对网络设备、服务器、计算机终端等信息设备进行任何形式的非授权扫描、探测</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不得采用任何方式故意绕开、逃避或破坏</w:t>
      </w:r>
      <w:r>
        <w:rPr>
          <w:rFonts w:hint="eastAsia" w:ascii="宋体" w:hAnsi="宋体" w:eastAsia="宋体" w:cs="宋体"/>
          <w:sz w:val="28"/>
          <w:szCs w:val="28"/>
          <w:highlight w:val="none"/>
          <w:lang w:val="en-US" w:eastAsia="zh-CN"/>
        </w:rPr>
        <w:t>甲方</w:t>
      </w:r>
      <w:r>
        <w:rPr>
          <w:rFonts w:hint="eastAsia" w:ascii="宋体" w:hAnsi="宋体" w:eastAsia="宋体" w:cs="宋体"/>
          <w:sz w:val="28"/>
          <w:szCs w:val="28"/>
          <w:highlight w:val="none"/>
        </w:rPr>
        <w:t>网络安全管控措施</w:t>
      </w:r>
      <w:r>
        <w:rPr>
          <w:rFonts w:hint="eastAsia" w:ascii="宋体" w:hAnsi="宋体" w:eastAsia="宋体" w:cs="宋体"/>
          <w:sz w:val="28"/>
          <w:szCs w:val="28"/>
          <w:highlight w:val="none"/>
          <w:lang w:eastAsia="zh-CN"/>
        </w:rPr>
        <w:t>。</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val="en-US" w:eastAsia="zh-CN"/>
        </w:rPr>
        <w:t>10</w:t>
      </w:r>
      <w:r>
        <w:rPr>
          <w:rFonts w:hint="eastAsia" w:ascii="宋体" w:hAnsi="宋体" w:eastAsia="宋体" w:cs="宋体"/>
          <w:sz w:val="28"/>
          <w:szCs w:val="28"/>
          <w:highlight w:val="none"/>
        </w:rPr>
        <w:t xml:space="preserve"> 未经国家网信部门、国务院公安部门批准或者保护工作部门、运营者授权，乙方及参加项目人员不得对关键信息基础设施实施漏洞探测、渗透性测试等可能影响或者危害关键信息基础设施安全的活动。</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eastAsia="zh-CN"/>
        </w:rPr>
        <w:t>1</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 xml:space="preserve"> 乙方及参加项目人员不得实施非法侵入、干扰、破坏关键信息基础设施的活动，不得危害关键信息基础设施安全。</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4.12 </w:t>
      </w:r>
      <w:r>
        <w:rPr>
          <w:rFonts w:hint="eastAsia" w:ascii="宋体" w:hAnsi="宋体" w:eastAsia="宋体" w:cs="宋体"/>
          <w:color w:val="auto"/>
          <w:sz w:val="28"/>
          <w:szCs w:val="28"/>
          <w:highlight w:val="none"/>
          <w:lang w:val="en-US" w:eastAsia="zh-CN"/>
        </w:rPr>
        <w:t>乙方应严格按照甲方要求，配合开展系统加固、漏洞整改、应急处置、技术支撑等工作。</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4.13乙方不得将与南方电网公司相关的开发、测试、演示系统（带有南方电网公司相关信息、标志或者南方电网公司内部数据）向互联网开放；系统出厂前禁止使用南方电网公司真实数据，确须使用的，必须获得南方电网公司相关单位或部门同意并对数据进行脱敏。</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5</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违约责任</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5.1</w:t>
      </w:r>
      <w:r>
        <w:rPr>
          <w:rFonts w:hint="eastAsia" w:ascii="宋体" w:hAnsi="宋体" w:eastAsia="宋体" w:cs="宋体"/>
          <w:sz w:val="28"/>
          <w:szCs w:val="28"/>
          <w:highlight w:val="none"/>
        </w:rPr>
        <w:t>乙方必须遵照本</w:t>
      </w:r>
      <w:r>
        <w:rPr>
          <w:rFonts w:hint="eastAsia" w:ascii="宋体" w:hAnsi="宋体" w:eastAsia="宋体" w:cs="宋体"/>
          <w:sz w:val="28"/>
          <w:szCs w:val="28"/>
          <w:highlight w:val="none"/>
          <w:lang w:val="en-US" w:eastAsia="zh-CN"/>
        </w:rPr>
        <w:t>保密</w:t>
      </w:r>
      <w:r>
        <w:rPr>
          <w:rFonts w:hint="eastAsia" w:ascii="宋体" w:hAnsi="宋体" w:eastAsia="宋体" w:cs="宋体"/>
          <w:sz w:val="28"/>
          <w:szCs w:val="28"/>
          <w:highlight w:val="none"/>
        </w:rPr>
        <w:t>协议，承担</w:t>
      </w:r>
      <w:r>
        <w:rPr>
          <w:rFonts w:hint="eastAsia" w:ascii="宋体" w:hAnsi="宋体" w:eastAsia="宋体" w:cs="宋体"/>
          <w:sz w:val="28"/>
          <w:szCs w:val="28"/>
          <w:highlight w:val="none"/>
          <w:lang w:val="en-US" w:eastAsia="zh-CN"/>
        </w:rPr>
        <w:t>安全</w:t>
      </w:r>
      <w:r>
        <w:rPr>
          <w:rFonts w:hint="eastAsia" w:ascii="宋体" w:hAnsi="宋体" w:eastAsia="宋体" w:cs="宋体"/>
          <w:sz w:val="28"/>
          <w:szCs w:val="28"/>
          <w:highlight w:val="none"/>
        </w:rPr>
        <w:t>保密责任；如果乙方违反上述条款，应向甲方支付</w:t>
      </w:r>
      <w:permStart w:id="4" w:edGrp="everyone"/>
      <w:r>
        <w:rPr>
          <w:rFonts w:hint="eastAsia" w:ascii="宋体" w:hAnsi="宋体" w:eastAsia="宋体" w:cs="宋体"/>
          <w:sz w:val="28"/>
          <w:szCs w:val="28"/>
          <w:highlight w:val="none"/>
          <w:u w:val="single"/>
          <w:lang w:val="en-US" w:eastAsia="zh-CN"/>
        </w:rPr>
        <w:t>主合同</w:t>
      </w:r>
      <w:r>
        <w:rPr>
          <w:rFonts w:hint="eastAsia" w:ascii="宋体" w:hAnsi="宋体" w:eastAsia="宋体" w:cs="宋体"/>
          <w:sz w:val="28"/>
          <w:szCs w:val="28"/>
          <w:highlight w:val="none"/>
          <w:u w:val="single"/>
        </w:rPr>
        <w:t>合同价款</w:t>
      </w:r>
      <w:r>
        <w:rPr>
          <w:rFonts w:hint="eastAsia" w:ascii="宋体" w:hAnsi="宋体" w:eastAsia="宋体" w:cs="宋体"/>
          <w:sz w:val="28"/>
          <w:szCs w:val="28"/>
          <w:highlight w:val="none"/>
          <w:u w:val="single"/>
          <w:lang w:val="en-US"/>
        </w:rPr>
        <w:t>10</w:t>
      </w:r>
      <w:r>
        <w:rPr>
          <w:rFonts w:hint="eastAsia" w:ascii="宋体" w:hAnsi="宋体" w:eastAsia="宋体" w:cs="宋体"/>
          <w:sz w:val="28"/>
          <w:szCs w:val="28"/>
          <w:highlight w:val="none"/>
          <w:u w:val="single"/>
        </w:rPr>
        <w:t>%</w:t>
      </w:r>
      <w:permEnd w:id="4"/>
      <w:r>
        <w:rPr>
          <w:rFonts w:hint="eastAsia" w:ascii="宋体" w:hAnsi="宋体" w:eastAsia="宋体" w:cs="宋体"/>
          <w:sz w:val="28"/>
          <w:szCs w:val="28"/>
          <w:highlight w:val="none"/>
        </w:rPr>
        <w:t>的违约金，并负责赔偿因违反上述条款而为甲方带来的直接和间接损失。</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b/>
          <w:bCs/>
          <w:sz w:val="28"/>
          <w:szCs w:val="28"/>
          <w:highlight w:val="none"/>
          <w:lang w:val="en-US" w:eastAsia="zh-CN"/>
        </w:rPr>
      </w:pPr>
      <w:r>
        <w:rPr>
          <w:rFonts w:hint="eastAsia" w:ascii="宋体" w:hAnsi="宋体" w:eastAsia="宋体" w:cs="宋体"/>
          <w:color w:val="auto"/>
          <w:sz w:val="28"/>
          <w:szCs w:val="28"/>
          <w:lang w:val="en-US" w:eastAsia="zh-CN"/>
        </w:rPr>
        <w:t>5.2乙方发生网络安全、失泄密等事件，致使甲方提供给乙方的方案、规划、图纸、数据等资料泄露，乙方应及时告知甲方</w:t>
      </w:r>
      <w:r>
        <w:rPr>
          <w:rFonts w:hint="eastAsia" w:ascii="宋体" w:hAnsi="宋体" w:eastAsia="宋体" w:cs="宋体"/>
          <w:color w:val="auto"/>
          <w:sz w:val="28"/>
          <w:szCs w:val="28"/>
          <w:highlight w:val="none"/>
          <w:lang w:val="en-US" w:eastAsia="zh-CN"/>
        </w:rPr>
        <w:t>，按要求采取应急处置措施，保留有关原始记录，积极配合开展事件调查，接受落实整改措施。若发生</w:t>
      </w:r>
      <w:r>
        <w:rPr>
          <w:rFonts w:hint="eastAsia" w:ascii="宋体" w:hAnsi="宋体" w:eastAsia="宋体" w:cs="宋体"/>
          <w:color w:val="auto"/>
          <w:sz w:val="28"/>
          <w:szCs w:val="28"/>
          <w:highlight w:val="none"/>
        </w:rPr>
        <w:t>较大、重大或特别重大网络安全事件</w:t>
      </w:r>
      <w:r>
        <w:rPr>
          <w:rFonts w:hint="eastAsia" w:ascii="宋体" w:hAnsi="宋体" w:eastAsia="宋体" w:cs="宋体"/>
          <w:color w:val="auto"/>
          <w:sz w:val="28"/>
          <w:szCs w:val="28"/>
          <w:highlight w:val="none"/>
          <w:lang w:val="en-US" w:eastAsia="zh-CN"/>
        </w:rPr>
        <w:t>应在1小时内及时告知，其他网络安全事件应在24小时内告知；乙方还应</w:t>
      </w:r>
      <w:r>
        <w:rPr>
          <w:rFonts w:hint="eastAsia" w:ascii="宋体" w:hAnsi="宋体" w:eastAsia="宋体" w:cs="宋体"/>
          <w:color w:val="auto"/>
          <w:sz w:val="28"/>
          <w:szCs w:val="28"/>
          <w:lang w:val="en-US" w:eastAsia="zh-CN"/>
        </w:rPr>
        <w:t>如实向甲方提供泄露资料清单；如乙方无法提供泄露资料清单的，将由甲方指派相关人员到乙方泄密地点进行采样和评估鉴定，乙方应积极配合甲方做好后续止损工作。因乙方泄密</w:t>
      </w:r>
      <w:r>
        <w:rPr>
          <w:rFonts w:hint="eastAsia" w:ascii="宋体" w:hAnsi="宋体" w:eastAsia="宋体" w:cs="宋体"/>
          <w:color w:val="auto"/>
          <w:sz w:val="28"/>
          <w:szCs w:val="28"/>
          <w:highlight w:val="none"/>
          <w:lang w:val="en-US" w:eastAsia="zh-CN"/>
        </w:rPr>
        <w:t>给甲方造成损失的，乙方应全额赔偿。</w:t>
      </w:r>
    </w:p>
    <w:p>
      <w:pPr>
        <w:keepNext w:val="0"/>
        <w:keepLines w:val="0"/>
        <w:pageBreakBefore w:val="0"/>
        <w:widowControl w:val="0"/>
        <w:shd w:val="clear"/>
        <w:kinsoku/>
        <w:wordWrap/>
        <w:overflowPunct/>
        <w:topLinePunct w:val="0"/>
        <w:autoSpaceDE/>
        <w:autoSpaceDN/>
        <w:bidi w:val="0"/>
        <w:adjustRightInd/>
        <w:snapToGrid/>
        <w:spacing w:line="360" w:lineRule="auto"/>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6</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有效期限</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本协议长期有效，不因主合同终止而终止。</w:t>
      </w:r>
    </w:p>
    <w:p>
      <w:pPr>
        <w:keepNext w:val="0"/>
        <w:keepLines w:val="0"/>
        <w:pageBreakBefore w:val="0"/>
        <w:widowControl w:val="0"/>
        <w:tabs>
          <w:tab w:val="left" w:pos="360"/>
        </w:tabs>
        <w:kinsoku/>
        <w:wordWrap/>
        <w:overflowPunct/>
        <w:topLinePunct w:val="0"/>
        <w:bidi w:val="0"/>
        <w:adjustRightInd/>
        <w:snapToGrid/>
        <w:spacing w:line="360" w:lineRule="auto"/>
        <w:ind w:firstLine="562" w:firstLineChars="200"/>
        <w:textAlignment w:val="baseline"/>
        <w:rPr>
          <w:rFonts w:hint="eastAsia" w:ascii="宋体" w:hAnsi="宋体" w:eastAsia="宋体" w:cs="宋体"/>
          <w:b/>
          <w:bCs/>
          <w:sz w:val="28"/>
          <w:szCs w:val="28"/>
          <w:lang w:val="zh-CN"/>
        </w:rPr>
      </w:pPr>
      <w:r>
        <w:rPr>
          <w:rFonts w:hint="eastAsia" w:ascii="宋体" w:hAnsi="宋体" w:eastAsia="宋体" w:cs="宋体"/>
          <w:b/>
          <w:bCs/>
          <w:sz w:val="28"/>
          <w:szCs w:val="28"/>
          <w:highlight w:val="none"/>
          <w:lang w:val="en-US" w:eastAsia="zh-CN"/>
        </w:rPr>
        <w:t>7.</w:t>
      </w:r>
      <w:r>
        <w:rPr>
          <w:rFonts w:hint="eastAsia" w:ascii="宋体" w:hAnsi="宋体" w:eastAsia="宋体" w:cs="宋体"/>
          <w:b/>
          <w:bCs/>
          <w:sz w:val="28"/>
          <w:szCs w:val="28"/>
          <w:lang w:val="zh-CN"/>
        </w:rPr>
        <w:t>争议解决</w:t>
      </w:r>
      <w:bookmarkStart w:id="0" w:name="_Toc436212972"/>
    </w:p>
    <w:p>
      <w:pPr>
        <w:keepNext w:val="0"/>
        <w:keepLines w:val="0"/>
        <w:pageBreakBefore w:val="0"/>
        <w:widowControl w:val="0"/>
        <w:kinsoku/>
        <w:wordWrap/>
        <w:overflowPunct/>
        <w:topLinePunct w:val="0"/>
        <w:bidi w:val="0"/>
        <w:adjustRightInd/>
        <w:snapToGrid/>
        <w:spacing w:line="360" w:lineRule="auto"/>
        <w:ind w:firstLine="560" w:firstLineChars="200"/>
        <w:textAlignment w:val="baseline"/>
        <w:outlineLvl w:val="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甲乙双方因保密相关事宜引发争议的，应友好协商解决；协商不成的，按主合同约定的争议解决方式执行。</w:t>
      </w:r>
    </w:p>
    <w:bookmarkEnd w:id="0"/>
    <w:p>
      <w:pPr>
        <w:keepNext w:val="0"/>
        <w:keepLines w:val="0"/>
        <w:pageBreakBefore w:val="0"/>
        <w:widowControl w:val="0"/>
        <w:kinsoku/>
        <w:wordWrap/>
        <w:overflowPunct/>
        <w:topLinePunct w:val="0"/>
        <w:bidi w:val="0"/>
        <w:adjustRightInd/>
        <w:snapToGrid/>
        <w:spacing w:line="360" w:lineRule="auto"/>
        <w:ind w:left="0" w:leftChars="0" w:right="0" w:rightChars="0" w:firstLine="562" w:firstLineChars="200"/>
        <w:textAlignment w:val="baseline"/>
        <w:rPr>
          <w:rFonts w:hint="eastAsia" w:ascii="宋体" w:hAnsi="宋体" w:eastAsia="宋体" w:cs="宋体"/>
          <w:b/>
          <w:bCs/>
          <w:kern w:val="0"/>
          <w:sz w:val="28"/>
          <w:szCs w:val="28"/>
          <w:lang w:val="zh-CN"/>
        </w:rPr>
      </w:pPr>
      <w:r>
        <w:rPr>
          <w:rFonts w:hint="eastAsia" w:ascii="宋体" w:hAnsi="宋体" w:eastAsia="宋体" w:cs="宋体"/>
          <w:b/>
          <w:bCs/>
          <w:kern w:val="0"/>
          <w:sz w:val="28"/>
          <w:szCs w:val="28"/>
          <w:lang w:val="en-US" w:eastAsia="zh-CN"/>
        </w:rPr>
        <w:t>8.协议</w:t>
      </w:r>
      <w:r>
        <w:rPr>
          <w:rFonts w:hint="eastAsia" w:ascii="宋体" w:hAnsi="宋体" w:eastAsia="宋体" w:cs="宋体"/>
          <w:b/>
          <w:bCs/>
          <w:kern w:val="0"/>
          <w:sz w:val="28"/>
          <w:szCs w:val="28"/>
          <w:lang w:val="zh-CN"/>
        </w:rPr>
        <w:t>签署与生效</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baseline"/>
        <w:rPr>
          <w:rFonts w:hint="eastAsia" w:ascii="宋体" w:hAnsi="宋体" w:eastAsia="宋体" w:cs="宋体"/>
          <w:kern w:val="0"/>
          <w:sz w:val="28"/>
          <w:szCs w:val="28"/>
          <w:lang w:val="zh-CN"/>
        </w:rPr>
      </w:pPr>
      <w:r>
        <w:rPr>
          <w:rFonts w:hint="eastAsia" w:ascii="宋体" w:hAnsi="宋体" w:eastAsia="宋体" w:cs="宋体"/>
          <w:kern w:val="0"/>
          <w:sz w:val="28"/>
          <w:szCs w:val="28"/>
          <w:u w:val="none"/>
          <w:shd w:val="clear" w:color="auto" w:fill="auto"/>
          <w:lang w:val="en-US" w:eastAsia="zh-CN"/>
        </w:rPr>
        <w:t>本协议</w:t>
      </w:r>
      <w:r>
        <w:rPr>
          <w:rFonts w:hint="eastAsia" w:ascii="宋体" w:hAnsi="宋体" w:eastAsia="宋体" w:cs="宋体"/>
          <w:kern w:val="0"/>
          <w:sz w:val="28"/>
          <w:szCs w:val="28"/>
          <w:lang w:val="en-US" w:eastAsia="zh-CN"/>
        </w:rPr>
        <w:t>为主合同附件，与主合同同时签署，同时生效，具有同等法律效力。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kern w:val="0"/>
          <w:sz w:val="28"/>
          <w:szCs w:val="28"/>
        </w:rPr>
        <w:t>（以下无正文）</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p>
    <w:p>
      <w:pPr>
        <w:pStyle w:val="2"/>
        <w:keepNext w:val="0"/>
        <w:keepLines w:val="0"/>
        <w:pageBreakBefore w:val="0"/>
        <w:widowControl w:val="0"/>
        <w:kinsoku/>
        <w:wordWrap/>
        <w:overflowPunct/>
        <w:topLinePunct w:val="0"/>
        <w:bidi w:val="0"/>
        <w:adjustRightInd/>
        <w:snapToGrid/>
        <w:spacing w:after="0" w:line="360" w:lineRule="auto"/>
        <w:rPr>
          <w:rFonts w:hint="eastAsia" w:ascii="宋体" w:hAnsi="宋体" w:eastAsia="宋体" w:cs="宋体"/>
          <w:sz w:val="28"/>
          <w:szCs w:val="28"/>
        </w:rPr>
      </w:pP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c46660ad-a7f1-4e2c-84a6-a60939bb58a2}"/>
          </w:placeholder>
          <w:text/>
        </w:sdtPr>
        <w:sdtEndPr>
          <w:rPr>
            <w:rFonts w:hint="eastAsia" w:ascii="宋体" w:hAnsi="宋体" w:eastAsia="宋体" w:cs="宋体"/>
            <w:color w:val="auto"/>
            <w:kern w:val="0"/>
            <w:sz w:val="28"/>
            <w:szCs w:val="28"/>
            <w:u w:val="single"/>
            <w:lang w:val="en-US" w:eastAsia="zh-CN" w:bidi="ar-SA"/>
          </w:rPr>
        </w:sdtEndPr>
        <w:sdtContent>
          <w:permStart w:id="5" w:edGrp="everyone"/>
          <w:r>
            <w:rPr>
              <w:rFonts w:hint="eastAsia" w:ascii="宋体" w:hAnsi="宋体" w:eastAsia="宋体" w:cs="宋体"/>
              <w:color w:val="auto"/>
              <w:sz w:val="28"/>
              <w:szCs w:val="28"/>
              <w:u w:val="single"/>
              <w:lang w:val="en-US" w:eastAsia="zh-CN"/>
            </w:rPr>
            <w:t xml:space="preserve">      </w:t>
          </w:r>
          <w:permEnd w:id="5"/>
        </w:sdtContent>
      </w:sdt>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pStyle w:val="2"/>
        <w:keepNext w:val="0"/>
        <w:keepLines w:val="0"/>
        <w:pageBreakBefore w:val="0"/>
        <w:widowControl w:val="0"/>
        <w:kinsoku/>
        <w:wordWrap/>
        <w:overflowPunct/>
        <w:topLinePunct w:val="0"/>
        <w:bidi w:val="0"/>
        <w:adjustRightInd/>
        <w:snapToGrid/>
        <w:spacing w:after="0" w:line="360" w:lineRule="auto"/>
        <w:rPr>
          <w:rFonts w:hint="eastAsia" w:ascii="宋体" w:hAnsi="宋体" w:eastAsia="宋体" w:cs="宋体"/>
          <w:sz w:val="28"/>
          <w:szCs w:val="28"/>
        </w:rPr>
      </w:pPr>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乙方（盖章）：</w:t>
      </w:r>
      <w:sdt>
        <w:sdtPr>
          <w:rPr>
            <w:rFonts w:hint="eastAsia" w:ascii="宋体" w:hAnsi="宋体" w:eastAsia="宋体" w:cs="宋体"/>
            <w:color w:val="auto"/>
            <w:kern w:val="0"/>
            <w:sz w:val="28"/>
            <w:szCs w:val="28"/>
            <w:lang w:val="en-US" w:eastAsia="zh-CN" w:bidi="ar-SA"/>
          </w:rPr>
          <w:alias w:val="乙方当事人全称"/>
          <w:tag w:val="乙方当事人全称"/>
          <w:id w:val="147453643"/>
          <w:placeholder>
            <w:docPart w:val="{d34ec7d6-4d33-44ef-9149-d14665ab98c9}"/>
          </w:placeholder>
          <w:text/>
        </w:sdtPr>
        <w:sdtEndPr>
          <w:rPr>
            <w:rFonts w:hint="eastAsia" w:ascii="宋体" w:hAnsi="宋体" w:eastAsia="宋体" w:cs="宋体"/>
            <w:color w:val="auto"/>
            <w:kern w:val="0"/>
            <w:sz w:val="28"/>
            <w:szCs w:val="28"/>
            <w:u w:val="single"/>
            <w:lang w:val="en-US" w:eastAsia="zh-CN" w:bidi="ar-SA"/>
          </w:rPr>
        </w:sdtEndPr>
        <w:sdtContent>
          <w:permStart w:id="6" w:edGrp="everyone"/>
          <w:r>
            <w:rPr>
              <w:rFonts w:hint="eastAsia" w:ascii="宋体" w:hAnsi="宋体" w:eastAsia="宋体" w:cs="宋体"/>
              <w:color w:val="auto"/>
              <w:sz w:val="28"/>
              <w:szCs w:val="28"/>
              <w:u w:val="single"/>
              <w:lang w:val="en-US" w:eastAsia="zh-CN"/>
            </w:rPr>
            <w:t xml:space="preserve">      </w:t>
          </w:r>
          <w:permEnd w:id="6"/>
        </w:sdtContent>
      </w:sdt>
    </w:p>
    <w:p>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p>
    <w:p>
      <w:pPr>
        <w:pStyle w:val="2"/>
        <w:keepNext w:val="0"/>
        <w:keepLines w:val="0"/>
        <w:pageBreakBefore w:val="0"/>
        <w:widowControl w:val="0"/>
        <w:kinsoku/>
        <w:wordWrap/>
        <w:overflowPunct/>
        <w:topLinePunct w:val="0"/>
        <w:bidi w:val="0"/>
        <w:adjustRightInd/>
        <w:snapToGrid/>
        <w:spacing w:after="0" w:line="360" w:lineRule="auto"/>
        <w:ind w:firstLine="560" w:firstLineChars="200"/>
        <w:rPr>
          <w:rFonts w:hint="eastAsia" w:ascii="宋体" w:hAnsi="宋体" w:eastAsia="宋体" w:cs="宋体"/>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val="0"/>
        <w:kinsoku/>
        <w:wordWrap/>
        <w:overflowPunct/>
        <w:topLinePunct w:val="0"/>
        <w:bidi w:val="0"/>
        <w:adjustRightInd/>
        <w:snapToGrid/>
        <w:spacing w:line="360" w:lineRule="auto"/>
        <w:rPr>
          <w:rFonts w:hint="eastAsia" w:ascii="宋体" w:hAnsi="宋体" w:eastAsia="宋体" w:cs="宋体"/>
          <w:sz w:val="28"/>
          <w:szCs w:val="28"/>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BC7023"/>
    <w:rsid w:val="027728FA"/>
    <w:rsid w:val="037628FB"/>
    <w:rsid w:val="04336742"/>
    <w:rsid w:val="078E1605"/>
    <w:rsid w:val="0A413DED"/>
    <w:rsid w:val="1D831782"/>
    <w:rsid w:val="21A531FE"/>
    <w:rsid w:val="24CF1435"/>
    <w:rsid w:val="263E2C3E"/>
    <w:rsid w:val="3206226B"/>
    <w:rsid w:val="34E80176"/>
    <w:rsid w:val="3A7F4175"/>
    <w:rsid w:val="3C6B73FE"/>
    <w:rsid w:val="3E202A51"/>
    <w:rsid w:val="3E383FC7"/>
    <w:rsid w:val="3EBC7023"/>
    <w:rsid w:val="41AD6CE6"/>
    <w:rsid w:val="41B624F8"/>
    <w:rsid w:val="42323A1A"/>
    <w:rsid w:val="438933C7"/>
    <w:rsid w:val="43E967DB"/>
    <w:rsid w:val="4E1212F7"/>
    <w:rsid w:val="561F2CB5"/>
    <w:rsid w:val="5B3D50EB"/>
    <w:rsid w:val="5BE377B5"/>
    <w:rsid w:val="679A1FA4"/>
    <w:rsid w:val="67BA4008"/>
    <w:rsid w:val="6EC41FEA"/>
    <w:rsid w:val="6F2D59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character" w:default="1" w:styleId="8">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2580a14-236e-43ea-8700-b36c2ca7813f}"/>
        <w:style w:val=""/>
        <w:category>
          <w:name w:val="常规"/>
          <w:gallery w:val="placeholder"/>
        </w:category>
        <w:types>
          <w:type w:val="bbPlcHdr"/>
        </w:types>
        <w:behaviors>
          <w:behavior w:val="content"/>
        </w:behaviors>
        <w:description w:val=""/>
        <w:guid w:val="{62580a14-236e-43ea-8700-b36c2ca7813f}"/>
      </w:docPartPr>
      <w:docPartBody>
        <w:p>
          <w:r>
            <w:rPr>
              <w:color w:val="808080"/>
            </w:rPr>
            <w:t>单击此处输入文字。</w:t>
          </w:r>
        </w:p>
      </w:docPartBody>
    </w:docPart>
    <w:docPart>
      <w:docPartPr>
        <w:name w:val="{23a5dad1-eea3-4939-9826-67bef43947d8}"/>
        <w:style w:val=""/>
        <w:category>
          <w:name w:val="常规"/>
          <w:gallery w:val="placeholder"/>
        </w:category>
        <w:types>
          <w:type w:val="bbPlcHdr"/>
        </w:types>
        <w:behaviors>
          <w:behavior w:val="content"/>
        </w:behaviors>
        <w:description w:val=""/>
        <w:guid w:val="{23a5dad1-eea3-4939-9826-67bef43947d8}"/>
      </w:docPartPr>
      <w:docPartBody>
        <w:p>
          <w:r>
            <w:rPr>
              <w:color w:val="808080"/>
            </w:rPr>
            <w:t>单击此处输入文字。</w:t>
          </w:r>
        </w:p>
      </w:docPartBody>
    </w:docPart>
    <w:docPart>
      <w:docPartPr>
        <w:name w:val="{c46660ad-a7f1-4e2c-84a6-a60939bb58a2}"/>
        <w:style w:val=""/>
        <w:category>
          <w:name w:val="常规"/>
          <w:gallery w:val="placeholder"/>
        </w:category>
        <w:types>
          <w:type w:val="bbPlcHdr"/>
        </w:types>
        <w:behaviors>
          <w:behavior w:val="content"/>
        </w:behaviors>
        <w:description w:val=""/>
        <w:guid w:val="{c46660ad-a7f1-4e2c-84a6-a60939bb58a2}"/>
      </w:docPartPr>
      <w:docPartBody>
        <w:p>
          <w:r>
            <w:rPr>
              <w:color w:val="808080"/>
            </w:rPr>
            <w:t>单击此处输入文字。</w:t>
          </w:r>
        </w:p>
      </w:docPartBody>
    </w:docPart>
    <w:docPart>
      <w:docPartPr>
        <w:name w:val="{d34ec7d6-4d33-44ef-9149-d14665ab98c9}"/>
        <w:style w:val=""/>
        <w:category>
          <w:name w:val="常规"/>
          <w:gallery w:val="placeholder"/>
        </w:category>
        <w:types>
          <w:type w:val="bbPlcHdr"/>
        </w:types>
        <w:behaviors>
          <w:behavior w:val="content"/>
        </w:behaviors>
        <w:description w:val=""/>
        <w:guid w:val="{d34ec7d6-4d33-44ef-9149-d14665ab98c9}"/>
      </w:docPartPr>
      <w:docPartBody>
        <w:p>
          <w:r>
            <w:rPr>
              <w:color w:val="808080"/>
            </w:rPr>
            <w:t>单击此处输入文字。</w:t>
          </w:r>
        </w:p>
      </w:docPartBody>
    </w:docPart>
    <w:docPart>
      <w:docPartPr>
        <w:name w:val="{daed17fa-2fdf-4157-858f-32130e7cddf5}"/>
        <w:style w:val=""/>
        <w:category>
          <w:name w:val="常规"/>
          <w:gallery w:val="placeholder"/>
        </w:category>
        <w:types>
          <w:type w:val="bbPlcHdr"/>
        </w:types>
        <w:behaviors>
          <w:behavior w:val="content"/>
        </w:behaviors>
        <w:description w:val=""/>
        <w:guid w:val="{daed17fa-2fdf-4157-858f-32130e7cddf5}"/>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2018-06-13T06:46:00Z</dcterms:created>
  <dc:creator>罗岚</dc:creator>
  <cp:lastModifiedBy>569065423581456DBC1A109087AA239C</cp:lastModifiedBy>
  <dcterms:modified xsi:type="dcterms:W3CDTF">2024-02-05T08:08:22Z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y fmtid="{D5CDD505-2E9C-101B-9397-08002B2CF9AE}" pid="3" name="ICV">
    <vt:lpwstr>40172C1958C14043A3D624BA3CF3106D</vt:lpwstr>
  </property>
</Properties>
</file>