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00" w:lineRule="atLeast"/>
        <w:jc w:val="center"/>
        <w:rPr>
          <w:rFonts w:ascii="Times New Roman"/>
          <w:sz w:val="52"/>
          <w:szCs w:val="24"/>
        </w:rPr>
      </w:pPr>
      <w:r>
        <w:rPr>
          <w:rFonts w:ascii="Times New Roman"/>
          <w:sz w:val="52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-2030730</wp:posOffset>
            </wp:positionH>
            <wp:positionV relativeFrom="paragraph">
              <wp:posOffset>-914400</wp:posOffset>
            </wp:positionV>
            <wp:extent cx="8915400" cy="2736850"/>
            <wp:effectExtent l="19050" t="0" r="0" b="0"/>
            <wp:wrapNone/>
            <wp:docPr id="2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模板-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915400" cy="273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widowControl/>
        <w:spacing w:beforeLines="50" w:afterLines="50" w:line="560" w:lineRule="atLeast"/>
        <w:jc w:val="center"/>
        <w:rPr>
          <w:rFonts w:ascii="Times New Roman" w:eastAsia="楷体_GB2312"/>
          <w:b/>
          <w:color w:val="000000"/>
          <w:position w:val="16"/>
          <w:sz w:val="52"/>
          <w:szCs w:val="72"/>
        </w:rPr>
      </w:pP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</w:rPr>
        <w:t>南方电网</w:t>
      </w: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  <w:t>储能股份</w:t>
      </w: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</w:rPr>
        <w:t>有限公司</w:t>
      </w:r>
    </w:p>
    <w:p>
      <w:pPr>
        <w:widowControl/>
        <w:spacing w:beforeLines="50" w:afterLines="50" w:line="560" w:lineRule="atLeast"/>
        <w:jc w:val="center"/>
        <w:rPr>
          <w:rFonts w:hint="eastAsia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</w:pP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  <w:t>海蓄公司琼中电厂2026年三台机组大修优化抽检无损检测紧急项目</w:t>
      </w:r>
    </w:p>
    <w:p>
      <w:pPr>
        <w:widowControl/>
        <w:spacing w:beforeLines="50" w:afterLines="50" w:line="560" w:lineRule="atLeast"/>
        <w:jc w:val="center"/>
        <w:rPr>
          <w:rFonts w:hint="eastAsia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</w:pPr>
    </w:p>
    <w:p>
      <w:pPr>
        <w:widowControl/>
        <w:spacing w:beforeLines="50" w:afterLines="50" w:line="560" w:lineRule="atLeast"/>
        <w:jc w:val="center"/>
        <w:rPr>
          <w:rFonts w:hint="default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</w:pPr>
      <w:r>
        <w:rPr>
          <w:rFonts w:hint="eastAsia" w:ascii="Times New Roman" w:eastAsia="楷体_GB2312"/>
          <w:b/>
          <w:color w:val="000000"/>
          <w:position w:val="16"/>
          <w:sz w:val="52"/>
          <w:szCs w:val="72"/>
          <w:lang w:val="en-US" w:eastAsia="zh-CN"/>
        </w:rPr>
        <w:t>技术规范书</w:t>
      </w:r>
    </w:p>
    <w:p>
      <w:pPr>
        <w:snapToGrid w:val="0"/>
        <w:jc w:val="center"/>
        <w:rPr>
          <w:rFonts w:hint="eastAsia" w:ascii="Times New Roman" w:eastAsia="楷体_GB2312"/>
          <w:b/>
          <w:color w:val="000000"/>
          <w:position w:val="16"/>
          <w:sz w:val="36"/>
          <w:szCs w:val="44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snapToGrid w:val="0"/>
        <w:jc w:val="center"/>
        <w:rPr>
          <w:rFonts w:ascii="Times New Roman" w:eastAsia="黑体"/>
          <w:sz w:val="48"/>
          <w:szCs w:val="48"/>
        </w:rPr>
      </w:pPr>
    </w:p>
    <w:p>
      <w:pPr>
        <w:widowControl/>
        <w:jc w:val="center"/>
        <w:rPr>
          <w:b/>
          <w:bCs/>
          <w:sz w:val="36"/>
        </w:rPr>
      </w:pPr>
      <w:r>
        <w:rPr>
          <w:rFonts w:hint="eastAsia" w:eastAsia="楷体_GB2312"/>
          <w:b/>
          <w:color w:val="000000"/>
          <w:position w:val="16"/>
          <w:sz w:val="36"/>
        </w:rPr>
        <w:t>二〇二</w:t>
      </w:r>
      <w:r>
        <w:rPr>
          <w:rFonts w:hint="eastAsia" w:eastAsia="楷体_GB2312"/>
          <w:b/>
          <w:color w:val="000000"/>
          <w:position w:val="16"/>
          <w:sz w:val="36"/>
          <w:lang w:val="en-US" w:eastAsia="zh-CN"/>
        </w:rPr>
        <w:t>六</w:t>
      </w:r>
      <w:r>
        <w:rPr>
          <w:rFonts w:hint="eastAsia" w:eastAsia="楷体_GB2312"/>
          <w:b/>
          <w:color w:val="000000"/>
          <w:position w:val="16"/>
          <w:sz w:val="36"/>
        </w:rPr>
        <w:t>年</w:t>
      </w:r>
      <w:r>
        <w:rPr>
          <w:rFonts w:hint="eastAsia" w:eastAsia="楷体_GB2312"/>
          <w:b/>
          <w:color w:val="000000"/>
          <w:position w:val="16"/>
          <w:sz w:val="36"/>
          <w:lang w:val="en-US" w:eastAsia="zh-CN"/>
        </w:rPr>
        <w:t>三</w:t>
      </w:r>
      <w:r>
        <w:rPr>
          <w:rFonts w:hint="eastAsia" w:eastAsia="楷体_GB2312"/>
          <w:b/>
          <w:color w:val="000000"/>
          <w:position w:val="16"/>
          <w:sz w:val="36"/>
        </w:rPr>
        <w:t>月</w:t>
      </w: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spacing w:line="420" w:lineRule="exact"/>
        <w:jc w:val="center"/>
        <w:rPr>
          <w:b/>
          <w:bCs/>
          <w:sz w:val="36"/>
        </w:rPr>
      </w:pPr>
    </w:p>
    <w:p>
      <w:pPr>
        <w:jc w:val="left"/>
        <w:rPr>
          <w:b/>
          <w:sz w:val="32"/>
          <w:szCs w:val="32"/>
        </w:rPr>
      </w:pPr>
    </w:p>
    <w:p>
      <w:pPr>
        <w:widowControl/>
        <w:jc w:val="left"/>
        <w:rPr>
          <w:rFonts w:ascii="宋体" w:hAnsi="宋体" w:eastAsia="宋体" w:cs="Times New Roman"/>
          <w:b/>
          <w:sz w:val="28"/>
          <w:szCs w:val="24"/>
        </w:rPr>
      </w:pPr>
      <w:r>
        <w:rPr>
          <w:rFonts w:hint="eastAsia" w:ascii="宋体" w:hAnsi="宋体" w:eastAsia="宋体" w:cs="Times New Roman"/>
          <w:b/>
          <w:sz w:val="28"/>
          <w:szCs w:val="24"/>
        </w:rPr>
        <w:t>一、</w:t>
      </w: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服务目标</w:t>
      </w:r>
      <w:r>
        <w:rPr>
          <w:rFonts w:hint="eastAsia" w:ascii="宋体" w:hAnsi="宋体" w:eastAsia="宋体" w:cs="Times New Roman"/>
          <w:b/>
          <w:sz w:val="28"/>
          <w:szCs w:val="24"/>
        </w:rPr>
        <w:t xml:space="preserve">  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bookmarkStart w:id="0" w:name="OLE_LINK2"/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根据海蓄公司琼中电厂大修优化评估停机抽检工作要求，需对三台机组分瓣定子机座组合缝、转子联轴螺栓、转子中心体及焊缝、上、下机架承载焊缝、转轮、顶盖分瓣组合螺栓、顶盖与座环把合螺栓、座环与底环连接螺栓、底环分瓣组合螺栓等进行无损检测</w:t>
      </w:r>
      <w:bookmarkEnd w:id="0"/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，拟委托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有资质的单位提供无损检测服务</w:t>
      </w:r>
      <w:r>
        <w:rPr>
          <w:rFonts w:hint="eastAsia" w:ascii="宋体" w:hAnsi="宋体"/>
          <w:color w:val="000000"/>
          <w:sz w:val="24"/>
          <w:szCs w:val="24"/>
          <w:lang w:val="en-US" w:eastAsia="zh-CN"/>
        </w:rPr>
        <w:t>。</w:t>
      </w:r>
    </w:p>
    <w:p>
      <w:pPr>
        <w:jc w:val="left"/>
        <w:rPr>
          <w:rFonts w:hint="default" w:ascii="宋体" w:hAnsi="宋体" w:eastAsia="宋体" w:cs="Times New Roman"/>
          <w:b/>
          <w:sz w:val="28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二、项目内容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本项目主要包含</w:t>
      </w:r>
      <w:r>
        <w:rPr>
          <w:rFonts w:hint="eastAsia"/>
          <w:color w:val="auto"/>
          <w:sz w:val="24"/>
          <w:szCs w:val="24"/>
          <w:highlight w:val="none"/>
          <w:lang w:val="en-US" w:eastAsia="zh-CN"/>
        </w:rPr>
        <w:t>海蓄公司琼中电厂三台机组分瓣定子机座组合缝、转子联轴螺栓、转子中心体及焊缝、上、下机架承载焊缝、转轮、顶盖分瓣组合螺栓、顶盖与座环把合螺栓、座环与底环连接螺栓、底环分瓣组合螺栓的无损检验内容，项目清单详见《报价清单-海蓄公司琼中电厂2026年三台机组大修优化抽检无损检测紧急项目》，清单中数量为3项，代表琼中电厂三台机组，每台机组检修，乙方至少需到达现场一次，完成一台次机组相应部件检测。</w:t>
      </w:r>
    </w:p>
    <w:p>
      <w:pPr>
        <w:spacing w:line="360" w:lineRule="auto"/>
        <w:rPr>
          <w:rFonts w:hint="default" w:ascii="宋体" w:hAnsi="宋体" w:eastAsia="宋体" w:cs="宋体"/>
          <w:b w:val="0"/>
          <w:bCs w:val="0"/>
          <w:color w:val="auto"/>
          <w:sz w:val="21"/>
          <w:szCs w:val="21"/>
          <w:lang w:val="en-US" w:eastAsia="zh-CN"/>
        </w:rPr>
      </w:pP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三</w:t>
      </w:r>
      <w:r>
        <w:rPr>
          <w:rFonts w:hint="eastAsia" w:ascii="宋体" w:hAnsi="宋体" w:eastAsia="宋体" w:cs="Times New Roman"/>
          <w:b/>
          <w:sz w:val="28"/>
          <w:szCs w:val="24"/>
        </w:rPr>
        <w:t>、无损检测标准方法要求</w:t>
      </w:r>
    </w:p>
    <w:p>
      <w:pPr>
        <w:spacing w:line="360" w:lineRule="auto"/>
        <w:rPr>
          <w:rFonts w:asciiTheme="minorEastAsia" w:hAnsiTheme="minorEastAsia"/>
          <w:b/>
          <w:sz w:val="24"/>
          <w:szCs w:val="24"/>
          <w:highlight w:val="none"/>
        </w:rPr>
      </w:pPr>
      <w:r>
        <w:rPr>
          <w:rFonts w:hint="eastAsia" w:asciiTheme="minorEastAsia" w:hAnsiTheme="minorEastAsia"/>
          <w:b/>
          <w:sz w:val="24"/>
          <w:szCs w:val="24"/>
          <w:highlight w:val="none"/>
          <w:lang w:val="en-US" w:eastAsia="zh-CN"/>
        </w:rPr>
        <w:t>1、</w:t>
      </w:r>
      <w:r>
        <w:rPr>
          <w:rFonts w:hint="eastAsia" w:asciiTheme="minorEastAsia" w:hAnsiTheme="minorEastAsia"/>
          <w:b/>
          <w:sz w:val="24"/>
          <w:szCs w:val="24"/>
          <w:highlight w:val="none"/>
        </w:rPr>
        <w:t>依从标准</w:t>
      </w:r>
    </w:p>
    <w:p>
      <w:pPr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《防止电力生产事故的二十五项重点要求（2023版）</w:t>
      </w:r>
    </w:p>
    <w:p>
      <w:pPr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《水电厂金属技术监督规程》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(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DL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/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 xml:space="preserve">T 1318-2014 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)</w:t>
      </w:r>
    </w:p>
    <w:p>
      <w:pPr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《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NB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/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T 47013.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-2015 承压设备无损检测 第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1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部分：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通用要求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》</w:t>
      </w:r>
    </w:p>
    <w:p>
      <w:pPr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《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NB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/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T 47013.3-2015 承压设备无损检测 第3部分：超声检测》</w:t>
      </w:r>
    </w:p>
    <w:p>
      <w:pPr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  <w:highlight w:val="none"/>
          <w:lang w:eastAsia="zh-CN"/>
        </w:rPr>
      </w:pP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《NB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/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T 47013.4-2015 承压设备无损检测 第4部分：磁粉检测》</w:t>
      </w:r>
    </w:p>
    <w:p>
      <w:pPr>
        <w:spacing w:line="360" w:lineRule="auto"/>
        <w:ind w:firstLine="480" w:firstLineChars="200"/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《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NB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/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T 47013.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5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-2015 承压设备无损检测 第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5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部分：</w:t>
      </w:r>
      <w:r>
        <w:rPr>
          <w:rFonts w:hint="eastAsia" w:asciiTheme="minorEastAsia" w:hAnsiTheme="minorEastAsia"/>
          <w:sz w:val="24"/>
          <w:szCs w:val="24"/>
          <w:highlight w:val="none"/>
          <w:lang w:val="en-US" w:eastAsia="zh-CN"/>
        </w:rPr>
        <w:t>渗透</w:t>
      </w:r>
      <w:r>
        <w:rPr>
          <w:rFonts w:hint="eastAsia" w:asciiTheme="minorEastAsia" w:hAnsiTheme="minorEastAsia"/>
          <w:sz w:val="24"/>
          <w:szCs w:val="24"/>
          <w:highlight w:val="none"/>
          <w:lang w:eastAsia="zh-CN"/>
        </w:rPr>
        <w:t>检测》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Theme="minorEastAsia" w:hAnsi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/>
          <w:b/>
          <w:bCs/>
          <w:sz w:val="24"/>
          <w:szCs w:val="24"/>
          <w:highlight w:val="none"/>
          <w:lang w:val="en-US" w:eastAsia="zh-CN"/>
        </w:rPr>
        <w:t>2、关键部件无损检测方法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无损检测方法按《NB/T 47013.1-2015 承压设备无损检测 第1部分：通用要求》、《NB/T 47013.3-2015 承压设备无损检测 第3部分：超声检测》、《NB/T 47013.4-2015 承压设备无损检测 第4部分：磁粉检测》、《NB/T 47013.5-2015 承压设备无损检测 第5部分：渗透检测》的规定执行。</w:t>
      </w:r>
    </w:p>
    <w:p>
      <w:pPr>
        <w:widowControl/>
        <w:numPr>
          <w:ilvl w:val="0"/>
          <w:numId w:val="1"/>
        </w:numPr>
        <w:spacing w:line="360" w:lineRule="auto"/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技术人员及设备要求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乙方</w:t>
      </w: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应具有国家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或省级</w:t>
      </w: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监督管理部门颁发的检验检测机构资质认定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证书，</w:t>
      </w: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证书授权的检测产品或类别、检测项目或参数、检测范围应满足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无损检测</w:t>
      </w: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要求。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乙方派至甲方现场的</w:t>
      </w: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检测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技术人</w:t>
      </w: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员应持有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中国计量测试学会、各地级市无损检测学会、水电行业协会等</w:t>
      </w: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颁发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的中级（Ⅱ）及以上无损检测</w:t>
      </w: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资格证书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，须具备取得该级别检测资质证后5年及以上无损检测经验，现场检测配置人力资源需满足甲方项目工期要求</w:t>
      </w: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检测使用的仪器设备应经地（市）级及以上计量检定机构检定或校准合格</w:t>
      </w: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。</w:t>
      </w:r>
    </w:p>
    <w:p>
      <w:pPr>
        <w:widowControl/>
        <w:numPr>
          <w:ilvl w:val="0"/>
          <w:numId w:val="1"/>
        </w:numPr>
        <w:spacing w:line="360" w:lineRule="auto"/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检测及验收要求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default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每台机组无损检测完成后，乙方应在7天内向甲方提交无损检测报告（具备CMA认证标志）及其他相关资料。</w:t>
      </w:r>
    </w:p>
    <w:p>
      <w:pPr>
        <w:widowControl/>
        <w:numPr>
          <w:ilvl w:val="0"/>
          <w:numId w:val="1"/>
        </w:numPr>
        <w:spacing w:line="360" w:lineRule="auto"/>
        <w:rPr>
          <w:rFonts w:hint="default" w:ascii="宋体" w:hAnsi="宋体" w:eastAsia="宋体" w:cs="Times New Roman"/>
          <w:b/>
          <w:sz w:val="28"/>
          <w:szCs w:val="24"/>
          <w:lang w:val="en-US" w:eastAsia="zh-CN"/>
        </w:rPr>
      </w:pPr>
      <w:r>
        <w:rPr>
          <w:rFonts w:hint="eastAsia" w:ascii="宋体" w:hAnsi="宋体" w:eastAsia="宋体" w:cs="Times New Roman"/>
          <w:b/>
          <w:sz w:val="28"/>
          <w:szCs w:val="24"/>
          <w:lang w:val="en-US" w:eastAsia="zh-CN"/>
        </w:rPr>
        <w:t>结算及支付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本项目总价结算，总价以中标报价清单中总价为准。项目服务内容全部完成后，甲方在收到乙方出具的增值税专用发票45天内向乙方支付结算款。</w:t>
      </w:r>
    </w:p>
    <w:p>
      <w:pPr>
        <w:spacing w:line="360" w:lineRule="auto"/>
        <w:rPr>
          <w:rFonts w:ascii="宋体" w:hAnsi="宋体" w:eastAsia="宋体" w:cs="Times New Roman"/>
          <w:b/>
          <w:bCs w:val="0"/>
          <w:color w:val="auto"/>
          <w:sz w:val="28"/>
          <w:szCs w:val="24"/>
        </w:rPr>
      </w:pPr>
      <w:r>
        <w:rPr>
          <w:rFonts w:hint="eastAsia" w:ascii="宋体" w:hAnsi="宋体" w:eastAsia="宋体" w:cs="Times New Roman"/>
          <w:b/>
          <w:bCs w:val="0"/>
          <w:color w:val="auto"/>
          <w:sz w:val="28"/>
          <w:szCs w:val="24"/>
          <w:lang w:val="en-US" w:eastAsia="zh-CN"/>
        </w:rPr>
        <w:t>七</w:t>
      </w:r>
      <w:r>
        <w:rPr>
          <w:rFonts w:hint="eastAsia" w:ascii="宋体" w:hAnsi="宋体" w:eastAsia="宋体" w:cs="Times New Roman"/>
          <w:b/>
          <w:bCs w:val="0"/>
          <w:color w:val="auto"/>
          <w:sz w:val="28"/>
          <w:szCs w:val="24"/>
        </w:rPr>
        <w:t>、其他要求</w:t>
      </w:r>
    </w:p>
    <w:p>
      <w:pPr>
        <w:numPr>
          <w:ilvl w:val="0"/>
          <w:numId w:val="0"/>
        </w:numPr>
        <w:spacing w:line="360" w:lineRule="auto"/>
        <w:ind w:firstLine="480" w:firstLineChars="200"/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4"/>
          <w:szCs w:val="24"/>
          <w:lang w:val="en-US" w:eastAsia="zh-CN"/>
        </w:rPr>
        <w:t>乙方现场检测时需遵守甲方安全生产相关规定。</w:t>
      </w:r>
    </w:p>
    <w:p>
      <w:pPr>
        <w:numPr>
          <w:ilvl w:val="0"/>
          <w:numId w:val="0"/>
        </w:numPr>
        <w:spacing w:line="360" w:lineRule="auto"/>
        <w:ind w:leftChars="0"/>
        <w:rPr>
          <w:rFonts w:hint="default" w:ascii="宋体" w:hAnsi="宋体" w:eastAsia="宋体" w:cs="Times New Roman"/>
          <w:b/>
          <w:bCs w:val="0"/>
          <w:color w:val="auto"/>
          <w:sz w:val="28"/>
          <w:szCs w:val="24"/>
          <w:lang w:val="en-US" w:eastAsia="zh-CN"/>
        </w:rPr>
      </w:pPr>
      <w:bookmarkStart w:id="1" w:name="_GoBack"/>
      <w:bookmarkEnd w:id="1"/>
    </w:p>
    <w:sectPr>
      <w:footerReference r:id="rId3" w:type="default"/>
      <w:pgSz w:w="11906" w:h="16838"/>
      <w:pgMar w:top="1440" w:right="1800" w:bottom="1440" w:left="1800" w:header="851" w:footer="992" w:gutter="0"/>
      <w:pgNumType w:start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77728210"/>
    </w:sdtPr>
    <w:sdtContent>
      <w:p>
        <w:pPr>
          <w:pStyle w:val="2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</w:t>
        </w:r>
        <w:r>
          <w:fldChar w:fldCharType="end"/>
        </w:r>
      </w:p>
    </w:sdtContent>
  </w:sdt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6535550"/>
    <w:multiLevelType w:val="singleLevel"/>
    <w:tmpl w:val="56535550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09080D"/>
    <w:rsid w:val="000435AB"/>
    <w:rsid w:val="00055F5F"/>
    <w:rsid w:val="0009080D"/>
    <w:rsid w:val="00091CBC"/>
    <w:rsid w:val="001D1CC3"/>
    <w:rsid w:val="002B0D12"/>
    <w:rsid w:val="002D02DB"/>
    <w:rsid w:val="00347D81"/>
    <w:rsid w:val="00421A43"/>
    <w:rsid w:val="00506BD8"/>
    <w:rsid w:val="0057490A"/>
    <w:rsid w:val="006400DC"/>
    <w:rsid w:val="007D4731"/>
    <w:rsid w:val="0080147C"/>
    <w:rsid w:val="00921AD3"/>
    <w:rsid w:val="00954A20"/>
    <w:rsid w:val="00955925"/>
    <w:rsid w:val="009E43A0"/>
    <w:rsid w:val="009F745A"/>
    <w:rsid w:val="00A36B4C"/>
    <w:rsid w:val="00A9307F"/>
    <w:rsid w:val="00AF0B31"/>
    <w:rsid w:val="00B238C8"/>
    <w:rsid w:val="00C65315"/>
    <w:rsid w:val="00C973AE"/>
    <w:rsid w:val="00D266A9"/>
    <w:rsid w:val="00FE6AA1"/>
    <w:rsid w:val="03796542"/>
    <w:rsid w:val="0477452F"/>
    <w:rsid w:val="0B1E6540"/>
    <w:rsid w:val="19C12D09"/>
    <w:rsid w:val="1CF20F5C"/>
    <w:rsid w:val="2B751144"/>
    <w:rsid w:val="3731B38E"/>
    <w:rsid w:val="378C6FE7"/>
    <w:rsid w:val="38072E3F"/>
    <w:rsid w:val="3845291A"/>
    <w:rsid w:val="3AE35E23"/>
    <w:rsid w:val="3DE55196"/>
    <w:rsid w:val="3DF70919"/>
    <w:rsid w:val="400830B0"/>
    <w:rsid w:val="42EF49E4"/>
    <w:rsid w:val="44F910E9"/>
    <w:rsid w:val="5A705B4B"/>
    <w:rsid w:val="5ACA0658"/>
    <w:rsid w:val="5B2F75BE"/>
    <w:rsid w:val="5E0633C6"/>
    <w:rsid w:val="5E3E5AA2"/>
    <w:rsid w:val="632816C4"/>
    <w:rsid w:val="677D1CC8"/>
    <w:rsid w:val="67ADEFD4"/>
    <w:rsid w:val="697E456A"/>
    <w:rsid w:val="6B325801"/>
    <w:rsid w:val="6CF45025"/>
    <w:rsid w:val="6FFF8138"/>
    <w:rsid w:val="7A206B92"/>
    <w:rsid w:val="7E0FD6AB"/>
    <w:rsid w:val="7EDF4123"/>
    <w:rsid w:val="7EF27F85"/>
    <w:rsid w:val="7EF7AA57"/>
    <w:rsid w:val="7F1DEBBB"/>
    <w:rsid w:val="8FDBCA7A"/>
    <w:rsid w:val="9FA68E65"/>
    <w:rsid w:val="DBFE9261"/>
    <w:rsid w:val="DFDA7F8C"/>
    <w:rsid w:val="EF760A3C"/>
    <w:rsid w:val="FB7F776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iPriority="99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  <w:style w:type="paragraph" w:customStyle="1" w:styleId="9">
    <w:name w:val="List Paragraph"/>
    <w:basedOn w:val="1"/>
    <w:qFormat/>
    <w:uiPriority w:val="1"/>
    <w:pPr>
      <w:jc w:val="left"/>
    </w:pPr>
    <w:rPr>
      <w:rFonts w:eastAsiaTheme="minorHAnsi"/>
      <w:kern w:val="0"/>
      <w:sz w:val="22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Company>Microsoft</Company>
  <Pages>3</Pages>
  <Words>86</Words>
  <Characters>495</Characters>
  <Lines>4</Lines>
  <Paragraphs>1</Paragraphs>
  <TotalTime>0</TotalTime>
  <ScaleCrop>false</ScaleCrop>
  <LinksUpToDate>false</LinksUpToDate>
  <CharactersWithSpaces>580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2018-06-15T02:27:00Z</dcterms:created>
  <dc:creator>dameng</dc:creator>
  <cp:lastModifiedBy>wangguan.hn</cp:lastModifiedBy>
  <dcterms:modified xsi:type="dcterms:W3CDTF">2026-03-09T04:10:35Z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077BB844EB4340AFA19BBC71FBE8F55D</vt:lpwstr>
  </property>
</Properties>
</file>