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ind w:firstLine="2880" w:firstLineChars="900"/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服务采购需求说明</w:t>
      </w:r>
    </w:p>
    <w:p>
      <w:pPr>
        <w:spacing w:line="360" w:lineRule="auto"/>
        <w:ind w:firstLine="643" w:firstLineChars="200"/>
        <w:jc w:val="both"/>
        <w:rPr>
          <w:rFonts w:hint="default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1.项目背景</w:t>
      </w:r>
    </w:p>
    <w:p>
      <w:pPr>
        <w:numPr>
          <w:ilvl w:val="0"/>
          <w:numId w:val="0"/>
        </w:numPr>
        <w:ind w:firstLine="640" w:firstLineChars="200"/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采购方因业务开展需求，拟需采购服务商协助采购方完成公司财务核算总账、明细账、报表、固定资产卡片装订存档工作。</w:t>
      </w:r>
    </w:p>
    <w:p>
      <w:pPr>
        <w:numPr>
          <w:ilvl w:val="0"/>
          <w:numId w:val="0"/>
        </w:numPr>
        <w:ind w:firstLine="643" w:firstLineChars="200"/>
        <w:jc w:val="both"/>
        <w:rPr>
          <w:rFonts w:hint="default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2.服务内容</w:t>
      </w:r>
    </w:p>
    <w:p>
      <w:pPr>
        <w:pStyle w:val="4"/>
        <w:numPr>
          <w:ilvl w:val="0"/>
          <w:numId w:val="0"/>
        </w:numPr>
        <w:ind w:left="210" w:leftChars="0" w:firstLine="640" w:firstLineChars="200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服务商需依据《</w:t>
      </w:r>
      <w:r>
        <w:rPr>
          <w:rFonts w:hint="eastAsia" w:ascii="宋体" w:hAnsi="宋体" w:eastAsia="宋体" w:cs="宋体"/>
          <w:kern w:val="0"/>
          <w:sz w:val="32"/>
          <w:szCs w:val="32"/>
          <w:lang w:val="en-US" w:eastAsia="zh-CN" w:bidi="ar-SA"/>
        </w:rPr>
        <w:t>中国南方电网有限责任公司管理类档案业务指导书（2024年版）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》及会计档案相关规定，为</w:t>
      </w:r>
      <w:r>
        <w:rPr>
          <w:rFonts w:hint="eastAsia" w:ascii="宋体" w:hAnsi="宋体" w:eastAsia="宋体" w:cs="宋体"/>
          <w:kern w:val="0"/>
          <w:sz w:val="32"/>
          <w:szCs w:val="32"/>
          <w:lang w:val="en-US" w:eastAsia="zh-CN" w:bidi="ar-SA"/>
        </w:rPr>
        <w:t>云南云电信息通信股份有限公司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提供2025年财务档案数据导出、打印及装订服务，具体涵盖财务总账（含日记总账）、明细账（含往来单位及项目合同专项明细账）、日记账（含现金和银行存款日记账）、固定资产卡片、会计年度报表、会计年度报告（含各级主管部门汇总财务报告及文字分析）、财务决算、月/季度财务报告（含文字分析）等资料；服务商须派驻至少1人至采购方工作地现场完成数据导出，导出的数据需要符合云南电网公司管理要求，其次服务商须使用中国南方电网公司4A自主门户计财域模块相关功能并导出要求的数据，并承担数据保密责任。对上述资料按规定顺序装订，装订封皮（</w:t>
      </w:r>
      <w:r>
        <w:rPr>
          <w:rFonts w:hint="eastAsia" w:ascii="宋体" w:hAnsi="宋体" w:eastAsia="宋体" w:cs="宋体"/>
          <w:color w:val="auto"/>
          <w:sz w:val="32"/>
          <w:szCs w:val="32"/>
          <w:highlight w:val="none"/>
          <w:lang w:eastAsia="zh-CN"/>
        </w:rPr>
        <w:t>账</w:t>
      </w:r>
      <w:r>
        <w:rPr>
          <w:rFonts w:hint="eastAsia" w:ascii="宋体" w:hAnsi="宋体" w:eastAsia="宋体" w:cs="宋体"/>
          <w:color w:val="auto"/>
          <w:sz w:val="32"/>
          <w:szCs w:val="32"/>
          <w:highlight w:val="none"/>
        </w:rPr>
        <w:t>簿启用及接交表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）需要根据</w:t>
      </w:r>
      <w:r>
        <w:rPr>
          <w:rFonts w:hint="eastAsia" w:ascii="宋体" w:hAnsi="宋体" w:eastAsia="宋体" w:cs="宋体"/>
          <w:kern w:val="0"/>
          <w:sz w:val="32"/>
          <w:szCs w:val="32"/>
          <w:lang w:val="en-US" w:eastAsia="zh-CN" w:bidi="ar-SA"/>
        </w:rPr>
        <w:t>中国南方电网有限责任公司管理类档案业务指导书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要求样式（详见附件），装订封皮（</w:t>
      </w:r>
      <w:r>
        <w:rPr>
          <w:rFonts w:hint="eastAsia" w:ascii="宋体" w:hAnsi="宋体" w:eastAsia="宋体" w:cs="宋体"/>
          <w:color w:val="auto"/>
          <w:sz w:val="32"/>
          <w:szCs w:val="32"/>
          <w:highlight w:val="none"/>
          <w:lang w:eastAsia="zh-CN"/>
        </w:rPr>
        <w:t>账</w:t>
      </w:r>
      <w:r>
        <w:rPr>
          <w:rFonts w:hint="eastAsia" w:ascii="宋体" w:hAnsi="宋体" w:eastAsia="宋体" w:cs="宋体"/>
          <w:color w:val="auto"/>
          <w:sz w:val="32"/>
          <w:szCs w:val="32"/>
          <w:highlight w:val="none"/>
        </w:rPr>
        <w:t>簿启用及接交表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）材料采用70克以上白色书写纸制作、尺寸采用国际标准A4型（长×宽为297mm×210mm）。装订资料需确保数据准确完整，且字体、字号、行距等格式规范均符合电网档案管理规定。</w:t>
      </w:r>
    </w:p>
    <w:p>
      <w:pPr>
        <w:pStyle w:val="4"/>
        <w:numPr>
          <w:ilvl w:val="0"/>
          <w:numId w:val="0"/>
        </w:numPr>
        <w:ind w:left="210" w:leftChars="0" w:firstLine="640" w:firstLineChars="200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交付地点及方式：云南云电信息通信股份有限公司，现场交付。</w:t>
      </w:r>
    </w:p>
    <w:p>
      <w:pPr>
        <w:pStyle w:val="4"/>
        <w:numPr>
          <w:ilvl w:val="0"/>
          <w:numId w:val="0"/>
        </w:numPr>
        <w:ind w:left="210" w:leftChars="0" w:firstLine="640" w:firstLineChars="200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交付时间：自合同签订之日起10个工作日装订成册并交付。</w:t>
      </w:r>
    </w:p>
    <w:p>
      <w:pPr>
        <w:pStyle w:val="4"/>
        <w:numPr>
          <w:ilvl w:val="0"/>
          <w:numId w:val="0"/>
        </w:numPr>
        <w:ind w:left="210" w:leftChars="0" w:firstLine="640" w:firstLineChars="200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付款方式：服务商按照采购方要求在规定时间内完成服务内容，并经采购方验收合格后，开具符合国家税务规定和采购方财务要求的发票，采购方自收到发票后30个工作日内一次性支付款项。</w:t>
      </w:r>
    </w:p>
    <w:p>
      <w:pPr>
        <w:pStyle w:val="4"/>
        <w:numPr>
          <w:ilvl w:val="0"/>
          <w:numId w:val="0"/>
        </w:numPr>
        <w:ind w:left="210" w:leftChars="0" w:firstLine="640" w:firstLineChars="200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报价要求：按照项目包干价进行报价，报价需包含税费、服务费等完成项目所需的全部费用，除此之外采购方不再单独支付其他费用。如果没有按采购方要求完成，验收未通过，对方需要无条件在7个工作日完成重新制作，否则采购方有权不支付项目价款。</w:t>
      </w:r>
    </w:p>
    <w:p>
      <w:pPr>
        <w:numPr>
          <w:ilvl w:val="0"/>
          <w:numId w:val="0"/>
        </w:numPr>
        <w:ind w:firstLine="643" w:firstLineChars="200"/>
        <w:jc w:val="both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3.采购服务明细如下：</w:t>
      </w:r>
    </w:p>
    <w:tbl>
      <w:tblPr>
        <w:tblStyle w:val="5"/>
        <w:tblW w:w="862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6"/>
        <w:gridCol w:w="1225"/>
        <w:gridCol w:w="3387"/>
        <w:gridCol w:w="746"/>
        <w:gridCol w:w="763"/>
        <w:gridCol w:w="18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6" w:hRule="atLeast"/>
        </w:trPr>
        <w:tc>
          <w:tcPr>
            <w:tcW w:w="69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122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商品名称</w:t>
            </w:r>
          </w:p>
        </w:tc>
        <w:tc>
          <w:tcPr>
            <w:tcW w:w="338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规格型号</w:t>
            </w:r>
          </w:p>
        </w:tc>
        <w:tc>
          <w:tcPr>
            <w:tcW w:w="74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单位</w:t>
            </w:r>
          </w:p>
        </w:tc>
        <w:tc>
          <w:tcPr>
            <w:tcW w:w="763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数量</w:t>
            </w:r>
          </w:p>
        </w:tc>
        <w:tc>
          <w:tcPr>
            <w:tcW w:w="181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</w:trPr>
        <w:tc>
          <w:tcPr>
            <w:tcW w:w="69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</w:rPr>
              <w:t>1</w:t>
            </w:r>
          </w:p>
        </w:tc>
        <w:tc>
          <w:tcPr>
            <w:tcW w:w="1225" w:type="dxa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lang w:val="en-US" w:eastAsia="zh-CN"/>
              </w:rPr>
              <w:t>2025年财务</w:t>
            </w:r>
            <w:r>
              <w:rPr>
                <w:rFonts w:hint="eastAsia" w:ascii="宋体" w:hAnsi="宋体" w:eastAsia="宋体" w:cs="宋体"/>
                <w:sz w:val="32"/>
                <w:szCs w:val="32"/>
                <w:lang w:eastAsia="zh-CN"/>
              </w:rPr>
              <w:t>账本整理装订</w:t>
            </w:r>
          </w:p>
        </w:tc>
        <w:tc>
          <w:tcPr>
            <w:tcW w:w="3387" w:type="dxa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lang w:eastAsia="zh-CN"/>
              </w:rPr>
              <w:t>按照南网财务制度排版、装订，包括总账、日记账、明细账、专项核算明细账</w:t>
            </w:r>
          </w:p>
        </w:tc>
        <w:tc>
          <w:tcPr>
            <w:tcW w:w="746" w:type="dxa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lang w:val="en-US" w:eastAsia="zh-CN"/>
              </w:rPr>
              <w:t>套</w:t>
            </w:r>
          </w:p>
        </w:tc>
        <w:tc>
          <w:tcPr>
            <w:tcW w:w="763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lang w:val="en-US" w:eastAsia="zh-CN"/>
              </w:rPr>
              <w:t>2</w:t>
            </w:r>
          </w:p>
        </w:tc>
        <w:tc>
          <w:tcPr>
            <w:tcW w:w="181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预计46本，预计23330页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</w:trPr>
        <w:tc>
          <w:tcPr>
            <w:tcW w:w="69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</w:rPr>
              <w:t>2</w:t>
            </w:r>
          </w:p>
        </w:tc>
        <w:tc>
          <w:tcPr>
            <w:tcW w:w="1225" w:type="dxa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lang w:val="en-US" w:eastAsia="zh-CN"/>
              </w:rPr>
              <w:t>2025年财务月报、季报整理装订</w:t>
            </w:r>
          </w:p>
        </w:tc>
        <w:tc>
          <w:tcPr>
            <w:tcW w:w="3387" w:type="dxa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lang w:eastAsia="zh-CN"/>
              </w:rPr>
              <w:t>按照南网财务制度排版、装订</w:t>
            </w:r>
          </w:p>
        </w:tc>
        <w:tc>
          <w:tcPr>
            <w:tcW w:w="746" w:type="dxa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lang w:val="en-US" w:eastAsia="zh-CN"/>
              </w:rPr>
              <w:t>套</w:t>
            </w:r>
          </w:p>
        </w:tc>
        <w:tc>
          <w:tcPr>
            <w:tcW w:w="763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lang w:val="en-US" w:eastAsia="zh-CN"/>
              </w:rPr>
              <w:t>2</w:t>
            </w:r>
          </w:p>
        </w:tc>
        <w:tc>
          <w:tcPr>
            <w:tcW w:w="181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预计6本，预计900页。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</w:rPr>
              <w:t>3</w:t>
            </w:r>
          </w:p>
        </w:tc>
        <w:tc>
          <w:tcPr>
            <w:tcW w:w="1225" w:type="dxa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lang w:val="en-US" w:eastAsia="zh-CN"/>
              </w:rPr>
              <w:t>2025年财务年报、财务决算</w:t>
            </w:r>
            <w:r>
              <w:rPr>
                <w:rFonts w:hint="eastAsia" w:ascii="宋体" w:hAnsi="宋体" w:eastAsia="宋体" w:cs="宋体"/>
                <w:sz w:val="32"/>
                <w:szCs w:val="32"/>
                <w:lang w:eastAsia="zh-CN"/>
              </w:rPr>
              <w:t>整理装订</w:t>
            </w:r>
          </w:p>
        </w:tc>
        <w:tc>
          <w:tcPr>
            <w:tcW w:w="3387" w:type="dxa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lang w:eastAsia="zh-CN"/>
              </w:rPr>
              <w:t>按照南网财务制度排版、装订</w:t>
            </w:r>
          </w:p>
        </w:tc>
        <w:tc>
          <w:tcPr>
            <w:tcW w:w="746" w:type="dxa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lang w:val="en-US" w:eastAsia="zh-CN"/>
              </w:rPr>
              <w:t>套</w:t>
            </w:r>
          </w:p>
        </w:tc>
        <w:tc>
          <w:tcPr>
            <w:tcW w:w="763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lang w:val="en-US" w:eastAsia="zh-CN"/>
              </w:rPr>
              <w:t>4</w:t>
            </w:r>
          </w:p>
        </w:tc>
        <w:tc>
          <w:tcPr>
            <w:tcW w:w="181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预计4本，预计600页。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2"/>
                <w:szCs w:val="3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lang w:val="en-US" w:eastAsia="zh-CN"/>
              </w:rPr>
              <w:t>4</w:t>
            </w:r>
          </w:p>
        </w:tc>
        <w:tc>
          <w:tcPr>
            <w:tcW w:w="1225" w:type="dxa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32"/>
                <w:szCs w:val="3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lang w:val="en-US" w:eastAsia="zh-CN"/>
              </w:rPr>
              <w:t>固定资产卡片</w:t>
            </w:r>
          </w:p>
        </w:tc>
        <w:tc>
          <w:tcPr>
            <w:tcW w:w="3387" w:type="dxa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lang w:eastAsia="zh-CN"/>
              </w:rPr>
              <w:t>按照南网财务制度排版、装订</w:t>
            </w:r>
          </w:p>
        </w:tc>
        <w:tc>
          <w:tcPr>
            <w:tcW w:w="746" w:type="dxa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lang w:val="en-US" w:eastAsia="zh-CN"/>
              </w:rPr>
              <w:t>套</w:t>
            </w:r>
          </w:p>
        </w:tc>
        <w:tc>
          <w:tcPr>
            <w:tcW w:w="763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lang w:val="en-US" w:eastAsia="zh-CN"/>
              </w:rPr>
              <w:t>2</w:t>
            </w:r>
          </w:p>
        </w:tc>
        <w:tc>
          <w:tcPr>
            <w:tcW w:w="181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</w:p>
        </w:tc>
      </w:tr>
    </w:tbl>
    <w:p>
      <w:pPr>
        <w:pStyle w:val="4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备注：</w:t>
      </w:r>
      <w:r>
        <w:rPr>
          <w:rFonts w:hint="eastAsia" w:ascii="宋体" w:hAnsi="宋体" w:eastAsia="宋体" w:cs="宋体"/>
          <w:b/>
          <w:bCs/>
          <w:sz w:val="32"/>
          <w:szCs w:val="32"/>
        </w:rPr>
        <w:t>上述工作量为采购方根据历年账本装订服务量进行预估，采购方不保证预估工作量的准确性</w:t>
      </w:r>
      <w:r>
        <w:rPr>
          <w:rFonts w:hint="eastAsia" w:ascii="宋体" w:hAnsi="宋体" w:eastAsia="宋体" w:cs="宋体"/>
          <w:b/>
          <w:bCs/>
          <w:sz w:val="32"/>
          <w:szCs w:val="32"/>
          <w:lang w:eastAsia="zh-CN"/>
        </w:rPr>
        <w:t>。</w:t>
      </w:r>
    </w:p>
    <w:p>
      <w:pPr>
        <w:pStyle w:val="4"/>
        <w:numPr>
          <w:ilvl w:val="0"/>
          <w:numId w:val="2"/>
        </w:numPr>
        <w:ind w:leftChars="200" w:firstLine="321" w:firstLineChars="100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附件（账簿封面格式）：</w:t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 w:ascii="宋体"/>
          <w:color w:val="auto"/>
          <w:sz w:val="24"/>
          <w:szCs w:val="24"/>
          <w:highlight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-747395</wp:posOffset>
            </wp:positionH>
            <wp:positionV relativeFrom="paragraph">
              <wp:posOffset>117475</wp:posOffset>
            </wp:positionV>
            <wp:extent cx="6701790" cy="4862195"/>
            <wp:effectExtent l="0" t="0" r="3810" b="14605"/>
            <wp:wrapNone/>
            <wp:docPr id="563" name="图片 15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3" name="图片 1540"/>
                    <pic:cNvPicPr>
                      <a:picLocks noChangeAspect="1"/>
                    </pic:cNvPicPr>
                  </pic:nvPicPr>
                  <pic:blipFill>
                    <a:blip r:embed="rId5"/>
                    <a:srcRect l="14653" t="25757" r="17088" b="12155"/>
                    <a:stretch>
                      <a:fillRect/>
                    </a:stretch>
                  </pic:blipFill>
                  <pic:spPr>
                    <a:xfrm>
                      <a:off x="0" y="0"/>
                      <a:ext cx="6701790" cy="48621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2"/>
        <w:numPr>
          <w:ilvl w:val="0"/>
          <w:numId w:val="0"/>
        </w:numPr>
        <w:ind w:leftChars="0"/>
        <w:rPr>
          <w:rFonts w:hint="eastAsia"/>
          <w:lang w:val="en-US" w:eastAsia="zh-CN"/>
        </w:rPr>
      </w:pPr>
    </w:p>
    <w:p>
      <w:pPr>
        <w:pStyle w:val="2"/>
        <w:numPr>
          <w:ilvl w:val="0"/>
          <w:numId w:val="0"/>
        </w:numPr>
        <w:ind w:leftChars="0"/>
        <w:rPr>
          <w:rFonts w:hint="eastAsia"/>
          <w:lang w:val="en-US" w:eastAsia="zh-CN"/>
        </w:rPr>
      </w:pPr>
    </w:p>
    <w:p>
      <w:pPr>
        <w:pStyle w:val="2"/>
        <w:numPr>
          <w:ilvl w:val="0"/>
          <w:numId w:val="0"/>
        </w:numPr>
        <w:ind w:leftChars="0"/>
        <w:rPr>
          <w:rFonts w:hint="eastAsia"/>
          <w:lang w:val="en-US" w:eastAsia="zh-CN"/>
        </w:rPr>
      </w:pPr>
    </w:p>
    <w:p>
      <w:pPr>
        <w:pStyle w:val="2"/>
        <w:numPr>
          <w:ilvl w:val="0"/>
          <w:numId w:val="0"/>
        </w:numPr>
        <w:ind w:leftChars="0"/>
        <w:rPr>
          <w:rFonts w:hint="eastAsia"/>
          <w:lang w:val="en-US" w:eastAsia="zh-CN"/>
        </w:rPr>
      </w:pPr>
    </w:p>
    <w:p>
      <w:pPr>
        <w:pStyle w:val="2"/>
        <w:numPr>
          <w:ilvl w:val="0"/>
          <w:numId w:val="0"/>
        </w:numPr>
        <w:ind w:leftChars="0"/>
        <w:rPr>
          <w:rFonts w:hint="eastAsia"/>
          <w:lang w:val="en-US" w:eastAsia="zh-CN"/>
        </w:rPr>
      </w:pPr>
    </w:p>
    <w:p>
      <w:pPr>
        <w:pStyle w:val="2"/>
        <w:numPr>
          <w:ilvl w:val="0"/>
          <w:numId w:val="0"/>
        </w:numPr>
        <w:ind w:leftChars="0"/>
        <w:rPr>
          <w:rFonts w:hint="eastAsia"/>
          <w:lang w:val="en-US" w:eastAsia="zh-CN"/>
        </w:rPr>
      </w:pPr>
    </w:p>
    <w:p>
      <w:pPr>
        <w:pStyle w:val="2"/>
        <w:numPr>
          <w:ilvl w:val="0"/>
          <w:numId w:val="0"/>
        </w:numPr>
        <w:ind w:leftChars="0"/>
        <w:rPr>
          <w:rFonts w:hint="eastAsia"/>
          <w:lang w:val="en-US" w:eastAsia="zh-CN"/>
        </w:rPr>
      </w:pPr>
    </w:p>
    <w:p>
      <w:pPr>
        <w:pStyle w:val="2"/>
        <w:numPr>
          <w:ilvl w:val="0"/>
          <w:numId w:val="0"/>
        </w:numPr>
        <w:ind w:leftChars="0"/>
        <w:rPr>
          <w:rFonts w:hint="eastAsia"/>
          <w:lang w:val="en-US" w:eastAsia="zh-CN"/>
        </w:rPr>
      </w:pPr>
    </w:p>
    <w:p>
      <w:pPr>
        <w:pStyle w:val="2"/>
        <w:numPr>
          <w:ilvl w:val="0"/>
          <w:numId w:val="0"/>
        </w:numPr>
        <w:ind w:leftChars="0"/>
        <w:rPr>
          <w:rFonts w:hint="eastAsia"/>
          <w:lang w:val="en-US" w:eastAsia="zh-CN"/>
        </w:rPr>
      </w:pPr>
    </w:p>
    <w:p>
      <w:pPr>
        <w:pStyle w:val="2"/>
        <w:numPr>
          <w:ilvl w:val="0"/>
          <w:numId w:val="0"/>
        </w:numPr>
        <w:ind w:leftChars="0"/>
        <w:rPr>
          <w:rFonts w:hint="eastAsia"/>
          <w:lang w:val="en-US" w:eastAsia="zh-CN"/>
        </w:rPr>
      </w:pPr>
    </w:p>
    <w:p>
      <w:pPr>
        <w:pStyle w:val="2"/>
        <w:numPr>
          <w:ilvl w:val="0"/>
          <w:numId w:val="0"/>
        </w:numPr>
        <w:ind w:leftChars="0"/>
        <w:rPr>
          <w:rFonts w:hint="eastAsia"/>
          <w:lang w:val="en-US" w:eastAsia="zh-CN"/>
        </w:rPr>
      </w:pPr>
    </w:p>
    <w:p>
      <w:pPr>
        <w:pStyle w:val="2"/>
        <w:numPr>
          <w:ilvl w:val="0"/>
          <w:numId w:val="0"/>
        </w:numPr>
        <w:ind w:leftChars="0"/>
        <w:rPr>
          <w:rFonts w:hint="eastAsia"/>
          <w:lang w:val="en-US" w:eastAsia="zh-CN"/>
        </w:rPr>
      </w:pPr>
    </w:p>
    <w:p>
      <w:pPr>
        <w:pStyle w:val="2"/>
        <w:numPr>
          <w:ilvl w:val="0"/>
          <w:numId w:val="0"/>
        </w:numPr>
        <w:ind w:leftChars="0"/>
        <w:rPr>
          <w:rFonts w:hint="eastAsia"/>
          <w:lang w:val="en-US" w:eastAsia="zh-CN"/>
        </w:rPr>
      </w:pPr>
    </w:p>
    <w:p>
      <w:pPr>
        <w:pStyle w:val="2"/>
        <w:numPr>
          <w:ilvl w:val="0"/>
          <w:numId w:val="0"/>
        </w:numPr>
        <w:ind w:leftChars="0"/>
        <w:rPr>
          <w:rFonts w:hint="eastAsia"/>
          <w:lang w:val="en-US" w:eastAsia="zh-CN"/>
        </w:rPr>
      </w:pPr>
    </w:p>
    <w:p>
      <w:pPr>
        <w:pStyle w:val="2"/>
        <w:numPr>
          <w:ilvl w:val="0"/>
          <w:numId w:val="0"/>
        </w:numPr>
        <w:ind w:leftChars="0"/>
        <w:rPr>
          <w:rFonts w:hint="eastAsia"/>
          <w:lang w:val="en-US" w:eastAsia="zh-CN"/>
        </w:rPr>
      </w:pPr>
    </w:p>
    <w:p>
      <w:pPr>
        <w:pStyle w:val="2"/>
        <w:numPr>
          <w:ilvl w:val="0"/>
          <w:numId w:val="0"/>
        </w:numPr>
        <w:ind w:leftChars="0"/>
        <w:rPr>
          <w:rFonts w:hint="eastAsia"/>
          <w:lang w:val="en-US" w:eastAsia="zh-CN"/>
        </w:rPr>
      </w:pPr>
    </w:p>
    <w:p>
      <w:pPr>
        <w:pStyle w:val="2"/>
        <w:numPr>
          <w:ilvl w:val="0"/>
          <w:numId w:val="0"/>
        </w:numPr>
        <w:ind w:leftChars="0"/>
        <w:rPr>
          <w:rFonts w:hint="eastAsia"/>
          <w:lang w:val="en-US" w:eastAsia="zh-CN"/>
        </w:rPr>
      </w:pPr>
    </w:p>
    <w:p>
      <w:pPr>
        <w:pStyle w:val="2"/>
        <w:numPr>
          <w:ilvl w:val="0"/>
          <w:numId w:val="0"/>
        </w:numPr>
        <w:ind w:leftChars="0"/>
        <w:rPr>
          <w:rFonts w:hint="eastAsia"/>
          <w:lang w:val="en-US" w:eastAsia="zh-CN"/>
        </w:rPr>
      </w:pPr>
    </w:p>
    <w:p>
      <w:pPr>
        <w:pStyle w:val="2"/>
        <w:numPr>
          <w:ilvl w:val="0"/>
          <w:numId w:val="0"/>
        </w:numPr>
        <w:ind w:leftChars="0"/>
        <w:rPr>
          <w:rFonts w:hint="eastAsia"/>
          <w:lang w:val="en-US" w:eastAsia="zh-CN"/>
        </w:rPr>
      </w:pPr>
    </w:p>
    <w:p>
      <w:pPr>
        <w:spacing w:line="360" w:lineRule="auto"/>
      </w:pPr>
      <w:bookmarkStart w:id="0" w:name="_GoBack"/>
      <w:bookmarkEnd w:id="0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8329CA9"/>
    <w:multiLevelType w:val="singleLevel"/>
    <w:tmpl w:val="C8329CA9"/>
    <w:lvl w:ilvl="0" w:tentative="0">
      <w:start w:val="4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7F91543"/>
    <w:multiLevelType w:val="multilevel"/>
    <w:tmpl w:val="07F91543"/>
    <w:lvl w:ilvl="0" w:tentative="0">
      <w:start w:val="1"/>
      <w:numFmt w:val="decimal"/>
      <w:pStyle w:val="2"/>
      <w:lvlText w:val="%1"/>
      <w:lvlJc w:val="left"/>
      <w:pPr>
        <w:tabs>
          <w:tab w:val="left" w:pos="432"/>
        </w:tabs>
        <w:ind w:left="432" w:hanging="432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tabs>
          <w:tab w:val="left" w:pos="576"/>
        </w:tabs>
        <w:ind w:left="576" w:hanging="576"/>
      </w:pPr>
      <w:rPr>
        <w:rFonts w:hint="eastAsia"/>
        <w:b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1148"/>
        </w:tabs>
        <w:ind w:left="1148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6、"/>
      <w:lvlJc w:val="left"/>
      <w:pPr>
        <w:ind w:left="360" w:hanging="36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AFA372F"/>
    <w:rsid w:val="0AFA3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adjustRightInd w:val="0"/>
      <w:snapToGrid w:val="0"/>
      <w:spacing w:after="200"/>
    </w:pPr>
    <w:rPr>
      <w:rFonts w:ascii="Tahoma" w:hAnsi="Tahoma" w:eastAsia="微软雅黑" w:cs="Times New Roman"/>
      <w:sz w:val="22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numPr>
        <w:ilvl w:val="0"/>
        <w:numId w:val="1"/>
      </w:numPr>
      <w:spacing w:before="20" w:after="20"/>
      <w:ind w:firstLineChars="0"/>
      <w:jc w:val="left"/>
      <w:outlineLvl w:val="0"/>
    </w:pPr>
    <w:rPr>
      <w:rFonts w:ascii="宋体" w:hAnsi="宋体"/>
      <w:b/>
      <w:bCs/>
      <w:snapToGrid w:val="0"/>
      <w:kern w:val="44"/>
      <w:sz w:val="28"/>
      <w:szCs w:val="44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"/>
    <w:basedOn w:val="1"/>
    <w:unhideWhenUsed/>
    <w:qFormat/>
    <w:uiPriority w:val="99"/>
    <w:pPr>
      <w:autoSpaceDE w:val="0"/>
      <w:autoSpaceDN w:val="0"/>
      <w:adjustRightInd w:val="0"/>
      <w:spacing w:after="120" w:line="360" w:lineRule="atLeast"/>
      <w:ind w:left="900"/>
    </w:pPr>
    <w:rPr>
      <w:rFonts w:ascii="楷体_GB2312" w:eastAsia="楷体_GB2312"/>
      <w:kern w:val="0"/>
      <w:sz w:val="28"/>
      <w:szCs w:val="20"/>
    </w:rPr>
  </w:style>
  <w:style w:type="paragraph" w:styleId="4">
    <w:name w:val="Body Text First Indent 2"/>
    <w:basedOn w:val="3"/>
    <w:next w:val="1"/>
    <w:unhideWhenUsed/>
    <w:qFormat/>
    <w:uiPriority w:val="99"/>
    <w:pPr>
      <w:autoSpaceDE/>
      <w:autoSpaceDN/>
      <w:spacing w:line="312" w:lineRule="atLeast"/>
      <w:ind w:left="0" w:firstLine="210"/>
      <w:textAlignment w:val="baseline"/>
    </w:pPr>
    <w:rPr>
      <w:sz w:val="21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2026-03-05T07:01:00Z</dcterms:created>
  <dc:creator>杨睿琦</dc:creator>
  <cp:lastModifiedBy>杨睿琦</cp:lastModifiedBy>
  <dcterms:modified xsi:type="dcterms:W3CDTF">2026-03-05T07:06:04Z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0EB8C88DE70541BEB978D399E0F99023</vt:lpwstr>
  </property>
</Properties>
</file>