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黑体"/>
          <w:b/>
          <w:sz w:val="44"/>
          <w:szCs w:val="44"/>
        </w:rPr>
      </w:pPr>
      <w:bookmarkStart w:id="0" w:name="_Toc27864"/>
      <w:bookmarkStart w:id="1" w:name="_Toc482581219"/>
      <w:bookmarkStart w:id="2" w:name="_Toc114253693"/>
      <w:bookmarkStart w:id="3" w:name="_Toc448828694"/>
      <w:bookmarkStart w:id="4" w:name="_Toc155114612"/>
      <w:bookmarkStart w:id="5" w:name="_Toc146182538"/>
      <w:bookmarkStart w:id="6" w:name="_Toc457986926"/>
      <w:bookmarkStart w:id="7" w:name="_Toc459534976"/>
      <w:bookmarkStart w:id="8" w:name="_Toc455373921"/>
      <w:bookmarkStart w:id="9" w:name="_Toc457979127"/>
      <w:bookmarkStart w:id="10" w:name="_Toc241912000"/>
      <w:bookmarkStart w:id="11" w:name="_Toc455543289"/>
      <w:r>
        <w:rPr>
          <w:rFonts w:eastAsia="黑体"/>
          <w:b/>
          <w:sz w:val="5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-650875</wp:posOffset>
            </wp:positionH>
            <wp:positionV relativeFrom="paragraph">
              <wp:posOffset>-889000</wp:posOffset>
            </wp:positionV>
            <wp:extent cx="7548880" cy="2686050"/>
            <wp:effectExtent l="0" t="0" r="7620" b="6350"/>
            <wp:wrapTight wrapText="bothSides">
              <wp:wrapPolygon>
                <wp:start x="0" y="0"/>
                <wp:lineTo x="0" y="21549"/>
                <wp:lineTo x="21549" y="21549"/>
                <wp:lineTo x="21549" y="0"/>
                <wp:lineTo x="0" y="0"/>
              </wp:wrapPolygon>
            </wp:wrapTight>
            <wp:docPr id="1" name="图片 3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模板-3"/>
                    <pic:cNvPicPr>
                      <a:picLocks noChangeAspect="1"/>
                    </pic:cNvPicPr>
                  </pic:nvPicPr>
                  <pic:blipFill>
                    <a:blip r:embed="rId10"/>
                    <a:srcRect l="578" t="1855" r="478"/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黑体"/>
          <w:b/>
          <w:sz w:val="44"/>
          <w:szCs w:val="44"/>
        </w:rPr>
        <w:t>终端备用电池技术规范书</w:t>
      </w:r>
    </w:p>
    <w:p>
      <w:pPr>
        <w:jc w:val="center"/>
        <w:rPr>
          <w:rFonts w:eastAsia="黑体"/>
          <w:b/>
          <w:sz w:val="52"/>
        </w:rPr>
      </w:pPr>
    </w:p>
    <w:p>
      <w:pPr>
        <w:spacing w:before="624" w:beforeLines="200"/>
        <w:jc w:val="center"/>
        <w:rPr>
          <w:rFonts w:eastAsia="黑体"/>
          <w:b/>
          <w:sz w:val="52"/>
        </w:rPr>
      </w:pPr>
      <w:r>
        <w:rPr>
          <w:rFonts w:hint="eastAsia" w:eastAsia="黑体"/>
          <w:b/>
          <w:sz w:val="52"/>
        </w:rPr>
        <w:t>（专用部分）</w:t>
      </w:r>
    </w:p>
    <w:p>
      <w:pPr>
        <w:ind w:left="2518" w:hanging="108"/>
        <w:rPr>
          <w:rFonts w:eastAsia="黑体"/>
          <w:b/>
          <w:sz w:val="36"/>
        </w:rPr>
      </w:pPr>
    </w:p>
    <w:p>
      <w:pPr>
        <w:pStyle w:val="2"/>
        <w:ind w:firstLine="723"/>
        <w:rPr>
          <w:rFonts w:eastAsia="黑体"/>
          <w:b/>
          <w:sz w:val="36"/>
        </w:rPr>
      </w:pPr>
    </w:p>
    <w:p>
      <w:pPr>
        <w:pStyle w:val="2"/>
        <w:ind w:firstLine="723"/>
        <w:rPr>
          <w:rFonts w:eastAsia="黑体"/>
          <w:b/>
          <w:sz w:val="36"/>
        </w:rPr>
      </w:pPr>
    </w:p>
    <w:p>
      <w:pPr>
        <w:ind w:left="2518" w:hanging="108"/>
        <w:rPr>
          <w:rFonts w:eastAsia="黑体"/>
          <w:b/>
          <w:sz w:val="36"/>
        </w:rPr>
      </w:pPr>
    </w:p>
    <w:p>
      <w:pPr>
        <w:ind w:left="2518" w:hanging="108"/>
        <w:rPr>
          <w:rFonts w:eastAsia="黑体"/>
          <w:b/>
          <w:sz w:val="36"/>
        </w:rPr>
      </w:pPr>
    </w:p>
    <w:p>
      <w:pPr>
        <w:jc w:val="center"/>
        <w:rPr>
          <w:rFonts w:ascii="黑体" w:eastAsia="黑体"/>
          <w:b/>
          <w:spacing w:val="20"/>
          <w:w w:val="135"/>
          <w:sz w:val="30"/>
        </w:rPr>
      </w:pPr>
      <w:r>
        <w:rPr>
          <w:rFonts w:hint="eastAsia" w:ascii="黑体" w:eastAsia="黑体"/>
          <w:b/>
          <w:spacing w:val="20"/>
          <w:w w:val="135"/>
          <w:sz w:val="30"/>
        </w:rPr>
        <w:t>广西电网有限责任公司</w:t>
      </w:r>
    </w:p>
    <w:p>
      <w:pPr>
        <w:jc w:val="center"/>
        <w:rPr>
          <w:rFonts w:ascii="黑体" w:eastAsia="黑体"/>
          <w:b/>
          <w:spacing w:val="20"/>
          <w:w w:val="135"/>
          <w:sz w:val="30"/>
        </w:rPr>
      </w:pPr>
      <w:r>
        <w:rPr>
          <w:rFonts w:hint="eastAsia" w:ascii="黑体" w:eastAsia="黑体"/>
          <w:b/>
          <w:spacing w:val="20"/>
          <w:w w:val="135"/>
          <w:sz w:val="30"/>
        </w:rPr>
        <w:t>2025年9月</w:t>
      </w:r>
    </w:p>
    <w:p>
      <w:r>
        <w:rPr>
          <w:rFonts w:hint="eastAsia" w:ascii="黑体" w:eastAsia="黑体"/>
          <w:b/>
          <w:spacing w:val="20"/>
          <w:w w:val="135"/>
          <w:sz w:val="30"/>
        </w:rPr>
        <w:br w:type="page"/>
      </w:r>
    </w:p>
    <w:p>
      <w:pPr>
        <w:pStyle w:val="4"/>
        <w:rPr>
          <w:rFonts w:hint="eastAsia" w:ascii="黑体" w:hAnsi="黑体" w:eastAsia="黑体"/>
          <w:b/>
          <w:sz w:val="21"/>
          <w:szCs w:val="21"/>
        </w:rPr>
      </w:pPr>
      <w:r>
        <w:rPr>
          <w:rFonts w:hint="eastAsia" w:ascii="黑体" w:hAnsi="黑体" w:eastAsia="黑体"/>
          <w:b/>
          <w:sz w:val="21"/>
          <w:szCs w:val="21"/>
        </w:rPr>
        <w:t>一</w:t>
      </w:r>
      <w:r>
        <w:rPr>
          <w:rFonts w:ascii="黑体" w:hAnsi="黑体" w:eastAsia="黑体"/>
          <w:b/>
          <w:sz w:val="21"/>
          <w:szCs w:val="21"/>
        </w:rPr>
        <w:t>、工程</w:t>
      </w:r>
      <w:r>
        <w:rPr>
          <w:rFonts w:hint="eastAsia" w:ascii="黑体" w:hAnsi="黑体" w:eastAsia="黑体"/>
          <w:b/>
          <w:sz w:val="21"/>
          <w:szCs w:val="21"/>
        </w:rPr>
        <w:t>概述</w:t>
      </w:r>
      <w:bookmarkEnd w:id="0"/>
    </w:p>
    <w:p>
      <w:pPr>
        <w:pStyle w:val="5"/>
        <w:spacing w:line="360" w:lineRule="auto"/>
      </w:pPr>
      <w:bookmarkStart w:id="12" w:name="_Toc26093"/>
      <w:r>
        <w:t>1.</w:t>
      </w:r>
      <w:r>
        <w:rPr>
          <w:rFonts w:hint="eastAsia"/>
        </w:rPr>
        <w:t>1使用条件</w:t>
      </w:r>
      <w:bookmarkEnd w:id="12"/>
    </w:p>
    <w:p>
      <w:pPr>
        <w:keepNext/>
        <w:keepLines/>
        <w:wordWrap w:val="0"/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outlineLvl w:val="2"/>
        <w:rPr>
          <w:b/>
          <w:bCs/>
          <w:kern w:val="21"/>
        </w:rPr>
      </w:pPr>
      <w:bookmarkStart w:id="13" w:name="_Toc292656840"/>
      <w:bookmarkStart w:id="14" w:name="_Toc13752"/>
      <w:r>
        <w:rPr>
          <w:rFonts w:hint="eastAsia"/>
          <w:b/>
          <w:bCs/>
          <w:kern w:val="21"/>
        </w:rPr>
        <w:t xml:space="preserve">1.1.1 </w:t>
      </w:r>
      <w:r>
        <w:rPr>
          <w:b/>
          <w:bCs/>
          <w:kern w:val="21"/>
        </w:rPr>
        <w:t>温湿度范围</w:t>
      </w:r>
      <w:bookmarkEnd w:id="13"/>
      <w:bookmarkEnd w:id="14"/>
    </w:p>
    <w:p>
      <w:pPr>
        <w:pStyle w:val="13"/>
        <w:overflowPunct/>
        <w:topLinePunct/>
        <w:snapToGrid/>
        <w:spacing w:line="240" w:lineRule="auto"/>
        <w:ind w:right="-36" w:rightChars="-17" w:firstLine="425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终端备用电池正常运行的气候环境条件见表1。</w:t>
      </w:r>
    </w:p>
    <w:p>
      <w:pPr>
        <w:pStyle w:val="14"/>
        <w:ind w:right="-36" w:rightChars="-17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ab/>
      </w:r>
      <w:r>
        <w:rPr>
          <w:rFonts w:hint="eastAsia" w:ascii="宋体" w:hAnsi="宋体" w:eastAsia="宋体"/>
        </w:rPr>
        <w:t>表</w:t>
      </w:r>
      <w:r>
        <w:rPr>
          <w:rFonts w:ascii="宋体" w:hAnsi="宋体" w:eastAsia="宋体"/>
        </w:rPr>
        <w:t>1</w:t>
      </w:r>
      <w:r>
        <w:rPr>
          <w:rFonts w:hint="eastAsia" w:ascii="宋体" w:hAnsi="宋体" w:eastAsia="宋体"/>
        </w:rPr>
        <w:t>　气候环境条件分类</w:t>
      </w:r>
    </w:p>
    <w:tbl>
      <w:tblPr>
        <w:tblStyle w:val="10"/>
        <w:tblW w:w="941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871"/>
        <w:gridCol w:w="1684"/>
        <w:gridCol w:w="1742"/>
        <w:gridCol w:w="1974"/>
        <w:gridCol w:w="163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" w:hRule="atLeast"/>
          <w:jc w:val="center"/>
        </w:trPr>
        <w:tc>
          <w:tcPr>
            <w:tcW w:w="1509" w:type="dxa"/>
            <w:vMerge w:val="restart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场所类型</w:t>
            </w:r>
          </w:p>
        </w:tc>
        <w:tc>
          <w:tcPr>
            <w:tcW w:w="871" w:type="dxa"/>
            <w:vMerge w:val="restart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级别</w:t>
            </w:r>
          </w:p>
        </w:tc>
        <w:tc>
          <w:tcPr>
            <w:tcW w:w="3426" w:type="dxa"/>
            <w:gridSpan w:val="2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空气温度</w:t>
            </w:r>
          </w:p>
        </w:tc>
        <w:tc>
          <w:tcPr>
            <w:tcW w:w="3606" w:type="dxa"/>
            <w:gridSpan w:val="2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湿</w:t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" w:hRule="atLeast"/>
          <w:jc w:val="center"/>
        </w:trPr>
        <w:tc>
          <w:tcPr>
            <w:tcW w:w="0" w:type="auto"/>
            <w:vMerge w:val="continue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</w:p>
        </w:tc>
        <w:tc>
          <w:tcPr>
            <w:tcW w:w="0" w:type="auto"/>
            <w:vMerge w:val="continue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</w:p>
        </w:tc>
        <w:tc>
          <w:tcPr>
            <w:tcW w:w="1684" w:type="dxa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范</w:t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 xml:space="preserve"> 围</w:t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br w:type="textWrapping"/>
            </w: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℃</w:t>
            </w:r>
          </w:p>
        </w:tc>
        <w:tc>
          <w:tcPr>
            <w:tcW w:w="1742" w:type="dxa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最大变化率</w:t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t>a</w:t>
            </w: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br w:type="textWrapping"/>
            </w: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℃</w:t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t>/h</w:t>
            </w:r>
          </w:p>
        </w:tc>
        <w:tc>
          <w:tcPr>
            <w:tcW w:w="1974" w:type="dxa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相对湿度</w:t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t>b</w:t>
            </w: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br w:type="textWrapping"/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t>%</w:t>
            </w:r>
          </w:p>
        </w:tc>
        <w:tc>
          <w:tcPr>
            <w:tcW w:w="1632" w:type="dxa"/>
            <w:vAlign w:val="center"/>
          </w:tcPr>
          <w:p>
            <w:pPr>
              <w:pStyle w:val="15"/>
              <w:topLinePunct/>
              <w:snapToGrid w:val="0"/>
              <w:spacing w:before="56" w:after="56" w:line="240" w:lineRule="auto"/>
              <w:jc w:val="center"/>
              <w:rPr>
                <w:rFonts w:ascii="Times New Roman" w:hAnsi="Times New Roman"/>
                <w:color w:val="auto"/>
                <w:kern w:val="21"/>
                <w:szCs w:val="18"/>
              </w:rPr>
            </w:pPr>
            <w:r>
              <w:rPr>
                <w:rFonts w:hint="eastAsia" w:ascii="Times New Roman" w:hAnsi="Times New Roman"/>
                <w:color w:val="auto"/>
                <w:kern w:val="21"/>
                <w:szCs w:val="18"/>
              </w:rPr>
              <w:t>最大绝对湿度</w:t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br w:type="textWrapping"/>
            </w:r>
            <w:r>
              <w:rPr>
                <w:rFonts w:ascii="Times New Roman" w:hAnsi="Times New Roman"/>
                <w:color w:val="auto"/>
                <w:kern w:val="21"/>
                <w:szCs w:val="18"/>
              </w:rPr>
              <w:t>g/m</w:t>
            </w:r>
            <w:r>
              <w:rPr>
                <w:rFonts w:ascii="Times New Roman" w:hAnsi="Times New Roman"/>
                <w:color w:val="auto"/>
                <w:kern w:val="21"/>
                <w:szCs w:val="18"/>
                <w:vertAlign w:val="superscript"/>
              </w:rPr>
              <w:t>3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" w:hRule="atLeast"/>
          <w:jc w:val="center"/>
        </w:trPr>
        <w:tc>
          <w:tcPr>
            <w:tcW w:w="1509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rFonts w:hint="eastAsia"/>
                <w:kern w:val="21"/>
              </w:rPr>
              <w:t>户</w:t>
            </w:r>
            <w:r>
              <w:rPr>
                <w:kern w:val="21"/>
              </w:rPr>
              <w:t xml:space="preserve"> </w:t>
            </w:r>
            <w:r>
              <w:rPr>
                <w:rFonts w:hint="eastAsia"/>
                <w:kern w:val="21"/>
              </w:rPr>
              <w:t>外</w:t>
            </w:r>
          </w:p>
        </w:tc>
        <w:tc>
          <w:tcPr>
            <w:tcW w:w="871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kern w:val="21"/>
              </w:rPr>
              <w:t>C3</w:t>
            </w:r>
          </w:p>
        </w:tc>
        <w:tc>
          <w:tcPr>
            <w:tcW w:w="1684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rFonts w:ascii="Symbol" w:hAnsi="Symbol"/>
                <w:kern w:val="21"/>
              </w:rPr>
              <w:t></w:t>
            </w:r>
            <w:r>
              <w:rPr>
                <w:rFonts w:hint="eastAsia"/>
                <w:kern w:val="21"/>
              </w:rPr>
              <w:t>10～</w:t>
            </w:r>
            <w:r>
              <w:rPr>
                <w:kern w:val="21"/>
              </w:rPr>
              <w:t>+</w:t>
            </w:r>
            <w:r>
              <w:rPr>
                <w:rFonts w:hint="eastAsia"/>
                <w:kern w:val="21"/>
              </w:rPr>
              <w:t>50</w:t>
            </w:r>
          </w:p>
        </w:tc>
        <w:tc>
          <w:tcPr>
            <w:tcW w:w="1742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kern w:val="21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10%-100%</w:t>
            </w:r>
          </w:p>
        </w:tc>
        <w:tc>
          <w:tcPr>
            <w:tcW w:w="1632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kern w:val="21"/>
              </w:rPr>
              <w:t>35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509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rFonts w:hint="eastAsia"/>
                <w:kern w:val="21"/>
              </w:rPr>
              <w:t>协议特定</w:t>
            </w:r>
          </w:p>
        </w:tc>
        <w:tc>
          <w:tcPr>
            <w:tcW w:w="871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kern w:val="21"/>
              </w:rPr>
              <w:t>C</w:t>
            </w:r>
            <w:r>
              <w:rPr>
                <w:rFonts w:hint="eastAsia"/>
                <w:kern w:val="21"/>
              </w:rPr>
              <w:t>X</w:t>
            </w:r>
          </w:p>
        </w:tc>
        <w:tc>
          <w:tcPr>
            <w:tcW w:w="1684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  <w:r>
              <w:rPr>
                <w:rFonts w:hint="eastAsia"/>
                <w:kern w:val="21"/>
              </w:rPr>
              <w:t>/</w:t>
            </w:r>
          </w:p>
        </w:tc>
        <w:tc>
          <w:tcPr>
            <w:tcW w:w="1742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</w:p>
        </w:tc>
        <w:tc>
          <w:tcPr>
            <w:tcW w:w="1974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</w:p>
        </w:tc>
        <w:tc>
          <w:tcPr>
            <w:tcW w:w="1632" w:type="dxa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rPr>
                <w:kern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412" w:type="dxa"/>
            <w:gridSpan w:val="6"/>
            <w:vAlign w:val="center"/>
          </w:tcPr>
          <w:p>
            <w:pPr>
              <w:pStyle w:val="16"/>
              <w:topLinePunct/>
              <w:snapToGrid w:val="0"/>
              <w:spacing w:before="56" w:beforeLines="0" w:after="56"/>
              <w:jc w:val="both"/>
              <w:rPr>
                <w:kern w:val="21"/>
              </w:rPr>
            </w:pPr>
            <w:r>
              <w:rPr>
                <w:rFonts w:hint="eastAsia"/>
                <w:kern w:val="21"/>
              </w:rPr>
              <w:t xml:space="preserve">  a</w:t>
            </w:r>
            <w:r>
              <w:rPr>
                <w:kern w:val="21"/>
              </w:rPr>
              <w:t xml:space="preserve"> </w:t>
            </w:r>
            <w:r>
              <w:rPr>
                <w:rFonts w:hint="eastAsia"/>
                <w:kern w:val="21"/>
              </w:rPr>
              <w:t xml:space="preserve"> 温度变化率取</w:t>
            </w:r>
            <w:r>
              <w:rPr>
                <w:kern w:val="21"/>
              </w:rPr>
              <w:t>5min</w:t>
            </w:r>
            <w:r>
              <w:rPr>
                <w:rFonts w:hint="eastAsia"/>
                <w:kern w:val="21"/>
              </w:rPr>
              <w:t>时间内平均值。</w:t>
            </w:r>
            <w:r>
              <w:rPr>
                <w:kern w:val="21"/>
              </w:rPr>
              <w:br w:type="textWrapping"/>
            </w:r>
            <w:r>
              <w:rPr>
                <w:rFonts w:hint="eastAsia"/>
                <w:kern w:val="21"/>
              </w:rPr>
              <w:t xml:space="preserve">  </w:t>
            </w:r>
            <w:r>
              <w:rPr>
                <w:kern w:val="21"/>
              </w:rPr>
              <w:t>b</w:t>
            </w:r>
            <w:r>
              <w:rPr>
                <w:rFonts w:hint="eastAsia"/>
                <w:kern w:val="21"/>
              </w:rPr>
              <w:t xml:space="preserve">  相对湿度包括凝露。</w:t>
            </w:r>
          </w:p>
        </w:tc>
      </w:tr>
    </w:tbl>
    <w:p>
      <w:pPr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注：工作气候环境条件要求根据采购技术条件确定。</w:t>
      </w:r>
    </w:p>
    <w:p>
      <w:pPr>
        <w:keepNext/>
        <w:keepLines/>
        <w:wordWrap w:val="0"/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outlineLvl w:val="2"/>
        <w:rPr>
          <w:b/>
          <w:bCs/>
          <w:kern w:val="21"/>
        </w:rPr>
      </w:pPr>
      <w:bookmarkStart w:id="15" w:name="_Toc292656841"/>
      <w:bookmarkStart w:id="16" w:name="_Toc10622"/>
      <w:r>
        <w:rPr>
          <w:rFonts w:hint="eastAsia"/>
          <w:b/>
          <w:bCs/>
          <w:kern w:val="21"/>
        </w:rPr>
        <w:t>1.1.2 大</w:t>
      </w:r>
      <w:r>
        <w:rPr>
          <w:b/>
          <w:bCs/>
          <w:kern w:val="21"/>
        </w:rPr>
        <w:t>气压力</w:t>
      </w:r>
      <w:bookmarkEnd w:id="15"/>
      <w:bookmarkEnd w:id="16"/>
      <w:r>
        <w:rPr>
          <w:b/>
          <w:bCs/>
          <w:kern w:val="21"/>
        </w:rPr>
        <w:tab/>
      </w:r>
    </w:p>
    <w:p>
      <w:pPr>
        <w:ind w:firstLine="420" w:firstLineChars="200"/>
      </w:pPr>
      <w:r>
        <w:rPr>
          <w:rFonts w:hint="eastAsia"/>
        </w:rPr>
        <w:t>49.32kPa～108.0kPa（海拔4600m及以下），特殊要求除外。</w:t>
      </w:r>
    </w:p>
    <w:p>
      <w:pPr>
        <w:pStyle w:val="4"/>
        <w:tabs>
          <w:tab w:val="left" w:pos="5730"/>
        </w:tabs>
        <w:rPr>
          <w:rFonts w:hAnsi="Arial" w:eastAsia="宋体" w:cs="Arial"/>
          <w:kern w:val="0"/>
          <w:sz w:val="21"/>
          <w:szCs w:val="21"/>
        </w:rPr>
      </w:pPr>
      <w:bookmarkStart w:id="17" w:name="_Toc26932"/>
      <w:r>
        <w:rPr>
          <w:rFonts w:hint="eastAsia" w:ascii="黑体" w:hAnsi="黑体" w:eastAsia="黑体"/>
          <w:b/>
          <w:sz w:val="21"/>
          <w:szCs w:val="21"/>
        </w:rPr>
        <w:t>二</w:t>
      </w:r>
      <w:r>
        <w:rPr>
          <w:rFonts w:ascii="黑体" w:hAnsi="黑体" w:eastAsia="黑体"/>
          <w:b/>
          <w:sz w:val="21"/>
          <w:szCs w:val="21"/>
        </w:rPr>
        <w:t>、</w:t>
      </w:r>
      <w:r>
        <w:rPr>
          <w:rFonts w:hint="eastAsia" w:ascii="黑体" w:hAnsi="黑体" w:eastAsia="黑体"/>
          <w:b/>
          <w:sz w:val="21"/>
          <w:szCs w:val="21"/>
        </w:rPr>
        <w:t>设备详细</w:t>
      </w:r>
      <w:r>
        <w:rPr>
          <w:rFonts w:ascii="黑体" w:hAnsi="黑体" w:eastAsia="黑体"/>
          <w:b/>
          <w:sz w:val="21"/>
          <w:szCs w:val="21"/>
        </w:rPr>
        <w:t>技术要求</w:t>
      </w:r>
      <w:bookmarkEnd w:id="17"/>
      <w:r>
        <w:rPr>
          <w:rFonts w:ascii="黑体" w:hAnsi="黑体" w:eastAsia="黑体"/>
          <w:b/>
          <w:sz w:val="21"/>
          <w:szCs w:val="21"/>
        </w:rPr>
        <w:tab/>
      </w:r>
    </w:p>
    <w:p>
      <w:pPr>
        <w:jc w:val="center"/>
        <w:rPr>
          <w:szCs w:val="21"/>
        </w:rPr>
      </w:pPr>
      <w:bookmarkStart w:id="18" w:name="_Toc14529"/>
      <w:bookmarkStart w:id="19" w:name="OLE_LINK3"/>
      <w:bookmarkStart w:id="20" w:name="OLE_LINK2"/>
      <w:r>
        <w:rPr>
          <w:rFonts w:hint="eastAsia" w:ascii="宋体" w:hAnsi="宋体"/>
        </w:rPr>
        <w:t>表2</w:t>
      </w:r>
      <w:r>
        <w:rPr>
          <w:rFonts w:hint="eastAsia"/>
        </w:rPr>
        <w:t xml:space="preserve"> 供货需求及供货范围</w:t>
      </w:r>
      <w:bookmarkEnd w:id="18"/>
      <w:r>
        <w:rPr>
          <w:rFonts w:hint="eastAsia" w:ascii="宋体" w:hAnsi="宋体"/>
          <w:szCs w:val="21"/>
        </w:rPr>
        <w:t>表</w:t>
      </w:r>
    </w:p>
    <w:tbl>
      <w:tblPr>
        <w:tblStyle w:val="10"/>
        <w:tblW w:w="91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02"/>
        <w:gridCol w:w="982"/>
        <w:gridCol w:w="737"/>
        <w:gridCol w:w="1931"/>
        <w:gridCol w:w="1688"/>
        <w:gridCol w:w="1878"/>
        <w:gridCol w:w="15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atLeast"/>
          <w:tblHeader/>
          <w:jc w:val="center"/>
        </w:trPr>
        <w:tc>
          <w:tcPr>
            <w:tcW w:w="402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982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1931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项目要求型式、规格</w:t>
            </w:r>
          </w:p>
        </w:tc>
        <w:tc>
          <w:tcPr>
            <w:tcW w:w="1688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项目要求数量</w:t>
            </w:r>
          </w:p>
        </w:tc>
        <w:tc>
          <w:tcPr>
            <w:tcW w:w="1878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投标方保证型式、规格</w:t>
            </w:r>
          </w:p>
        </w:tc>
        <w:tc>
          <w:tcPr>
            <w:tcW w:w="1508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投标方保证数量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402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982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终端备用电池</w:t>
            </w:r>
          </w:p>
        </w:tc>
        <w:tc>
          <w:tcPr>
            <w:tcW w:w="737" w:type="dxa"/>
            <w:vAlign w:val="center"/>
          </w:tcPr>
          <w:p>
            <w:pPr>
              <w:ind w:firstLine="210" w:firstLineChars="10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只</w:t>
            </w:r>
          </w:p>
        </w:tc>
        <w:tc>
          <w:tcPr>
            <w:tcW w:w="1931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NI-MH  AAA700Ah</w:t>
            </w:r>
          </w:p>
          <w:p>
            <w:pPr>
              <w:pStyle w:val="2"/>
              <w:jc w:val="center"/>
              <w:rPr>
                <w:sz w:val="21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900</w:t>
            </w:r>
          </w:p>
        </w:tc>
        <w:tc>
          <w:tcPr>
            <w:tcW w:w="1878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</w:t>
            </w:r>
          </w:p>
        </w:tc>
        <w:tc>
          <w:tcPr>
            <w:tcW w:w="1508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</w:t>
            </w:r>
          </w:p>
        </w:tc>
      </w:tr>
      <w:bookmarkEnd w:id="19"/>
      <w:bookmarkEnd w:id="20"/>
    </w:tbl>
    <w:p>
      <w:pPr>
        <w:jc w:val="center"/>
        <w:rPr>
          <w:szCs w:val="21"/>
        </w:rPr>
      </w:pPr>
    </w:p>
    <w:p>
      <w:pPr>
        <w:pStyle w:val="2"/>
        <w:ind w:firstLine="0" w:firstLineChars="0"/>
      </w:pPr>
    </w:p>
    <w:p>
      <w:pPr>
        <w:pStyle w:val="4"/>
        <w:rPr>
          <w:rFonts w:hint="eastAsia" w:ascii="仿宋" w:hAnsi="仿宋" w:eastAsia="仿宋" w:cs="仿宋"/>
          <w:bCs/>
          <w:kern w:val="0"/>
          <w:szCs w:val="21"/>
        </w:rPr>
      </w:pPr>
      <w:bookmarkStart w:id="21" w:name="_Toc2393"/>
      <w:r>
        <w:rPr>
          <w:rFonts w:hint="eastAsia" w:ascii="黑体" w:hAnsi="黑体" w:eastAsia="黑体"/>
          <w:b/>
          <w:sz w:val="21"/>
          <w:szCs w:val="21"/>
        </w:rPr>
        <w:t>三</w:t>
      </w:r>
      <w:r>
        <w:rPr>
          <w:rFonts w:ascii="黑体" w:hAnsi="黑体" w:eastAsia="黑体"/>
          <w:b/>
          <w:sz w:val="21"/>
          <w:szCs w:val="21"/>
        </w:rPr>
        <w:t>、</w:t>
      </w:r>
      <w:r>
        <w:rPr>
          <w:rFonts w:hint="eastAsia" w:ascii="黑体" w:hAnsi="黑体" w:eastAsia="黑体"/>
          <w:b/>
          <w:sz w:val="21"/>
          <w:szCs w:val="21"/>
        </w:rPr>
        <w:t>投标方技术偏差</w:t>
      </w:r>
      <w:bookmarkEnd w:id="21"/>
    </w:p>
    <w:p>
      <w:pPr>
        <w:pStyle w:val="5"/>
        <w:spacing w:line="360" w:lineRule="auto"/>
      </w:pPr>
      <w:bookmarkStart w:id="22" w:name="_Toc32092"/>
      <w:r>
        <w:rPr>
          <w:rFonts w:hint="eastAsia"/>
        </w:rPr>
        <w:t>3.</w:t>
      </w:r>
      <w:r>
        <w:t>1</w:t>
      </w:r>
      <w:r>
        <w:rPr>
          <w:rFonts w:hint="eastAsia"/>
        </w:rPr>
        <w:t xml:space="preserve"> 投标方技术偏差</w:t>
      </w:r>
      <w:bookmarkEnd w:id="22"/>
    </w:p>
    <w:p>
      <w:pPr>
        <w:adjustRightInd w:val="0"/>
        <w:snapToGrid w:val="0"/>
        <w:spacing w:line="360" w:lineRule="auto"/>
        <w:ind w:firstLine="420" w:firstLineChars="200"/>
        <w:rPr>
          <w:rFonts w:hint="eastAsia" w:hAnsi="宋体"/>
          <w:szCs w:val="21"/>
        </w:rPr>
      </w:pPr>
      <w:r>
        <w:rPr>
          <w:rFonts w:hint="eastAsia"/>
          <w:szCs w:val="21"/>
        </w:rPr>
        <w:t>投标方应将所供设备与本招标书技术文件有差异之处，无论优于或劣于本招标书要求，均汇集成此表。当投标方应答（或响应）所供设备主要技术优于本招标书技术文件要求时，需同时提供国家认可实验室出具的检测报告等佐证材料，并在佐证材料中明确标明相应的检测结论、数据等内容。</w:t>
      </w:r>
    </w:p>
    <w:p>
      <w:pPr>
        <w:pStyle w:val="17"/>
        <w:spacing w:line="360" w:lineRule="auto"/>
        <w:ind w:firstLine="199" w:firstLineChars="95"/>
        <w:jc w:val="center"/>
        <w:rPr>
          <w:rFonts w:hint="eastAsia" w:hAnsi="宋体"/>
          <w:szCs w:val="21"/>
        </w:rPr>
      </w:pPr>
      <w:r>
        <w:rPr>
          <w:rFonts w:hint="eastAsia" w:hAnsi="宋体"/>
          <w:szCs w:val="21"/>
        </w:rPr>
        <w:t>表3 投标单位技术差异表</w:t>
      </w:r>
    </w:p>
    <w:tbl>
      <w:tblPr>
        <w:tblStyle w:val="10"/>
        <w:tblW w:w="92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87"/>
        <w:gridCol w:w="3003"/>
        <w:gridCol w:w="1393"/>
        <w:gridCol w:w="2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52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</w:t>
            </w:r>
          </w:p>
          <w:p>
            <w:pPr>
              <w:autoSpaceDE w:val="0"/>
              <w:autoSpaceDN w:val="0"/>
              <w:spacing w:before="4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号</w:t>
            </w: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招标文件条目</w:t>
            </w: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招标文件简要内容</w:t>
            </w: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投标文件条目</w:t>
            </w: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spacing w:before="4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投标文件简要内容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752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1287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</w:t>
            </w:r>
          </w:p>
        </w:tc>
        <w:tc>
          <w:tcPr>
            <w:tcW w:w="300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</w:t>
            </w:r>
          </w:p>
        </w:tc>
        <w:tc>
          <w:tcPr>
            <w:tcW w:w="1393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</w:t>
            </w:r>
          </w:p>
        </w:tc>
        <w:tc>
          <w:tcPr>
            <w:tcW w:w="2851" w:type="dxa"/>
            <w:vAlign w:val="center"/>
          </w:tcPr>
          <w:p>
            <w:pPr>
              <w:widowControl/>
              <w:autoSpaceDE w:val="0"/>
              <w:autoSpaceDN w:val="0"/>
              <w:jc w:val="center"/>
              <w:textAlignment w:val="bottom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</w:t>
            </w:r>
          </w:p>
        </w:tc>
      </w:tr>
    </w:tbl>
    <w:p>
      <w:pPr>
        <w:rPr>
          <w:szCs w:val="21"/>
        </w:rPr>
      </w:pPr>
    </w:p>
    <w:p>
      <w:pPr>
        <w:pStyle w:val="7"/>
        <w:adjustRightInd w:val="0"/>
        <w:snapToGrid w:val="0"/>
        <w:spacing w:before="156" w:beforeLines="50" w:line="360" w:lineRule="auto"/>
        <w:jc w:val="right"/>
      </w:pPr>
      <w:r>
        <w:rPr>
          <w:rFonts w:hint="eastAsia" w:hAnsi="宋体"/>
        </w:rPr>
        <w:t>投标方</w:t>
      </w:r>
      <w:r>
        <w:rPr>
          <w:rFonts w:hAnsi="宋体"/>
        </w:rPr>
        <w:t>：</w:t>
      </w:r>
      <w:r>
        <w:rPr>
          <w:rFonts w:hAnsi="宋体"/>
          <w:u w:val="single"/>
        </w:rPr>
        <w:t xml:space="preserve">             </w:t>
      </w:r>
      <w:r>
        <w:rPr>
          <w:rFonts w:hAnsi="宋体"/>
        </w:rPr>
        <w:t xml:space="preserve">   盖章：</w:t>
      </w:r>
    </w:p>
    <w:p>
      <w:pPr>
        <w:pStyle w:val="5"/>
        <w:spacing w:line="360" w:lineRule="auto"/>
      </w:pPr>
      <w:bookmarkStart w:id="23" w:name="_Toc10560"/>
      <w:r>
        <w:rPr>
          <w:rFonts w:hint="eastAsia"/>
        </w:rPr>
        <w:t>3.</w:t>
      </w:r>
      <w:r>
        <w:t>2</w:t>
      </w:r>
      <w:r>
        <w:rPr>
          <w:rFonts w:hint="eastAsia"/>
        </w:rPr>
        <w:t xml:space="preserve"> 投标方需说明的其他问题</w:t>
      </w:r>
      <w:bookmarkEnd w:id="23"/>
    </w:p>
    <w:p>
      <w:pPr>
        <w:adjustRightInd w:val="0"/>
        <w:snapToGrid w:val="0"/>
        <w:spacing w:line="360" w:lineRule="auto"/>
        <w:ind w:firstLine="420" w:firstLineChars="200"/>
        <w:rPr>
          <w:szCs w:val="21"/>
        </w:rPr>
      </w:pPr>
      <w:r>
        <w:rPr>
          <w:rFonts w:hint="eastAsia"/>
          <w:szCs w:val="21"/>
        </w:rPr>
        <w:t>如有需说明的其他问题，投标方应通过书面形式提交，并加盖公章。</w:t>
      </w:r>
    </w:p>
    <w:p>
      <w:pPr>
        <w:pStyle w:val="4"/>
        <w:rPr>
          <w:rFonts w:hint="eastAsia" w:ascii="黑体" w:hAnsi="黑体" w:eastAsia="黑体"/>
          <w:b/>
          <w:sz w:val="21"/>
          <w:szCs w:val="21"/>
        </w:rPr>
      </w:pPr>
      <w:bookmarkStart w:id="24" w:name="_Toc15867"/>
      <w:r>
        <w:rPr>
          <w:rFonts w:hint="eastAsia" w:ascii="黑体" w:hAnsi="黑体" w:eastAsia="黑体"/>
          <w:b/>
          <w:sz w:val="21"/>
          <w:szCs w:val="21"/>
        </w:rPr>
        <w:t>四</w:t>
      </w:r>
      <w:r>
        <w:rPr>
          <w:rFonts w:ascii="黑体" w:hAnsi="黑体" w:eastAsia="黑体"/>
          <w:b/>
          <w:sz w:val="21"/>
          <w:szCs w:val="21"/>
        </w:rPr>
        <w:t>、其他</w:t>
      </w:r>
      <w:bookmarkEnd w:id="24"/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>
      <w:pPr>
        <w:pStyle w:val="5"/>
        <w:tabs>
          <w:tab w:val="left" w:pos="0"/>
        </w:tabs>
        <w:topLinePunct w:val="0"/>
        <w:adjustRightInd w:val="0"/>
        <w:snapToGrid w:val="0"/>
        <w:spacing w:line="360" w:lineRule="auto"/>
        <w:rPr>
          <w:szCs w:val="22"/>
        </w:rPr>
      </w:pPr>
      <w:bookmarkStart w:id="25" w:name="_Toc26121"/>
      <w:r>
        <w:rPr>
          <w:rFonts w:hint="eastAsia" w:ascii="宋体" w:hAnsi="宋体" w:eastAsia="宋体"/>
        </w:rPr>
        <w:t>4.1保修要求</w:t>
      </w:r>
      <w:bookmarkEnd w:id="25"/>
    </w:p>
    <w:p>
      <w:pPr>
        <w:overflowPunct w:val="0"/>
        <w:topLinePunct/>
        <w:autoSpaceDE w:val="0"/>
        <w:autoSpaceDN w:val="0"/>
        <w:adjustRightInd w:val="0"/>
        <w:spacing w:line="360" w:lineRule="auto"/>
        <w:ind w:firstLine="420" w:firstLineChars="200"/>
        <w:jc w:val="left"/>
        <w:textAlignment w:val="baseline"/>
        <w:rPr>
          <w:rFonts w:hAnsi="Arial" w:cs="Arial"/>
          <w:kern w:val="0"/>
          <w:szCs w:val="21"/>
        </w:rPr>
      </w:pPr>
      <w:r>
        <w:rPr>
          <w:rFonts w:hint="eastAsia" w:hAnsi="Arial" w:cs="Arial"/>
          <w:kern w:val="0"/>
          <w:szCs w:val="21"/>
        </w:rPr>
        <w:t>产品从验收合格之日起，如招标方按“使用说明书”的规定进行运输、保管、安装和使用，当该批次产品一年内的累计故障率≥3%、两年内的累计故障率≥5%时（从验收合格之日算起），则应整批免费更换。</w:t>
      </w:r>
    </w:p>
    <w:p>
      <w:pPr>
        <w:rPr>
          <w:rFonts w:hint="eastAsia" w:ascii="宋体" w:hAnsi="宋体"/>
          <w:szCs w:val="21"/>
        </w:rPr>
      </w:pPr>
    </w:p>
    <w:p>
      <w:pPr>
        <w:pStyle w:val="5"/>
        <w:tabs>
          <w:tab w:val="left" w:pos="0"/>
        </w:tabs>
        <w:topLinePunct w:val="0"/>
        <w:adjustRightInd w:val="0"/>
        <w:snapToGrid w:val="0"/>
        <w:spacing w:line="360" w:lineRule="auto"/>
        <w:rPr>
          <w:rFonts w:hint="eastAsia" w:ascii="宋体" w:hAnsi="宋体" w:eastAsia="宋体"/>
        </w:rPr>
      </w:pPr>
      <w:bookmarkStart w:id="26" w:name="_Toc27852"/>
      <w:r>
        <w:rPr>
          <w:rFonts w:hint="eastAsia" w:ascii="宋体" w:hAnsi="宋体" w:eastAsia="宋体"/>
        </w:rPr>
        <w:t>4.2 需随设备提供的资料</w:t>
      </w:r>
      <w:bookmarkEnd w:id="26"/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投标方应免费随每批电池提供给招标方下述资料：</w:t>
      </w:r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——电池的安装使用说明书（每只）1份；说明书应包括设备的型号、尺寸、功耗、技术特点和性能参数清单；</w:t>
      </w:r>
    </w:p>
    <w:p>
      <w:pPr>
        <w:pStyle w:val="2"/>
        <w:rPr>
          <w:rFonts w:hint="eastAsia" w:ascii="宋体" w:hAnsi="宋体"/>
          <w:szCs w:val="21"/>
        </w:rPr>
      </w:pPr>
    </w:p>
    <w:p>
      <w:pPr>
        <w:pStyle w:val="2"/>
        <w:rPr>
          <w:rFonts w:hint="eastAsia" w:ascii="宋体" w:hAnsi="宋体"/>
          <w:szCs w:val="21"/>
        </w:rPr>
      </w:pPr>
    </w:p>
    <w:p>
      <w:pPr>
        <w:pStyle w:val="2"/>
        <w:rPr>
          <w:rFonts w:hint="eastAsia" w:ascii="宋体" w:hAnsi="宋体"/>
          <w:szCs w:val="21"/>
        </w:rPr>
      </w:pPr>
    </w:p>
    <w:p>
      <w:pPr>
        <w:pStyle w:val="17"/>
        <w:spacing w:after="72" w:line="360" w:lineRule="auto"/>
        <w:ind w:firstLineChars="200"/>
        <w:rPr>
          <w:rFonts w:hint="default" w:eastAsia="宋体" w:cs="宋体"/>
          <w:sz w:val="21"/>
          <w:lang w:val="en-US" w:eastAsia="zh-CN"/>
        </w:rPr>
      </w:pPr>
      <w:r>
        <w:rPr>
          <w:rFonts w:hint="eastAsia" w:eastAsia="宋体" w:cs="宋体"/>
          <w:sz w:val="21"/>
          <w:lang w:val="en-US" w:eastAsia="zh-CN"/>
        </w:rPr>
        <w:t>项目联系人谢晖13877799009</w:t>
      </w:r>
    </w:p>
    <w:p>
      <w:pPr>
        <w:pStyle w:val="2"/>
        <w:rPr>
          <w:rFonts w:hint="eastAsia" w:ascii="宋体" w:hAnsi="宋体"/>
          <w:szCs w:val="21"/>
        </w:rPr>
      </w:pPr>
      <w:bookmarkStart w:id="27" w:name="_GoBack"/>
      <w:bookmarkEnd w:id="27"/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rFonts w:hint="eastAsia"/>
      </w:rPr>
      <w:t>广西电网有限责任公司终端备用电池-技术规范书（专用部分）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Q5N2FkYWQzOTBmNjg0Y2YzOWVkNzRmNDM3YmMzZjIifQ=="/>
  </w:docVars>
  <w:rsids>
    <w:rsidRoot w:val="5C3F6EFD"/>
    <w:rsid w:val="000670F0"/>
    <w:rsid w:val="000A7D1E"/>
    <w:rsid w:val="00131E7D"/>
    <w:rsid w:val="005335B2"/>
    <w:rsid w:val="00665D8C"/>
    <w:rsid w:val="006C2715"/>
    <w:rsid w:val="00A25352"/>
    <w:rsid w:val="00AB3CDA"/>
    <w:rsid w:val="00B53A4F"/>
    <w:rsid w:val="00CD71FA"/>
    <w:rsid w:val="00DD57EE"/>
    <w:rsid w:val="00E770C0"/>
    <w:rsid w:val="00F7185E"/>
    <w:rsid w:val="00FE1B97"/>
    <w:rsid w:val="03B66764"/>
    <w:rsid w:val="053E36CA"/>
    <w:rsid w:val="080D7D10"/>
    <w:rsid w:val="11CC1863"/>
    <w:rsid w:val="13427F33"/>
    <w:rsid w:val="15FC4513"/>
    <w:rsid w:val="16EB2E72"/>
    <w:rsid w:val="24167548"/>
    <w:rsid w:val="269D76CE"/>
    <w:rsid w:val="2D9606DD"/>
    <w:rsid w:val="3CEC2367"/>
    <w:rsid w:val="4A6F340E"/>
    <w:rsid w:val="5C3F6EFD"/>
    <w:rsid w:val="6EF577A9"/>
    <w:rsid w:val="7FCD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topLinePunct/>
      <w:spacing w:line="480" w:lineRule="auto"/>
      <w:textAlignment w:val="baseline"/>
      <w:outlineLvl w:val="0"/>
    </w:pPr>
    <w:rPr>
      <w:rFonts w:eastAsia="汉仪大宋简"/>
      <w:kern w:val="44"/>
      <w:sz w:val="22"/>
      <w:szCs w:val="22"/>
    </w:rPr>
  </w:style>
  <w:style w:type="paragraph" w:styleId="5">
    <w:name w:val="heading 2"/>
    <w:basedOn w:val="1"/>
    <w:next w:val="1"/>
    <w:qFormat/>
    <w:uiPriority w:val="0"/>
    <w:pPr>
      <w:keepNext/>
      <w:keepLines/>
      <w:topLinePunct/>
      <w:outlineLvl w:val="1"/>
    </w:pPr>
    <w:rPr>
      <w:rFonts w:eastAsia="黑体"/>
      <w:bCs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ind w:firstLine="425"/>
    </w:pPr>
    <w:rPr>
      <w:rFonts w:ascii="宋体"/>
      <w:sz w:val="24"/>
    </w:r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2">
    <w:name w:val="page number"/>
    <w:basedOn w:val="11"/>
    <w:qFormat/>
    <w:uiPriority w:val="0"/>
  </w:style>
  <w:style w:type="paragraph" w:customStyle="1" w:styleId="13">
    <w:name w:val="_标准条文"/>
    <w:basedOn w:val="1"/>
    <w:qFormat/>
    <w:uiPriority w:val="0"/>
    <w:pPr>
      <w:overflowPunct w:val="0"/>
      <w:snapToGrid w:val="0"/>
      <w:spacing w:line="276" w:lineRule="auto"/>
      <w:ind w:firstLine="420" w:firstLineChars="200"/>
    </w:pPr>
    <w:rPr>
      <w:rFonts w:ascii="Arial" w:hAnsi="Arial" w:eastAsiaTheme="minorEastAsia" w:cstheme="minorBidi"/>
      <w:szCs w:val="22"/>
    </w:rPr>
  </w:style>
  <w:style w:type="paragraph" w:customStyle="1" w:styleId="14">
    <w:name w:val="表头"/>
    <w:basedOn w:val="1"/>
    <w:qFormat/>
    <w:uiPriority w:val="0"/>
    <w:pPr>
      <w:tabs>
        <w:tab w:val="center" w:pos="4678"/>
        <w:tab w:val="right" w:pos="9072"/>
      </w:tabs>
      <w:topLinePunct/>
      <w:spacing w:before="160" w:after="60" w:line="312" w:lineRule="exact"/>
    </w:pPr>
    <w:rPr>
      <w:rFonts w:eastAsia="黑体"/>
      <w:szCs w:val="20"/>
    </w:rPr>
  </w:style>
  <w:style w:type="paragraph" w:customStyle="1" w:styleId="15">
    <w:name w:val="_表格条文"/>
    <w:basedOn w:val="1"/>
    <w:qFormat/>
    <w:uiPriority w:val="0"/>
    <w:pPr>
      <w:spacing w:line="276" w:lineRule="auto"/>
    </w:pPr>
    <w:rPr>
      <w:rFonts w:ascii="Arial" w:hAnsi="Arial"/>
      <w:color w:val="000000"/>
      <w:sz w:val="18"/>
      <w:szCs w:val="21"/>
    </w:rPr>
  </w:style>
  <w:style w:type="paragraph" w:customStyle="1" w:styleId="16">
    <w:name w:val="样式 正文缩进 + 居中"/>
    <w:basedOn w:val="6"/>
    <w:qFormat/>
    <w:uiPriority w:val="0"/>
    <w:pPr>
      <w:widowControl/>
      <w:spacing w:beforeLines="10"/>
      <w:ind w:firstLine="0" w:firstLineChars="0"/>
      <w:jc w:val="center"/>
    </w:pPr>
    <w:rPr>
      <w:rFonts w:ascii="Calibri" w:hAnsi="Calibri" w:cs="宋体"/>
      <w:sz w:val="18"/>
      <w:szCs w:val="18"/>
    </w:rPr>
  </w:style>
  <w:style w:type="paragraph" w:customStyle="1" w:styleId="17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8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447</Words>
  <Characters>497</Characters>
  <Lines>99</Lines>
  <Paragraphs>117</Paragraphs>
  <TotalTime>0</TotalTime>
  <ScaleCrop>false</ScaleCrop>
  <LinksUpToDate>false</LinksUpToDate>
  <CharactersWithSpaces>827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2024-03-11T08:51:00Z</dcterms:created>
  <dc:creator>王世强</dc:creator>
  <cp:lastModifiedBy>陆晓燕</cp:lastModifiedBy>
  <dcterms:modified xsi:type="dcterms:W3CDTF">2026-02-24T00:57:50Z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C68DB67A682B4656A32282B5BF79A1E6</vt:lpwstr>
  </property>
  <property fmtid="{D5CDD505-2E9C-101B-9397-08002B2CF9AE}" pid="4" name="KSOTemplateDocerSaveRecord">
    <vt:lpwstr>eyJoZGlkIjoiNTY4ZjJkYzFjNWI2MDcyZjFhMjIxOGUwZjkyMTJkNTUiLCJ1c2VySWQiOiI1NDAwMjAwNDQifQ==</vt:lpwstr>
  </property>
</Properties>
</file>