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/>
        <w:jc w:val="center"/>
        <w:textAlignment w:val="auto"/>
        <w:outlineLvl w:val="9"/>
        <w:rPr>
          <w:rFonts w:hint="default" w:ascii="Times New Roman Regular" w:hAnsi="Times New Roman Regular" w:eastAsia="宋体" w:cs="Times New Roman Regular"/>
          <w:b/>
          <w:kern w:val="2"/>
          <w:sz w:val="36"/>
          <w:szCs w:val="20"/>
          <w:highlight w:val="none"/>
          <w:lang w:val="en-US" w:eastAsia="zh-CN" w:bidi="ar-SA"/>
        </w:rPr>
        <w:sectPr>
          <w:headerReference r:id="rId6" w:type="first"/>
          <w:footerReference r:id="rId9" w:type="first"/>
          <w:footerReference r:id="rId7" w:type="default"/>
          <w:headerReference r:id="rId5" w:type="even"/>
          <w:footerReference r:id="rId8" w:type="even"/>
          <w:pgSz w:w="11906" w:h="16838"/>
          <w:pgMar w:top="1418" w:right="1134" w:bottom="1418" w:left="1588" w:header="851" w:footer="992" w:gutter="0"/>
          <w:cols w:space="425" w:num="1"/>
          <w:docGrid w:type="lines" w:linePitch="312" w:charSpace="0"/>
        </w:sectPr>
      </w:pPr>
      <w:bookmarkStart w:id="0" w:name="_Toc2749"/>
      <w:bookmarkStart w:id="1" w:name="_Toc23835"/>
      <w:bookmarkStart w:id="2" w:name="hp_TitlePage"/>
      <w:r>
        <w:rPr>
          <w:rFonts w:hint="default" w:ascii="Times New Roman Regular" w:hAnsi="Times New Roman Regular" w:cs="Times New Roman Regular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2401570</wp:posOffset>
                </wp:positionV>
                <wp:extent cx="6024880" cy="3062605"/>
                <wp:effectExtent l="0" t="0" r="13970" b="444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04850" y="3610610"/>
                          <a:ext cx="6024880" cy="306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firstLine="0" w:firstLineChars="0"/>
                              <w:jc w:val="center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海南电力产业发展有限责任公司2025年建设自主可控电力专用UPS生产线设备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firstLine="0" w:firstLineChars="0"/>
                              <w:jc w:val="center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采购专项公开询比项目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firstLine="0" w:firstLineChars="0"/>
                              <w:jc w:val="center"/>
                              <w:textAlignment w:val="auto"/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sz w:val="52"/>
                                <w:szCs w:val="52"/>
                                <w:highlight w:val="none"/>
                              </w:rPr>
                              <w:t>技术规范书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9pt;margin-top:189.1pt;height:241.15pt;width:474.4pt;z-index:251662336;mso-width-relative:page;mso-height-relative:page;" fillcolor="#FFFFFF [3201]" filled="t" stroked="f" coordsize="21600,21600" o:gfxdata="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aI36o1gAA&#10;AAoBAAAPAAAAAAAAAAEAIAAAACIAAABkcnMvZG93bnJldi54bWxQSwECFAAUAAAACACHTuJAoSIz&#10;KlkCAACbBAAADgAAAAAAAAABACAAAAAl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firstLine="0" w:firstLineChars="0"/>
                        <w:jc w:val="center"/>
                        <w:textAlignment w:val="auto"/>
                        <w:rPr>
                          <w:rFonts w:hint="eastAsia" w:ascii="黑体" w:hAnsi="黑体" w:eastAsia="黑体" w:cs="黑体"/>
                          <w:b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海南电力产业发展有限责任公司2025年建设自主可控电力专用UPS生产线设备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firstLine="0" w:firstLineChars="0"/>
                        <w:jc w:val="center"/>
                        <w:textAlignment w:val="auto"/>
                        <w:rPr>
                          <w:rFonts w:hint="eastAsia" w:ascii="黑体" w:hAnsi="黑体" w:eastAsia="黑体" w:cs="黑体"/>
                          <w:b/>
                          <w:sz w:val="52"/>
                          <w:szCs w:val="5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采购专项公开询比项目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firstLine="0" w:firstLineChars="0"/>
                        <w:jc w:val="center"/>
                        <w:textAlignment w:val="auto"/>
                      </w:pPr>
                      <w:r>
                        <w:rPr>
                          <w:rFonts w:hint="eastAsia" w:ascii="黑体" w:hAnsi="黑体" w:eastAsia="黑体" w:cs="黑体"/>
                          <w:b/>
                          <w:sz w:val="52"/>
                          <w:szCs w:val="52"/>
                          <w:highlight w:val="none"/>
                        </w:rPr>
                        <w:t>技术规范书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 Regular" w:hAnsi="Times New Roman Regular" w:cs="Times New Roman Regular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7626350</wp:posOffset>
                </wp:positionV>
                <wp:extent cx="5793740" cy="914400"/>
                <wp:effectExtent l="6350" t="6350" r="16510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32305" y="8765540"/>
                          <a:ext cx="579374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firstLine="0" w:firstLineChars="0"/>
                              <w:jc w:val="center"/>
                              <w:textAlignment w:val="auto"/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</w:rPr>
                              <w:t>海南电力产业发展有限责任公司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left="0" w:leftChars="0" w:firstLine="0" w:firstLineChars="0"/>
                              <w:jc w:val="center"/>
                              <w:textAlignment w:val="auto"/>
                            </w:pP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</w:rPr>
                              <w:t>202</w:t>
                            </w: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</w:rP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1pt;margin-top:600.5pt;height:72pt;width:456.2pt;z-index:251661312;mso-width-relative:page;mso-height-relative:page;" fillcolor="#FFFFFF [3201]" filled="t" stroked="t" coordsize="21600,21600" o:gfxdata="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PC5wpDbAAAADAEAAA8AAAAAAAAAAQAgAAAAIgAAAGRycy9kb3ducmV2&#10;LnhtbFBLAQIUABQAAAAIAIdO4kB22JDNawIAAOEEAAAOAAAAAAAAAAEAIAAAACoBAABkcnMvZTJv&#10;RG9jLnhtbFBLBQYAAAAABgAGAFkBAAAHBgAAAAA=&#10;">
                <v:fill on="t" focussize="0,0"/>
                <v:stroke weight="0.5pt" color="#000000 [3204]" opacity="0f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firstLine="0" w:firstLineChars="0"/>
                        <w:jc w:val="center"/>
                        <w:textAlignment w:val="auto"/>
                        <w:rPr>
                          <w:rFonts w:hint="eastAsia" w:ascii="黑体" w:hAnsi="黑体" w:eastAsia="黑体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</w:rPr>
                        <w:t>海南电力产业发展有限责任公司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left="0" w:leftChars="0" w:firstLine="0" w:firstLineChars="0"/>
                        <w:jc w:val="center"/>
                        <w:textAlignment w:val="auto"/>
                      </w:pP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</w:rPr>
                        <w:t>202</w:t>
                      </w: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  <w:lang w:val="en-US" w:eastAsia="zh-CN"/>
                        </w:rPr>
                        <w:t>10</w:t>
                      </w: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 Regular" w:hAnsi="Times New Roman Regular" w:cs="Times New Roman Regular"/>
          <w:color w:val="000000"/>
          <w:highlight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-3810</wp:posOffset>
            </wp:positionV>
            <wp:extent cx="3219450" cy="685800"/>
            <wp:effectExtent l="0" t="0" r="1143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 Regular" w:hAnsi="Times New Roman Regular" w:cs="Times New Roman Regular"/>
          <w:color w:val="000000"/>
          <w:highlight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-1026160</wp:posOffset>
            </wp:positionH>
            <wp:positionV relativeFrom="paragraph">
              <wp:posOffset>-899160</wp:posOffset>
            </wp:positionV>
            <wp:extent cx="7574280" cy="2670810"/>
            <wp:effectExtent l="0" t="0" r="20320" b="2159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7428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bookmarkEnd w:id="1"/>
    </w:p>
    <w:bookmarkEnd w:id="2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</w:pPr>
      <w:r>
        <w:rPr>
          <w:rFonts w:hint="default" w:ascii="Times New Roman Regular" w:hAnsi="Times New Roman Regular" w:cs="Times New Roman Regular"/>
          <w:highlight w:val="none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  <w:t>本项目为完成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自主可控</w:t>
      </w:r>
      <w:r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  <w:t>电力专用UPS生产线建设，对应招采所需生产、检测设备。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jc w:val="both"/>
        <w:textAlignment w:val="auto"/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</w:pPr>
      <w:r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  <w:t>在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自主可控</w:t>
      </w:r>
      <w:r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  <w:t>电力专用UPS方向，海南电力产业发展有限责任公司已经完成了专利布局，取得了初步的科研转化业绩。为进一步形成科技成果转化收益，公司拟建设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自主可控</w:t>
      </w:r>
      <w:r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  <w:t>电力专用UPS生产线，需采购耐压绝缘测试仪（用于检测电气设备绝缘强度）、接地阻抗测试仪（用于测量接地装置接地阻抗、接地电阻等参数）、信号控制切换单元（用于实现信号切换功能）、测试机柜、治具、工控机、显示器、上位机软件、工装板（装配）、上下回板升降机、夹抱机（组装至前测平移）、</w:t>
      </w:r>
      <w:r>
        <w:rPr>
          <w:rFonts w:hint="eastAsia" w:ascii="Times New Roman Regular" w:hAnsi="Times New Roman Regular" w:eastAsia="宋体" w:cs="Times New Roman Regular"/>
          <w:highlight w:val="none"/>
          <w:lang w:val="en-US" w:eastAsia="zh-CN"/>
        </w:rPr>
        <w:t>整机装配生产线（包含电控系统）</w:t>
      </w:r>
      <w:r>
        <w:rPr>
          <w:rFonts w:hint="default" w:ascii="Times New Roman Regular" w:hAnsi="Times New Roman Regular" w:eastAsia="宋体" w:cs="Times New Roman Regular"/>
          <w:highlight w:val="none"/>
          <w:lang w:val="en-US" w:eastAsia="zh-CN"/>
        </w:rPr>
        <w:t>等生产、检测设备，构建装置的生产、检测基础，助力公司快速提升经营指标，扩大研发及落地能力，激发科技创新动能，提升自主创新能力，实现高质量发展。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lang w:val="en-US" w:eastAsia="zh-CN"/>
        </w:rPr>
        <w:t>采购货物一览表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 Regular" w:hAnsi="Times New Roman Regular" w:cs="Times New Roman Regular"/>
          <w:lang w:eastAsia="zh-CN"/>
        </w:rPr>
      </w:pPr>
      <w:bookmarkStart w:id="3" w:name="_Toc6701"/>
      <w:r>
        <w:rPr>
          <w:rFonts w:hint="eastAsia" w:ascii="Times New Roman Regular" w:hAnsi="Times New Roman Regular" w:cs="Times New Roman Regular"/>
          <w:lang w:eastAsia="zh-CN"/>
        </w:rPr>
        <w:t>供应商</w:t>
      </w:r>
      <w:r>
        <w:rPr>
          <w:rFonts w:hint="default" w:ascii="Times New Roman Regular" w:hAnsi="Times New Roman Regular" w:cs="Times New Roman Regular"/>
          <w:lang w:eastAsia="zh-CN"/>
        </w:rPr>
        <w:t>提供的具体设备、数量</w:t>
      </w:r>
      <w:r>
        <w:rPr>
          <w:rFonts w:hint="default" w:ascii="Times New Roman Regular" w:hAnsi="Times New Roman Regular" w:cs="Times New Roman Regular"/>
          <w:lang w:val="en-US" w:eastAsia="zh-CN"/>
        </w:rPr>
        <w:t>如下表所示：</w:t>
      </w:r>
    </w:p>
    <w:tbl>
      <w:tblPr>
        <w:tblStyle w:val="2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350"/>
        <w:gridCol w:w="3994"/>
        <w:gridCol w:w="1143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13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99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11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vertAlign w:val="baseline"/>
                <w:lang w:val="en-US" w:eastAsia="zh-CN"/>
              </w:rPr>
              <w:t>单位</w:t>
            </w:r>
          </w:p>
        </w:tc>
        <w:tc>
          <w:tcPr>
            <w:tcW w:w="11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4" w:name="OLE_LINK1" w:colFirst="2" w:colLast="2"/>
            <w:bookmarkStart w:id="5" w:name="OLE_LINK3" w:colFirst="4" w:colLast="4"/>
            <w:bookmarkStart w:id="6" w:name="OLE_LINK2" w:colFirst="3" w:colLast="3"/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仪器设备</w:t>
            </w: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耐压绝缘测试仪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接地阻抗测试仪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信号控制切换单元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7" w:name="_Toc26095"/>
            <w:bookmarkStart w:id="8" w:name="_Toc21438"/>
            <w:bookmarkStart w:id="9" w:name="_Toc7240"/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测试机柜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治具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工控机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上位机软件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工装板（装配）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上下回板升降机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夹抱机（组装至前测平移）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9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整机装配生产线（包含电控系统）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bookmarkEnd w:id="4"/>
      <w:bookmarkEnd w:id="5"/>
      <w:bookmarkEnd w:id="6"/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b/>
          <w:szCs w:val="21"/>
          <w:highlight w:val="none"/>
        </w:rPr>
        <w:t>依据的技术标准与规范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</w:rPr>
        <w:t>产品应符合相关国家标准、行业标准和技术规范，且采用的标准和技术规范应为最新版本。本协议所使用的标准如与</w:t>
      </w:r>
      <w:r>
        <w:rPr>
          <w:rFonts w:hint="eastAsia" w:ascii="Times New Roman Regular" w:hAnsi="Times New Roman Regular" w:cs="Times New Roman Regular"/>
          <w:lang w:eastAsia="zh-CN"/>
        </w:rPr>
        <w:t>供应商</w:t>
      </w:r>
      <w:r>
        <w:rPr>
          <w:rFonts w:hint="default" w:ascii="Times New Roman Regular" w:hAnsi="Times New Roman Regular" w:cs="Times New Roman Regular"/>
        </w:rPr>
        <w:t>所执行的标准发生矛盾时，按较高标准执行，此外还应遵守其他应遵守的国家规范（现行版本）的相关条款。</w:t>
      </w:r>
    </w:p>
    <w:tbl>
      <w:tblPr>
        <w:tblStyle w:val="25"/>
        <w:tblW w:w="827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871"/>
        <w:gridCol w:w="550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lang w:val="en-US" w:eastAsia="zh-CN"/>
              </w:rPr>
              <w:t>序号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lang w:val="en-US" w:eastAsia="zh-CN"/>
              </w:rPr>
              <w:t>标准号</w:t>
            </w:r>
          </w:p>
        </w:tc>
        <w:tc>
          <w:tcPr>
            <w:tcW w:w="550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b/>
                <w:bCs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lang w:val="en-US" w:eastAsia="zh-CN"/>
              </w:rPr>
              <w:t>标准名称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1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GB2423</w:t>
            </w:r>
          </w:p>
        </w:tc>
        <w:tc>
          <w:tcPr>
            <w:tcW w:w="550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电工电子产品基本环境试验规程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DL 5027-93</w:t>
            </w:r>
          </w:p>
        </w:tc>
        <w:tc>
          <w:tcPr>
            <w:tcW w:w="550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电力设备典型消防规程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3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</w:rPr>
              <w:t>GB/T 4208-2017</w:t>
            </w:r>
          </w:p>
        </w:tc>
        <w:tc>
          <w:tcPr>
            <w:tcW w:w="550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</w:rPr>
              <w:t>外壳防护等级（IP代码）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4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GB/T 17626.1-2006</w:t>
            </w:r>
          </w:p>
        </w:tc>
        <w:tc>
          <w:tcPr>
            <w:tcW w:w="550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电磁兼容 试验和测量技术 抗扰度试验总论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5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GB/T 17626.2-2006</w:t>
            </w:r>
          </w:p>
        </w:tc>
        <w:tc>
          <w:tcPr>
            <w:tcW w:w="5501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电磁兼容 试验和测量技术 静电放电抗扰度试验</w:t>
            </w:r>
          </w:p>
        </w:tc>
      </w:tr>
      <w:bookmarkEnd w:id="7"/>
      <w:bookmarkEnd w:id="8"/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  <w:lang w:val="en-US" w:eastAsia="zh-CN"/>
        </w:rPr>
        <w:t>主要技术</w:t>
      </w:r>
      <w:r>
        <w:rPr>
          <w:rFonts w:hint="default" w:ascii="Times New Roman Regular" w:hAnsi="Times New Roman Regular" w:cs="Times New Roman Regular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  <w:lang w:eastAsia="zh-CN"/>
        </w:rPr>
        <w:t>供应商</w:t>
      </w:r>
      <w:r>
        <w:rPr>
          <w:rFonts w:hint="default" w:ascii="Times New Roman Regular" w:hAnsi="Times New Roman Regular" w:cs="Times New Roman Regular"/>
        </w:rPr>
        <w:t>应</w:t>
      </w:r>
      <w:r>
        <w:rPr>
          <w:rFonts w:hint="default" w:ascii="Times New Roman Regular" w:hAnsi="Times New Roman Regular" w:cs="Times New Roman Regular"/>
          <w:lang w:val="en-US" w:eastAsia="zh-CN"/>
        </w:rPr>
        <w:t>完全满足配置</w:t>
      </w:r>
      <w:r>
        <w:rPr>
          <w:rFonts w:hint="default" w:ascii="Times New Roman Regular" w:hAnsi="Times New Roman Regular" w:cs="Times New Roman Regular"/>
        </w:rPr>
        <w:t>参数表中要求值。如有差异，请填写</w:t>
      </w:r>
      <w:r>
        <w:rPr>
          <w:rFonts w:hint="default" w:ascii="Times New Roman Regular" w:hAnsi="Times New Roman Regular" w:cs="Times New Roman Regular"/>
          <w:lang w:val="en-US" w:eastAsia="zh-CN"/>
        </w:rPr>
        <w:t>附表</w:t>
      </w:r>
      <w:r>
        <w:rPr>
          <w:rFonts w:hint="default" w:ascii="Times New Roman Regular" w:hAnsi="Times New Roman Regular" w:cs="Times New Roman Regular"/>
          <w:lang w:eastAsia="zh-CN"/>
        </w:rPr>
        <w:t>《</w:t>
      </w:r>
      <w:r>
        <w:rPr>
          <w:rFonts w:hint="eastAsia" w:ascii="Times New Roman Regular" w:hAnsi="Times New Roman Regular" w:cs="Times New Roman Regular"/>
          <w:lang w:val="en-US" w:eastAsia="zh-CN"/>
        </w:rPr>
        <w:t>供应商</w:t>
      </w:r>
      <w:r>
        <w:rPr>
          <w:rFonts w:hint="default" w:ascii="Times New Roman Regular" w:hAnsi="Times New Roman Regular" w:cs="Times New Roman Regular"/>
        </w:rPr>
        <w:t>技术偏差表</w:t>
      </w:r>
      <w:r>
        <w:rPr>
          <w:rFonts w:hint="default" w:ascii="Times New Roman Regular" w:hAnsi="Times New Roman Regular" w:cs="Times New Roman Regular"/>
          <w:lang w:eastAsia="zh-CN"/>
        </w:rPr>
        <w:t>》</w:t>
      </w:r>
      <w:r>
        <w:rPr>
          <w:rFonts w:hint="default" w:ascii="Times New Roman Regular" w:hAnsi="Times New Roman Regular" w:cs="Times New Roman Regular"/>
        </w:rPr>
        <w:t>。</w:t>
      </w:r>
    </w:p>
    <w:tbl>
      <w:tblPr>
        <w:tblStyle w:val="26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698"/>
        <w:gridCol w:w="4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b/>
                <w:bCs/>
                <w:lang w:val="en-US" w:eastAsia="zh-CN"/>
              </w:rPr>
              <w:t>序号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b/>
                <w:bCs/>
                <w:lang w:val="en-US" w:eastAsia="zh-CN"/>
              </w:rPr>
              <w:t>内容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b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b/>
                <w:bCs/>
                <w:lang w:val="en-US" w:eastAsia="zh-CN"/>
              </w:rPr>
              <w:t>主要技术参数和功能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lang w:val="en-US" w:eastAsia="zh-CN"/>
              </w:rPr>
              <w:t>1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耐压绝缘测试仪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基本规格：5kV/0-10mA；DC：6kV/0-5mA；绝缘电阻0.1MΩ-10GΩ/4通道扫面测试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通讯方式：RS232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highlight w:val="none"/>
                <w:lang w:val="en-US" w:eastAsia="zh-CN"/>
              </w:rPr>
              <w:t>2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接地阻抗测试仪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基本规格：电流：DC3-40A ，电阻0-600mΩ，时间0-999.9s/单通道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通讯方式：RS232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lang w:val="en-US" w:eastAsia="zh-CN"/>
              </w:rPr>
              <w:t>3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信号控制切换单元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基本规格：控制输出信号DO、AO，输入信号DI、AI等，继电器板卡，接触器，控制卡等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lang w:val="en-US" w:eastAsia="zh-CN"/>
              </w:rPr>
              <w:t>4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测试机柜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基本规格：42U，600*950*2100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5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治具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基本规格：用于固定待测产品电源与快速转接测试；主要包括电木箱，转接端子、中间继电器、接触器、接口转接，安全防护等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highlight w:val="none"/>
                <w:lang w:val="en-US" w:eastAsia="zh-CN"/>
              </w:rPr>
              <w:t>6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工控机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多通道模拟 / 数字量实时采集处理，数据运算存储转发一体化，满足工业高精度控制；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强实时性，支持多类工业控制，适配自动化场景；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宽温宽压、工业级防护，恶劣环境稳定工作。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7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基本规格：21寸，1080P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8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上位机软件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测试系统的核心，负责仪器设备管理，测试执行，测试显示，测试数据保存，测试报表生成，数据上传MES等；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9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工装板（装配）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木板+静电胶皮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10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上下回板升降机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lang w:val="en-US" w:eastAsia="zh-CN"/>
              </w:rPr>
              <w:t>1</w:t>
            </w: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1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夹抱机（组装至前测平移）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组装至测试采用夹抱机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lang w:val="en-US" w:eastAsia="zh-CN"/>
              </w:rPr>
              <w:t>1</w:t>
            </w: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2</w:t>
            </w:r>
          </w:p>
        </w:tc>
        <w:tc>
          <w:tcPr>
            <w:tcW w:w="2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整机装配生产线（包含电控系统）</w:t>
            </w:r>
          </w:p>
        </w:tc>
        <w:tc>
          <w:tcPr>
            <w:tcW w:w="47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单条倍速链线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，包含电控系统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</w:pPr>
      <w:r>
        <w:rPr>
          <w:rFonts w:hint="eastAsia"/>
        </w:rPr>
        <w:t>质量保证要求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（1）供应商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应保证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所有零部件、模块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的完整性和可用性，以确保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能够投入正常运行。若出现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设备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不满足要求或其所提供的技术支持和服务不全面而导致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功能无法实现或不能完全实现，由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负全部责任。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（2）供应商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提供的所有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，均应是新的，应附有制造商发出的、有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签字的质量保证书、合格证书。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eastAsia="zh-CN"/>
        </w:rPr>
        <w:t>产品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应运送到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en-US" w:eastAsia="zh-CN"/>
        </w:rPr>
        <w:t>方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指定地点，运行费用由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承担。运输过程中各种包装应确保各零部件在运输过程中不致遭到损坏、丢失、变形、受潮和腐蚀，随产品提供的技术资料应完整无缺。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售后服务及质量保证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在产品安装、调试及保修期期间，供应商提供无偿的现场服务，直至产品无缺陷为止。供应商服务人员的一切费用已包含在合同总价中，它包括诸如服务人员的工资及各种补助、交通费、通讯费、食宿费、各种保险费、各种税费等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（2）产品的免费质保期应不低于1年（从验收合格之日算起）；之后如发生产品损坏，供应商应及时为本组装置提供维修部件，并按最近的投标价提供。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</w:rPr>
      </w:pPr>
      <w:r>
        <w:rPr>
          <w:rFonts w:hint="eastAsia"/>
          <w:lang w:val="en-US" w:eastAsia="zh-CN"/>
        </w:rPr>
        <w:t>（3）供应商应具备专业运维队伍，接到需方反映的信息后，1小时内响应，4小时内明确答复处理意见，若需派人则在24小时内赶到现场解决问题。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质量保证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b w:val="0"/>
          <w:bCs/>
          <w:szCs w:val="21"/>
          <w:highlight w:val="none"/>
          <w:lang w:val="en-US" w:eastAsia="zh-CN"/>
        </w:rPr>
        <w:t>（1）全部产品必须是全新的，持久耐用的，应满足作为一个完整产品所能满足的全部要</w:t>
      </w:r>
      <w:r>
        <w:rPr>
          <w:rFonts w:hint="eastAsia"/>
          <w:lang w:val="en-US" w:eastAsia="zh-CN"/>
        </w:rPr>
        <w:t>求。供应商应保证产品在规定的使用条件下运行、并按使用说明书进行安装和维护、预期寿命应不少于10年。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</w:rPr>
      </w:pPr>
      <w:r>
        <w:rPr>
          <w:rFonts w:hint="eastAsia"/>
          <w:lang w:val="en-US" w:eastAsia="zh-CN"/>
        </w:rPr>
        <w:t>（2）供应商应保证制造过程中的所有工艺、材料试验等（包括供应商的外购件在内）均应符合本标准的规定。若采购方根据使用经验指定供应商提供某种外购零部件，供应商应积极配合。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lang w:val="en-US" w:eastAsia="zh-CN"/>
        </w:rPr>
        <w:t>交货要求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lang w:val="en-US" w:eastAsia="zh-CN"/>
        </w:rPr>
        <w:t>交货</w:t>
      </w:r>
      <w:r>
        <w:rPr>
          <w:rFonts w:hint="default" w:ascii="Times New Roman Regular" w:hAnsi="Times New Roman Regular" w:cs="Times New Roman Regular"/>
        </w:rPr>
        <w:t>期限</w:t>
      </w:r>
      <w:bookmarkEnd w:id="3"/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highlight w:val="none"/>
        </w:rPr>
      </w:pPr>
      <w:bookmarkStart w:id="10" w:name="_Toc10249"/>
      <w:bookmarkStart w:id="11" w:name="_Toc21557"/>
      <w:r>
        <w:rPr>
          <w:rFonts w:hint="default" w:ascii="Times New Roman Regular" w:hAnsi="Times New Roman Regular" w:cs="Times New Roman Regular"/>
          <w:highlight w:val="none"/>
        </w:rPr>
        <w:t>合同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签订</w:t>
      </w:r>
      <w:r>
        <w:rPr>
          <w:rFonts w:hint="default" w:ascii="Times New Roman Regular" w:hAnsi="Times New Roman Regular" w:cs="Times New Roman Regular"/>
          <w:highlight w:val="none"/>
        </w:rPr>
        <w:t>之日起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2个月内</w:t>
      </w:r>
      <w:r>
        <w:rPr>
          <w:rFonts w:hint="default" w:ascii="Times New Roman Regular" w:hAnsi="Times New Roman Regular" w:cs="Times New Roman Regular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lang w:val="en-US" w:eastAsia="zh-CN"/>
        </w:rPr>
        <w:t>交货</w:t>
      </w:r>
      <w:r>
        <w:rPr>
          <w:rFonts w:hint="default" w:ascii="Times New Roman Regular" w:hAnsi="Times New Roman Regular" w:cs="Times New Roman Regular"/>
        </w:rPr>
        <w:t>地点及方式</w:t>
      </w:r>
      <w:bookmarkEnd w:id="10"/>
      <w:bookmarkEnd w:id="1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highlight w:val="none"/>
        </w:rPr>
      </w:pP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（1）</w:t>
      </w:r>
      <w:r>
        <w:rPr>
          <w:rFonts w:hint="default" w:ascii="Times New Roman Regular" w:hAnsi="Times New Roman Regular" w:cs="Times New Roman Regular"/>
          <w:highlight w:val="none"/>
          <w:lang w:val="en-US" w:eastAsia="zh-CN"/>
        </w:rPr>
        <w:t>交货</w:t>
      </w:r>
      <w:r>
        <w:rPr>
          <w:rFonts w:hint="default" w:ascii="Times New Roman Regular" w:hAnsi="Times New Roman Regular" w:cs="Times New Roman Regular"/>
          <w:highlight w:val="none"/>
        </w:rPr>
        <w:t>地点：</w:t>
      </w: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采购</w:t>
      </w:r>
      <w:r>
        <w:rPr>
          <w:rFonts w:hint="default" w:ascii="Times New Roman Regular" w:hAnsi="Times New Roman Regular" w:cs="Times New Roman Regular"/>
          <w:highlight w:val="none"/>
          <w:lang w:val="en-US" w:eastAsia="zh-CN"/>
        </w:rPr>
        <w:t>方指定地点</w:t>
      </w:r>
      <w:r>
        <w:rPr>
          <w:rFonts w:hint="default" w:ascii="Times New Roman Regular" w:hAnsi="Times New Roman Regular" w:cs="Times New Roman Regular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highlight w:val="none"/>
        </w:rPr>
      </w:pP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（2）</w:t>
      </w:r>
      <w:r>
        <w:rPr>
          <w:rFonts w:hint="default" w:ascii="Times New Roman Regular" w:hAnsi="Times New Roman Regular" w:cs="Times New Roman Regular"/>
          <w:highlight w:val="none"/>
          <w:lang w:val="en-US" w:eastAsia="zh-CN"/>
        </w:rPr>
        <w:t>交货</w:t>
      </w:r>
      <w:r>
        <w:rPr>
          <w:rFonts w:hint="default" w:ascii="Times New Roman Regular" w:hAnsi="Times New Roman Regular" w:cs="Times New Roman Regular"/>
          <w:highlight w:val="none"/>
        </w:rPr>
        <w:t>方式：</w:t>
      </w:r>
      <w:r>
        <w:rPr>
          <w:rFonts w:hint="default" w:ascii="Times New Roman Regular" w:hAnsi="Times New Roman Regular" w:cs="Times New Roman Regular"/>
          <w:highlight w:val="none"/>
          <w:lang w:val="en-US" w:eastAsia="zh-CN"/>
        </w:rPr>
        <w:t>物流快递或汽车运输。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 w:ascii="Times New Roman Regular" w:hAnsi="Times New Roman Regular" w:cs="Times New Roman Regular"/>
        </w:rPr>
      </w:pPr>
      <w:bookmarkStart w:id="12" w:name="_Toc3393"/>
      <w:bookmarkStart w:id="13" w:name="_Toc704"/>
      <w:r>
        <w:rPr>
          <w:rFonts w:hint="eastAsia" w:ascii="Times New Roman Regular" w:hAnsi="Times New Roman Regular" w:cs="Times New Roman Regular"/>
          <w:lang w:val="en-US" w:eastAsia="zh-CN"/>
        </w:rPr>
        <w:t>验收</w:t>
      </w:r>
      <w:r>
        <w:rPr>
          <w:rFonts w:hint="default" w:ascii="Times New Roman Regular" w:hAnsi="Times New Roman Regular" w:cs="Times New Roman Regular"/>
          <w:lang w:val="en-US" w:eastAsia="zh-CN"/>
        </w:rPr>
        <w:t>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出厂要求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由卖方供应的所有合同货物及部件出厂时，应附有制造厂签发的产品质量合格证，作为交货时的质量证明文件。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买方可在厂内对合同货物的原材料、元器件、关键工艺、成品等进行检测。卖方应根据买方要求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无偿</w:t>
      </w:r>
      <w:r>
        <w:rPr>
          <w:rFonts w:hint="eastAsia" w:ascii="宋体" w:hAnsi="宋体" w:cs="宋体"/>
          <w:szCs w:val="21"/>
          <w:highlight w:val="none"/>
        </w:rPr>
        <w:t>提供合格的试验仪器、配合人员和其他必要条件。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合同货物试验过程中，试验不合格的，卖方应将处理过程及原因如实填写，交给买方。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</w:pPr>
      <w:r>
        <w:rPr>
          <w:rFonts w:hint="eastAsia"/>
        </w:rPr>
        <w:t>现场调试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产品</w:t>
      </w:r>
      <w:r>
        <w:rPr>
          <w:rFonts w:hint="eastAsia" w:ascii="宋体" w:hAnsi="宋体" w:cs="宋体"/>
          <w:szCs w:val="21"/>
          <w:highlight w:val="none"/>
        </w:rPr>
        <w:t>运到现场安装前后，卖方人员应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指派专人指导协助</w:t>
      </w:r>
      <w:r>
        <w:rPr>
          <w:rFonts w:hint="eastAsia" w:ascii="宋体" w:hAnsi="宋体" w:cs="宋体"/>
          <w:szCs w:val="21"/>
          <w:highlight w:val="none"/>
        </w:rPr>
        <w:t>。卖方应派出有经验的专家提供技术服务。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在调试过程中，若发现</w:t>
      </w:r>
      <w:r>
        <w:rPr>
          <w:rFonts w:hint="eastAsia" w:ascii="宋体" w:hAnsi="宋体" w:cs="宋体"/>
          <w:szCs w:val="21"/>
          <w:highlight w:val="none"/>
          <w:lang w:eastAsia="zh-CN"/>
        </w:rPr>
        <w:t>产品</w:t>
      </w:r>
      <w:r>
        <w:rPr>
          <w:rFonts w:hint="eastAsia" w:ascii="宋体" w:hAnsi="宋体" w:cs="宋体"/>
          <w:szCs w:val="21"/>
          <w:highlight w:val="none"/>
        </w:rPr>
        <w:t>存在元器件损坏或不正常工作情况，卖方应负责更换。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</w:pPr>
      <w:r>
        <w:rPr>
          <w:rFonts w:hint="eastAsia"/>
        </w:rPr>
        <w:t>现场验收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现场验收应在所有</w:t>
      </w:r>
      <w:r>
        <w:rPr>
          <w:rFonts w:hint="eastAsia" w:ascii="宋体" w:hAnsi="宋体" w:cs="宋体"/>
          <w:szCs w:val="21"/>
          <w:highlight w:val="none"/>
          <w:lang w:eastAsia="zh-CN"/>
        </w:rPr>
        <w:t>产品</w:t>
      </w:r>
      <w:r>
        <w:rPr>
          <w:rFonts w:hint="eastAsia" w:ascii="宋体" w:hAnsi="宋体" w:cs="宋体"/>
          <w:szCs w:val="21"/>
          <w:highlight w:val="none"/>
        </w:rPr>
        <w:t>安装调试完毕，且</w:t>
      </w:r>
      <w:r>
        <w:rPr>
          <w:rFonts w:hint="eastAsia" w:ascii="宋体" w:hAnsi="宋体" w:cs="宋体"/>
          <w:szCs w:val="21"/>
          <w:highlight w:val="none"/>
          <w:lang w:eastAsia="zh-CN"/>
        </w:rPr>
        <w:t>产品</w:t>
      </w:r>
      <w:r>
        <w:rPr>
          <w:rFonts w:hint="eastAsia" w:ascii="宋体" w:hAnsi="宋体" w:cs="宋体"/>
          <w:szCs w:val="21"/>
          <w:highlight w:val="none"/>
        </w:rPr>
        <w:t>准备</w:t>
      </w:r>
      <w:bookmarkStart w:id="14" w:name="_GoBack"/>
      <w:bookmarkEnd w:id="14"/>
      <w:r>
        <w:rPr>
          <w:rFonts w:hint="eastAsia" w:ascii="宋体" w:hAnsi="宋体" w:cs="宋体"/>
          <w:szCs w:val="21"/>
          <w:highlight w:val="none"/>
        </w:rPr>
        <w:t>投入试运行时进行，并出具书面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验收</w:t>
      </w:r>
      <w:r>
        <w:rPr>
          <w:rFonts w:hint="eastAsia" w:ascii="宋体" w:hAnsi="宋体" w:cs="宋体"/>
          <w:szCs w:val="21"/>
          <w:highlight w:val="none"/>
        </w:rPr>
        <w:t>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备品备件、文档资料均作为验收的一部分。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/>
        </w:rPr>
      </w:pPr>
      <w:r>
        <w:rPr>
          <w:rFonts w:hint="eastAsia"/>
          <w:lang w:eastAsia="zh-CN"/>
        </w:rPr>
        <w:t>产品</w:t>
      </w:r>
      <w:r>
        <w:rPr>
          <w:rFonts w:hint="default"/>
        </w:rPr>
        <w:t>交付时应提供的</w:t>
      </w:r>
      <w:r>
        <w:rPr>
          <w:rFonts w:hint="eastAsia"/>
          <w:lang w:val="en-US" w:eastAsia="zh-CN"/>
        </w:rPr>
        <w:t>其他</w:t>
      </w:r>
      <w:r>
        <w:rPr>
          <w:rFonts w:hint="default"/>
        </w:rPr>
        <w:t>技术资料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szCs w:val="21"/>
          <w:highlight w:val="none"/>
          <w:lang w:eastAsia="zh-CN"/>
        </w:rPr>
        <w:t>）</w:t>
      </w:r>
      <w:r>
        <w:rPr>
          <w:rFonts w:hint="default" w:ascii="宋体" w:hAnsi="宋体" w:eastAsia="宋体" w:cs="宋体"/>
          <w:szCs w:val="21"/>
          <w:highlight w:val="none"/>
        </w:rPr>
        <w:t>正确完整的产品（包括进口产品）中文技术手册或使用说明书；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  <w:lang w:eastAsia="zh-CN"/>
        </w:rPr>
        <w:t>）</w:t>
      </w:r>
      <w:r>
        <w:rPr>
          <w:rFonts w:hint="default" w:ascii="宋体" w:hAnsi="宋体" w:eastAsia="宋体" w:cs="宋体"/>
          <w:szCs w:val="21"/>
          <w:highlight w:val="none"/>
        </w:rPr>
        <w:t>出厂检验报告；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szCs w:val="21"/>
          <w:highlight w:val="none"/>
          <w:lang w:eastAsia="zh-CN"/>
        </w:rPr>
        <w:t>）</w:t>
      </w:r>
      <w:r>
        <w:rPr>
          <w:rFonts w:hint="default" w:ascii="宋体" w:hAnsi="宋体" w:eastAsia="宋体" w:cs="宋体"/>
          <w:szCs w:val="21"/>
          <w:highlight w:val="none"/>
        </w:rPr>
        <w:t>产品合格证；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（4）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货物配送</w:t>
      </w:r>
      <w:r>
        <w:rPr>
          <w:rFonts w:hint="default" w:ascii="宋体" w:hAnsi="宋体" w:eastAsia="宋体" w:cs="宋体"/>
          <w:szCs w:val="21"/>
          <w:highlight w:val="none"/>
        </w:rPr>
        <w:t>清单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（5）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到货验收单。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lang w:val="en-US" w:eastAsia="zh-CN"/>
        </w:rPr>
        <w:t>附表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default" w:ascii="Times New Roman Regular" w:hAnsi="Times New Roman Regular" w:cs="Times New Roman Regular"/>
        </w:rPr>
      </w:pPr>
      <w:r>
        <w:rPr>
          <w:rFonts w:hint="eastAsia" w:ascii="Times New Roman Regular" w:hAnsi="Times New Roman Regular" w:cs="Times New Roman Regular"/>
          <w:lang w:val="en-US" w:eastAsia="zh-CN"/>
        </w:rPr>
        <w:t>供应商</w:t>
      </w:r>
      <w:r>
        <w:rPr>
          <w:rFonts w:hint="default" w:ascii="Times New Roman Regular" w:hAnsi="Times New Roman Regular" w:cs="Times New Roman Regular"/>
          <w:lang w:val="en-US" w:eastAsia="zh-CN"/>
        </w:rPr>
        <w:t>技术偏差</w:t>
      </w:r>
    </w:p>
    <w:bookmarkEnd w:id="12"/>
    <w:bookmarkEnd w:id="13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default" w:ascii="Times New Roman Regular" w:hAnsi="Times New Roman Regular" w:cs="Times New Roman Regular"/>
          <w:sz w:val="24"/>
          <w:szCs w:val="24"/>
          <w:lang w:val="en-US" w:eastAsia="zh-CN"/>
        </w:rPr>
      </w:pPr>
      <w:r>
        <w:rPr>
          <w:rFonts w:hint="eastAsia" w:ascii="Times New Roman Regular" w:hAnsi="Times New Roman Regular" w:cs="Times New Roman Regular"/>
          <w:highlight w:val="none"/>
          <w:lang w:val="en-US" w:eastAsia="zh-CN"/>
        </w:rPr>
        <w:t>供应商</w:t>
      </w:r>
      <w:r>
        <w:rPr>
          <w:rFonts w:hint="default" w:ascii="Times New Roman Regular" w:hAnsi="Times New Roman Regular" w:cs="Times New Roman Regular"/>
          <w:highlight w:val="none"/>
          <w:lang w:val="en-US" w:eastAsia="zh-CN"/>
        </w:rPr>
        <w:t>应将所供设备与本技术规范书有差异之处，无论优于或劣于本技术规范书要求，均汇集成此表。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686"/>
        <w:gridCol w:w="2149"/>
        <w:gridCol w:w="1736"/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采购</w:t>
            </w: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文件条目</w:t>
            </w: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采购</w:t>
            </w: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文件简要内容</w:t>
            </w: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响应</w:t>
            </w: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文件条目</w:t>
            </w:r>
          </w:p>
        </w:tc>
        <w:tc>
          <w:tcPr>
            <w:tcW w:w="2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响应</w:t>
            </w: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文件简要内容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 Regular" w:hAnsi="Times New Roman Regular" w:cs="Times New Roman Regular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ind w:left="0" w:leftChars="0" w:firstLine="0" w:firstLineChars="0"/>
        <w:textAlignment w:val="auto"/>
        <w:rPr>
          <w:rFonts w:hint="default" w:ascii="Times New Roman Regular" w:hAnsi="Times New Roman Regular" w:cs="Times New Roman Regular"/>
          <w:highlight w:val="none"/>
          <w:lang w:val="en-US" w:eastAsia="zh-CN"/>
        </w:rPr>
      </w:pPr>
    </w:p>
    <w:sectPr>
      <w:headerReference r:id="rId11" w:type="first"/>
      <w:headerReference r:id="rId10" w:type="default"/>
      <w:footerReference r:id="rId12" w:type="default"/>
      <w:pgSz w:w="11906" w:h="16838"/>
      <w:pgMar w:top="1701" w:right="1701" w:bottom="1701" w:left="1701" w:header="851" w:footer="992" w:gutter="0"/>
      <w:pgNumType w:start="1"/>
      <w:cols w:space="0" w:num="1"/>
      <w:rtlGutter w:val="0"/>
      <w:docGrid w:type="lines" w:linePitch="32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ath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single" w:color="auto" w:sz="4" w:space="1"/>
      </w:pBdr>
      <w:ind w:firstLine="360"/>
      <w:jc w:val="both"/>
      <w:rPr>
        <w:rFonts w:hint="eastAsia" w:ascii="Arial" w:hAnsi="Arial" w:eastAsia="宋体"/>
        <w:lang w:eastAsia="zh-CN"/>
      </w:rPr>
    </w:pPr>
    <w:r>
      <w:rPr>
        <w:rFonts w:hint="eastAsia" w:ascii="Arial" w:hAnsi="Arial"/>
      </w:rPr>
      <w:t xml:space="preserve"> </w:t>
    </w:r>
    <w:r>
      <w:rPr>
        <w:rFonts w:hint="eastAsia" w:ascii="Arial" w:hAnsi="Arial"/>
        <w:lang w:eastAsia="zh-CN"/>
      </w:rPr>
      <w:t>技术规范书1</w:t>
    </w:r>
  </w:p>
  <w:p>
    <w:pPr>
      <w:pStyle w:val="1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single" w:color="auto" w:sz="4" w:space="1"/>
      </w:pBdr>
      <w:ind w:firstLine="360"/>
      <w:jc w:val="both"/>
      <w:rPr>
        <w:rFonts w:hint="eastAsia" w:ascii="Arial" w:hAnsi="Arial" w:eastAsia="宋体"/>
        <w:lang w:eastAsia="zh-CN"/>
      </w:rPr>
    </w:pPr>
    <w:r>
      <w:rPr>
        <w:rFonts w:hint="eastAsia" w:ascii="Arial" w:hAnsi="Arial"/>
      </w:rPr>
      <w:t xml:space="preserve"> </w:t>
    </w:r>
    <w:r>
      <w:rPr>
        <w:rFonts w:hint="eastAsia" w:ascii="Arial" w:hAnsi="Arial"/>
        <w:lang w:eastAsia="zh-CN"/>
      </w:rPr>
      <w:t>技术规范书1</w:t>
    </w:r>
  </w:p>
  <w:p>
    <w:pPr>
      <w:pStyle w:val="1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DE46F7"/>
    <w:multiLevelType w:val="multilevel"/>
    <w:tmpl w:val="39DE46F7"/>
    <w:lvl w:ilvl="0" w:tentative="0">
      <w:start w:val="1"/>
      <w:numFmt w:val="decimal"/>
      <w:pStyle w:val="2"/>
      <w:suff w:val="space"/>
      <w:lvlText w:val="%1."/>
      <w:lvlJc w:val="left"/>
      <w:pPr>
        <w:ind w:left="0" w:firstLine="0"/>
      </w:pPr>
      <w:rPr>
        <w:rFonts w:hint="default" w:ascii="宋体" w:hAnsi="宋体" w:eastAsia="宋体"/>
        <w:b/>
        <w:bCs/>
        <w:sz w:val="32"/>
        <w:szCs w:val="32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426" w:firstLine="0"/>
      </w:pPr>
      <w:rPr>
        <w:rFonts w:hint="default" w:ascii="宋体" w:hAnsi="宋体" w:eastAsia="宋体"/>
        <w:b w:val="0"/>
        <w:bCs w:val="0"/>
        <w:sz w:val="30"/>
        <w:szCs w:val="30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0" w:firstLine="0"/>
      </w:pPr>
      <w:rPr>
        <w:rFonts w:hint="eastAsia" w:ascii="宋体" w:hAnsi="宋体" w:eastAsia="宋体"/>
      </w:rPr>
    </w:lvl>
    <w:lvl w:ilvl="3" w:tentative="0">
      <w:start w:val="1"/>
      <w:numFmt w:val="decimal"/>
      <w:lvlText w:val="5.7.%4"/>
      <w:lvlJc w:val="left"/>
      <w:pPr>
        <w:ind w:left="0" w:firstLine="0"/>
      </w:pPr>
      <w:rPr>
        <w:rFonts w:hint="eastAsia" w:ascii="宋体" w:hAnsi="宋体" w:eastAsia="宋体"/>
      </w:rPr>
    </w:lvl>
    <w:lvl w:ilvl="4" w:tentative="0">
      <w:start w:val="1"/>
      <w:numFmt w:val="decimal"/>
      <w:pStyle w:val="6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pStyle w:val="7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pStyle w:val="8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pStyle w:val="9"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pStyle w:val="10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NWZkNmRlZTgyN2VjMzQxZTgwMWJmNzAxYzhhNzIifQ=="/>
  </w:docVars>
  <w:rsids>
    <w:rsidRoot w:val="007801F1"/>
    <w:rsid w:val="000C03EA"/>
    <w:rsid w:val="0011550D"/>
    <w:rsid w:val="00187D29"/>
    <w:rsid w:val="00220084"/>
    <w:rsid w:val="00240DC3"/>
    <w:rsid w:val="002412E2"/>
    <w:rsid w:val="0024491C"/>
    <w:rsid w:val="00284086"/>
    <w:rsid w:val="00341CAB"/>
    <w:rsid w:val="003833A7"/>
    <w:rsid w:val="003973BE"/>
    <w:rsid w:val="00484A38"/>
    <w:rsid w:val="004B005A"/>
    <w:rsid w:val="004B1D67"/>
    <w:rsid w:val="00504F57"/>
    <w:rsid w:val="005078B1"/>
    <w:rsid w:val="00520B2B"/>
    <w:rsid w:val="00597026"/>
    <w:rsid w:val="005A6F28"/>
    <w:rsid w:val="005D3C96"/>
    <w:rsid w:val="006A20C0"/>
    <w:rsid w:val="006B1CA0"/>
    <w:rsid w:val="00712204"/>
    <w:rsid w:val="00780182"/>
    <w:rsid w:val="007801F1"/>
    <w:rsid w:val="0078654F"/>
    <w:rsid w:val="007F6204"/>
    <w:rsid w:val="0082730B"/>
    <w:rsid w:val="008D1541"/>
    <w:rsid w:val="008D70BC"/>
    <w:rsid w:val="008E453A"/>
    <w:rsid w:val="00916614"/>
    <w:rsid w:val="00953917"/>
    <w:rsid w:val="00A55135"/>
    <w:rsid w:val="00AE67CC"/>
    <w:rsid w:val="00B60ED5"/>
    <w:rsid w:val="00B83507"/>
    <w:rsid w:val="00BF3140"/>
    <w:rsid w:val="00C23A43"/>
    <w:rsid w:val="00C63EEF"/>
    <w:rsid w:val="00C818D6"/>
    <w:rsid w:val="00C92FA0"/>
    <w:rsid w:val="00CB7AC4"/>
    <w:rsid w:val="00D1219D"/>
    <w:rsid w:val="00D30CEE"/>
    <w:rsid w:val="00D8228C"/>
    <w:rsid w:val="00DB6FB4"/>
    <w:rsid w:val="00E45167"/>
    <w:rsid w:val="00E91B73"/>
    <w:rsid w:val="00ED59A9"/>
    <w:rsid w:val="00F108CE"/>
    <w:rsid w:val="00F36E48"/>
    <w:rsid w:val="00FA0D9A"/>
    <w:rsid w:val="00FF524F"/>
    <w:rsid w:val="01053BC4"/>
    <w:rsid w:val="022973F5"/>
    <w:rsid w:val="024C0BEF"/>
    <w:rsid w:val="02B01361"/>
    <w:rsid w:val="03494943"/>
    <w:rsid w:val="03EB6A5F"/>
    <w:rsid w:val="04860C2A"/>
    <w:rsid w:val="04B256A2"/>
    <w:rsid w:val="05793F8E"/>
    <w:rsid w:val="06011DF0"/>
    <w:rsid w:val="068F6ECC"/>
    <w:rsid w:val="08843294"/>
    <w:rsid w:val="09982272"/>
    <w:rsid w:val="0A0E6D42"/>
    <w:rsid w:val="0AFD7516"/>
    <w:rsid w:val="0B184D76"/>
    <w:rsid w:val="0B49351F"/>
    <w:rsid w:val="0BE626C1"/>
    <w:rsid w:val="0C136E39"/>
    <w:rsid w:val="0CAF3698"/>
    <w:rsid w:val="0D0E1EFA"/>
    <w:rsid w:val="0D4124CD"/>
    <w:rsid w:val="0D704446"/>
    <w:rsid w:val="0D7B2CED"/>
    <w:rsid w:val="0F7A1BFC"/>
    <w:rsid w:val="0F962F0B"/>
    <w:rsid w:val="0FB46A5F"/>
    <w:rsid w:val="0FCD33A4"/>
    <w:rsid w:val="0FF0156F"/>
    <w:rsid w:val="101D675E"/>
    <w:rsid w:val="102D2243"/>
    <w:rsid w:val="10770C50"/>
    <w:rsid w:val="10D418CD"/>
    <w:rsid w:val="10ED6562"/>
    <w:rsid w:val="1125437A"/>
    <w:rsid w:val="128C3A75"/>
    <w:rsid w:val="13E741E5"/>
    <w:rsid w:val="14631EB2"/>
    <w:rsid w:val="15BB3E4D"/>
    <w:rsid w:val="15FE51B5"/>
    <w:rsid w:val="1714699E"/>
    <w:rsid w:val="174C6825"/>
    <w:rsid w:val="17835BB7"/>
    <w:rsid w:val="19D54895"/>
    <w:rsid w:val="1BB41D14"/>
    <w:rsid w:val="1D7B7082"/>
    <w:rsid w:val="1E600F50"/>
    <w:rsid w:val="1ED146BC"/>
    <w:rsid w:val="1F60262B"/>
    <w:rsid w:val="1F806081"/>
    <w:rsid w:val="1F8958A2"/>
    <w:rsid w:val="1F9135CD"/>
    <w:rsid w:val="1FFA3414"/>
    <w:rsid w:val="20465DFE"/>
    <w:rsid w:val="20723EAA"/>
    <w:rsid w:val="225418B2"/>
    <w:rsid w:val="22655F27"/>
    <w:rsid w:val="22C9222A"/>
    <w:rsid w:val="237A03AC"/>
    <w:rsid w:val="23CA201F"/>
    <w:rsid w:val="241B432A"/>
    <w:rsid w:val="246A1E5B"/>
    <w:rsid w:val="24B42C46"/>
    <w:rsid w:val="25393784"/>
    <w:rsid w:val="25514B38"/>
    <w:rsid w:val="256C0CC0"/>
    <w:rsid w:val="2634270E"/>
    <w:rsid w:val="26CA0578"/>
    <w:rsid w:val="26E916E5"/>
    <w:rsid w:val="27045F16"/>
    <w:rsid w:val="27581AE7"/>
    <w:rsid w:val="279A6720"/>
    <w:rsid w:val="27A0588D"/>
    <w:rsid w:val="27D300D6"/>
    <w:rsid w:val="28355CE1"/>
    <w:rsid w:val="29431506"/>
    <w:rsid w:val="2A2F6A28"/>
    <w:rsid w:val="2BE84E27"/>
    <w:rsid w:val="2C0A20B3"/>
    <w:rsid w:val="2CBC1982"/>
    <w:rsid w:val="2D1904A6"/>
    <w:rsid w:val="2E9F433F"/>
    <w:rsid w:val="2EA13B4E"/>
    <w:rsid w:val="2EEF67DC"/>
    <w:rsid w:val="2F063CD8"/>
    <w:rsid w:val="2FD379E0"/>
    <w:rsid w:val="30E303F7"/>
    <w:rsid w:val="3126323A"/>
    <w:rsid w:val="31A620A2"/>
    <w:rsid w:val="32463F48"/>
    <w:rsid w:val="32F160A7"/>
    <w:rsid w:val="341E5EA8"/>
    <w:rsid w:val="354876B3"/>
    <w:rsid w:val="366F7402"/>
    <w:rsid w:val="373F65DE"/>
    <w:rsid w:val="382C63AB"/>
    <w:rsid w:val="392C4FA0"/>
    <w:rsid w:val="39640CC6"/>
    <w:rsid w:val="3AA664BB"/>
    <w:rsid w:val="3AA82343"/>
    <w:rsid w:val="3C3060F4"/>
    <w:rsid w:val="3C70525F"/>
    <w:rsid w:val="3CB62F78"/>
    <w:rsid w:val="3D391AF9"/>
    <w:rsid w:val="3D647920"/>
    <w:rsid w:val="3D7F382F"/>
    <w:rsid w:val="3DE95113"/>
    <w:rsid w:val="3FAC2CFA"/>
    <w:rsid w:val="4001677D"/>
    <w:rsid w:val="409770CA"/>
    <w:rsid w:val="40D101AE"/>
    <w:rsid w:val="40D34160"/>
    <w:rsid w:val="414C5D3F"/>
    <w:rsid w:val="42CF30C5"/>
    <w:rsid w:val="43E639B5"/>
    <w:rsid w:val="44236FB8"/>
    <w:rsid w:val="45CC5EFD"/>
    <w:rsid w:val="478153A2"/>
    <w:rsid w:val="484D6C68"/>
    <w:rsid w:val="48E5152E"/>
    <w:rsid w:val="495040BD"/>
    <w:rsid w:val="49C30E4D"/>
    <w:rsid w:val="4B15522B"/>
    <w:rsid w:val="4B3F3C86"/>
    <w:rsid w:val="4C5F6D40"/>
    <w:rsid w:val="4C8F6EBF"/>
    <w:rsid w:val="4D1D271C"/>
    <w:rsid w:val="4D547B6C"/>
    <w:rsid w:val="4E2629E6"/>
    <w:rsid w:val="4EED32EE"/>
    <w:rsid w:val="4F2C4E99"/>
    <w:rsid w:val="4FA82E21"/>
    <w:rsid w:val="50BD0F0D"/>
    <w:rsid w:val="51C07B1A"/>
    <w:rsid w:val="52A31916"/>
    <w:rsid w:val="52FA09D1"/>
    <w:rsid w:val="5369717F"/>
    <w:rsid w:val="53866BD6"/>
    <w:rsid w:val="53D1772C"/>
    <w:rsid w:val="54AD269B"/>
    <w:rsid w:val="54AF3F9A"/>
    <w:rsid w:val="55482300"/>
    <w:rsid w:val="554B1D64"/>
    <w:rsid w:val="55881551"/>
    <w:rsid w:val="56DF0A43"/>
    <w:rsid w:val="56EE6E55"/>
    <w:rsid w:val="579A1DBE"/>
    <w:rsid w:val="58770FD2"/>
    <w:rsid w:val="58DD796B"/>
    <w:rsid w:val="596B77AD"/>
    <w:rsid w:val="59E44CEE"/>
    <w:rsid w:val="5A252C94"/>
    <w:rsid w:val="5B326F8F"/>
    <w:rsid w:val="5B5F094F"/>
    <w:rsid w:val="5BC53B12"/>
    <w:rsid w:val="5C7C08AC"/>
    <w:rsid w:val="5CCB5CF1"/>
    <w:rsid w:val="5D3A6FA4"/>
    <w:rsid w:val="5E761E60"/>
    <w:rsid w:val="5F55149A"/>
    <w:rsid w:val="5F864151"/>
    <w:rsid w:val="5F992D62"/>
    <w:rsid w:val="5FA359E1"/>
    <w:rsid w:val="5FF44162"/>
    <w:rsid w:val="605B3FEC"/>
    <w:rsid w:val="61A73F86"/>
    <w:rsid w:val="61F300CB"/>
    <w:rsid w:val="629A4015"/>
    <w:rsid w:val="632E6FDA"/>
    <w:rsid w:val="635555CD"/>
    <w:rsid w:val="63BA45E6"/>
    <w:rsid w:val="6435626C"/>
    <w:rsid w:val="66433AA5"/>
    <w:rsid w:val="665342D0"/>
    <w:rsid w:val="665B6338"/>
    <w:rsid w:val="66C16FE9"/>
    <w:rsid w:val="67B04068"/>
    <w:rsid w:val="6A7EA7C4"/>
    <w:rsid w:val="6C3F3A2D"/>
    <w:rsid w:val="6CF52916"/>
    <w:rsid w:val="6D560EB7"/>
    <w:rsid w:val="6D7E25DB"/>
    <w:rsid w:val="6DF07179"/>
    <w:rsid w:val="6E6E0EFE"/>
    <w:rsid w:val="6EC46A44"/>
    <w:rsid w:val="6FB82FD9"/>
    <w:rsid w:val="7056034B"/>
    <w:rsid w:val="71374D89"/>
    <w:rsid w:val="715439AC"/>
    <w:rsid w:val="723E2C78"/>
    <w:rsid w:val="7296647E"/>
    <w:rsid w:val="73472A53"/>
    <w:rsid w:val="748247C5"/>
    <w:rsid w:val="75FC4BFF"/>
    <w:rsid w:val="762D635F"/>
    <w:rsid w:val="76E06F2E"/>
    <w:rsid w:val="77090275"/>
    <w:rsid w:val="77A07245"/>
    <w:rsid w:val="78F246E2"/>
    <w:rsid w:val="79BE2F2C"/>
    <w:rsid w:val="79BF839F"/>
    <w:rsid w:val="7B1A59F7"/>
    <w:rsid w:val="7B436955"/>
    <w:rsid w:val="7B7B492E"/>
    <w:rsid w:val="7B7D2454"/>
    <w:rsid w:val="7B87D257"/>
    <w:rsid w:val="7BBDA07F"/>
    <w:rsid w:val="7C2032FD"/>
    <w:rsid w:val="7D5007BF"/>
    <w:rsid w:val="7DBF4C53"/>
    <w:rsid w:val="7DC83C36"/>
    <w:rsid w:val="7E11491D"/>
    <w:rsid w:val="7E1963F4"/>
    <w:rsid w:val="7EE40176"/>
    <w:rsid w:val="7EEB6A2C"/>
    <w:rsid w:val="7EFF6745"/>
    <w:rsid w:val="7F4C3BD7"/>
    <w:rsid w:val="7F8C3400"/>
    <w:rsid w:val="7FB52F70"/>
    <w:rsid w:val="7FFBB78B"/>
    <w:rsid w:val="ABE75392"/>
    <w:rsid w:val="B37DC48B"/>
    <w:rsid w:val="C36F860D"/>
    <w:rsid w:val="DFEDB757"/>
    <w:rsid w:val="E717CAB6"/>
    <w:rsid w:val="E7CBF10E"/>
    <w:rsid w:val="ED762CA0"/>
    <w:rsid w:val="FDF5572E"/>
    <w:rsid w:val="FFD200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numPr>
        <w:ilvl w:val="0"/>
        <w:numId w:val="1"/>
      </w:numPr>
      <w:ind w:firstLineChars="0"/>
      <w:outlineLvl w:val="0"/>
    </w:pPr>
    <w:rPr>
      <w:rFonts w:ascii="Times New Roman" w:hAnsi="Times New Roman" w:eastAsia="宋体"/>
      <w:b/>
      <w:bCs/>
      <w:kern w:val="24"/>
      <w:sz w:val="32"/>
    </w:rPr>
  </w:style>
  <w:style w:type="paragraph" w:styleId="3">
    <w:name w:val="heading 2"/>
    <w:basedOn w:val="1"/>
    <w:next w:val="1"/>
    <w:link w:val="34"/>
    <w:qFormat/>
    <w:uiPriority w:val="0"/>
    <w:pPr>
      <w:numPr>
        <w:ilvl w:val="1"/>
        <w:numId w:val="1"/>
      </w:numPr>
      <w:ind w:firstLineChars="0"/>
      <w:outlineLvl w:val="1"/>
    </w:pPr>
    <w:rPr>
      <w:rFonts w:ascii="Times New Roman" w:hAnsi="Times New Roman" w:eastAsia="宋体"/>
      <w:bCs/>
      <w:sz w:val="30"/>
    </w:rPr>
  </w:style>
  <w:style w:type="paragraph" w:styleId="4">
    <w:name w:val="heading 3"/>
    <w:basedOn w:val="1"/>
    <w:next w:val="1"/>
    <w:link w:val="33"/>
    <w:qFormat/>
    <w:uiPriority w:val="0"/>
    <w:pPr>
      <w:numPr>
        <w:ilvl w:val="2"/>
        <w:numId w:val="1"/>
      </w:numPr>
      <w:ind w:firstLineChars="0"/>
      <w:outlineLvl w:val="2"/>
    </w:pPr>
    <w:rPr>
      <w:bCs/>
      <w:szCs w:val="32"/>
    </w:rPr>
  </w:style>
  <w:style w:type="paragraph" w:styleId="5">
    <w:name w:val="heading 4"/>
    <w:basedOn w:val="1"/>
    <w:next w:val="1"/>
    <w:link w:val="32"/>
    <w:qFormat/>
    <w:uiPriority w:val="0"/>
    <w:pPr>
      <w:ind w:firstLine="0" w:firstLineChars="0"/>
      <w:outlineLvl w:val="3"/>
    </w:pPr>
    <w:rPr>
      <w:bCs/>
    </w:rPr>
  </w:style>
  <w:style w:type="paragraph" w:styleId="6">
    <w:name w:val="heading 5"/>
    <w:basedOn w:val="1"/>
    <w:next w:val="1"/>
    <w:link w:val="37"/>
    <w:qFormat/>
    <w:uiPriority w:val="0"/>
    <w:pPr>
      <w:numPr>
        <w:ilvl w:val="4"/>
        <w:numId w:val="1"/>
      </w:numPr>
      <w:ind w:firstLineChars="0"/>
      <w:outlineLvl w:val="4"/>
    </w:pPr>
    <w:rPr>
      <w:bCs/>
      <w:szCs w:val="28"/>
    </w:rPr>
  </w:style>
  <w:style w:type="paragraph" w:styleId="7">
    <w:name w:val="heading 6"/>
    <w:basedOn w:val="1"/>
    <w:next w:val="1"/>
    <w:link w:val="38"/>
    <w:qFormat/>
    <w:uiPriority w:val="9"/>
    <w:pPr>
      <w:numPr>
        <w:ilvl w:val="5"/>
        <w:numId w:val="1"/>
      </w:numPr>
      <w:ind w:firstLineChars="0"/>
      <w:outlineLvl w:val="5"/>
    </w:pPr>
    <w:rPr>
      <w:bCs/>
    </w:rPr>
  </w:style>
  <w:style w:type="paragraph" w:styleId="8">
    <w:name w:val="heading 7"/>
    <w:basedOn w:val="1"/>
    <w:next w:val="1"/>
    <w:link w:val="39"/>
    <w:qFormat/>
    <w:uiPriority w:val="99"/>
    <w:pPr>
      <w:numPr>
        <w:ilvl w:val="6"/>
        <w:numId w:val="1"/>
      </w:numPr>
      <w:ind w:firstLineChars="0"/>
      <w:outlineLvl w:val="6"/>
    </w:pPr>
    <w:rPr>
      <w:bCs/>
    </w:rPr>
  </w:style>
  <w:style w:type="paragraph" w:styleId="9">
    <w:name w:val="heading 8"/>
    <w:basedOn w:val="1"/>
    <w:next w:val="1"/>
    <w:link w:val="40"/>
    <w:qFormat/>
    <w:uiPriority w:val="99"/>
    <w:pPr>
      <w:numPr>
        <w:ilvl w:val="7"/>
        <w:numId w:val="1"/>
      </w:numPr>
      <w:ind w:firstLineChars="0"/>
      <w:outlineLvl w:val="7"/>
    </w:pPr>
  </w:style>
  <w:style w:type="paragraph" w:styleId="10">
    <w:name w:val="heading 9"/>
    <w:basedOn w:val="1"/>
    <w:next w:val="1"/>
    <w:link w:val="41"/>
    <w:qFormat/>
    <w:uiPriority w:val="99"/>
    <w:pPr>
      <w:numPr>
        <w:ilvl w:val="8"/>
        <w:numId w:val="1"/>
      </w:numPr>
      <w:ind w:firstLineChars="0"/>
      <w:outlineLvl w:val="8"/>
    </w:pPr>
  </w:style>
  <w:style w:type="character" w:default="1" w:styleId="27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43"/>
    <w:qFormat/>
    <w:uiPriority w:val="0"/>
    <w:rPr>
      <w:szCs w:val="20"/>
      <w:lang w:val="zh-CN"/>
    </w:rPr>
  </w:style>
  <w:style w:type="paragraph" w:styleId="12">
    <w:name w:val="annotation text"/>
    <w:basedOn w:val="1"/>
    <w:link w:val="46"/>
    <w:unhideWhenUsed/>
    <w:qFormat/>
    <w:uiPriority w:val="99"/>
    <w:pPr>
      <w:jc w:val="left"/>
    </w:pPr>
  </w:style>
  <w:style w:type="paragraph" w:styleId="13">
    <w:name w:val="Body Text"/>
    <w:basedOn w:val="1"/>
    <w:next w:val="14"/>
    <w:qFormat/>
    <w:uiPriority w:val="0"/>
    <w:pPr>
      <w:spacing w:before="156" w:beforeLines="50" w:after="156" w:afterLines="50"/>
      <w:ind w:firstLine="480"/>
    </w:pPr>
    <w:rPr>
      <w:rFonts w:cs="Latha"/>
      <w:sz w:val="21"/>
    </w:rPr>
  </w:style>
  <w:style w:type="paragraph" w:styleId="14">
    <w:name w:val="Title"/>
    <w:basedOn w:val="1"/>
    <w:next w:val="1"/>
    <w:qFormat/>
    <w:uiPriority w:val="0"/>
    <w:pPr>
      <w:tabs>
        <w:tab w:val="left" w:pos="0"/>
      </w:tabs>
      <w:spacing w:before="240" w:after="60" w:line="60" w:lineRule="auto"/>
      <w:jc w:val="center"/>
      <w:outlineLvl w:val="0"/>
    </w:pPr>
    <w:rPr>
      <w:rFonts w:ascii="华文中宋" w:hAnsi="华文中宋" w:eastAsia="华文中宋"/>
      <w:b/>
      <w:kern w:val="0"/>
      <w:sz w:val="48"/>
      <w:szCs w:val="48"/>
    </w:rPr>
  </w:style>
  <w:style w:type="paragraph" w:styleId="15">
    <w:name w:val="Body Text Indent"/>
    <w:basedOn w:val="1"/>
    <w:link w:val="44"/>
    <w:qFormat/>
    <w:uiPriority w:val="0"/>
    <w:pPr>
      <w:spacing w:after="120"/>
      <w:ind w:left="420" w:leftChars="200"/>
    </w:pPr>
    <w:rPr>
      <w:lang w:val="zh-CN"/>
    </w:rPr>
  </w:style>
  <w:style w:type="paragraph" w:styleId="1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7">
    <w:name w:val="Balloon Text"/>
    <w:basedOn w:val="1"/>
    <w:link w:val="48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8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3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qFormat/>
    <w:uiPriority w:val="39"/>
    <w:pPr>
      <w:tabs>
        <w:tab w:val="right" w:leader="dot" w:pos="8296"/>
      </w:tabs>
      <w:ind w:firstLine="0" w:firstLineChars="0"/>
    </w:pPr>
  </w:style>
  <w:style w:type="paragraph" w:styleId="21">
    <w:name w:val="toc 2"/>
    <w:basedOn w:val="1"/>
    <w:next w:val="1"/>
    <w:qFormat/>
    <w:uiPriority w:val="39"/>
    <w:pPr>
      <w:tabs>
        <w:tab w:val="right" w:leader="dot" w:pos="8296"/>
      </w:tabs>
      <w:ind w:left="425" w:hanging="425" w:firstLineChars="0"/>
    </w:pPr>
  </w:style>
  <w:style w:type="paragraph" w:styleId="2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</w:rPr>
  </w:style>
  <w:style w:type="paragraph" w:styleId="23">
    <w:name w:val="annotation subject"/>
    <w:basedOn w:val="12"/>
    <w:next w:val="12"/>
    <w:link w:val="47"/>
    <w:unhideWhenUsed/>
    <w:qFormat/>
    <w:uiPriority w:val="99"/>
    <w:rPr>
      <w:b/>
      <w:bCs/>
    </w:rPr>
  </w:style>
  <w:style w:type="paragraph" w:styleId="24">
    <w:name w:val="Body Text First Indent"/>
    <w:basedOn w:val="1"/>
    <w:next w:val="1"/>
    <w:qFormat/>
    <w:uiPriority w:val="0"/>
    <w:pPr>
      <w:tabs>
        <w:tab w:val="left" w:pos="0"/>
        <w:tab w:val="left" w:pos="1680"/>
      </w:tabs>
      <w:snapToGrid w:val="0"/>
      <w:spacing w:after="0"/>
      <w:ind w:firstLine="360" w:firstLineChars="200"/>
    </w:pPr>
    <w:rPr>
      <w:rFonts w:ascii="宋体" w:hAnsi="宋体" w:eastAsia="宋体" w:cs="宋体"/>
      <w:color w:val="000000"/>
      <w:kern w:val="44"/>
      <w:sz w:val="24"/>
      <w:szCs w:val="18"/>
    </w:rPr>
  </w:style>
  <w:style w:type="table" w:styleId="26">
    <w:name w:val="Table Grid"/>
    <w:basedOn w:val="25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page number"/>
    <w:basedOn w:val="27"/>
    <w:unhideWhenUsed/>
    <w:qFormat/>
    <w:uiPriority w:val="99"/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styleId="30">
    <w:name w:val="annotation reference"/>
    <w:basedOn w:val="27"/>
    <w:unhideWhenUsed/>
    <w:qFormat/>
    <w:uiPriority w:val="99"/>
    <w:rPr>
      <w:sz w:val="21"/>
      <w:szCs w:val="21"/>
    </w:rPr>
  </w:style>
  <w:style w:type="character" w:customStyle="1" w:styleId="31">
    <w:name w:val="标题 1 字符"/>
    <w:basedOn w:val="27"/>
    <w:link w:val="2"/>
    <w:qFormat/>
    <w:uiPriority w:val="0"/>
    <w:rPr>
      <w:rFonts w:ascii="Times New Roman" w:hAnsi="Times New Roman" w:eastAsia="宋体" w:cs="Times New Roman"/>
      <w:b/>
      <w:bCs/>
      <w:kern w:val="24"/>
      <w:sz w:val="32"/>
      <w:szCs w:val="24"/>
    </w:rPr>
  </w:style>
  <w:style w:type="character" w:customStyle="1" w:styleId="32">
    <w:name w:val="标题 4 字符"/>
    <w:basedOn w:val="27"/>
    <w:link w:val="5"/>
    <w:qFormat/>
    <w:uiPriority w:val="9"/>
    <w:rPr>
      <w:rFonts w:ascii="Times New Roman" w:hAnsi="Times New Roman" w:eastAsia="宋体" w:cs="Times New Roman"/>
      <w:bCs/>
      <w:sz w:val="24"/>
      <w:szCs w:val="24"/>
    </w:rPr>
  </w:style>
  <w:style w:type="character" w:customStyle="1" w:styleId="33">
    <w:name w:val="标题 3 字符"/>
    <w:basedOn w:val="27"/>
    <w:link w:val="4"/>
    <w:qFormat/>
    <w:uiPriority w:val="9"/>
    <w:rPr>
      <w:rFonts w:ascii="Times New Roman" w:hAnsi="Times New Roman" w:eastAsia="宋体" w:cs="Times New Roman"/>
      <w:bCs/>
      <w:sz w:val="24"/>
      <w:szCs w:val="32"/>
    </w:rPr>
  </w:style>
  <w:style w:type="character" w:customStyle="1" w:styleId="34">
    <w:name w:val="标题 2 字符"/>
    <w:basedOn w:val="27"/>
    <w:link w:val="3"/>
    <w:qFormat/>
    <w:uiPriority w:val="9"/>
    <w:rPr>
      <w:rFonts w:ascii="Times New Roman" w:hAnsi="Times New Roman" w:eastAsia="宋体" w:cs="Times New Roman"/>
      <w:bCs/>
      <w:sz w:val="30"/>
      <w:szCs w:val="24"/>
    </w:rPr>
  </w:style>
  <w:style w:type="character" w:customStyle="1" w:styleId="35">
    <w:name w:val="页眉 字符"/>
    <w:basedOn w:val="27"/>
    <w:link w:val="19"/>
    <w:qFormat/>
    <w:uiPriority w:val="0"/>
    <w:rPr>
      <w:sz w:val="18"/>
      <w:szCs w:val="18"/>
    </w:rPr>
  </w:style>
  <w:style w:type="character" w:customStyle="1" w:styleId="36">
    <w:name w:val="页脚 字符"/>
    <w:basedOn w:val="27"/>
    <w:link w:val="18"/>
    <w:qFormat/>
    <w:uiPriority w:val="99"/>
    <w:rPr>
      <w:sz w:val="18"/>
      <w:szCs w:val="18"/>
    </w:rPr>
  </w:style>
  <w:style w:type="character" w:customStyle="1" w:styleId="37">
    <w:name w:val="标题 5 字符"/>
    <w:basedOn w:val="27"/>
    <w:link w:val="6"/>
    <w:qFormat/>
    <w:uiPriority w:val="9"/>
    <w:rPr>
      <w:rFonts w:ascii="Times New Roman" w:hAnsi="Times New Roman" w:eastAsia="宋体" w:cs="Times New Roman"/>
      <w:bCs/>
      <w:sz w:val="24"/>
      <w:szCs w:val="28"/>
    </w:rPr>
  </w:style>
  <w:style w:type="character" w:customStyle="1" w:styleId="38">
    <w:name w:val="标题 6 字符"/>
    <w:basedOn w:val="27"/>
    <w:link w:val="7"/>
    <w:qFormat/>
    <w:uiPriority w:val="9"/>
    <w:rPr>
      <w:rFonts w:ascii="Times New Roman" w:hAnsi="Times New Roman" w:eastAsia="宋体" w:cs="Times New Roman"/>
      <w:bCs/>
      <w:sz w:val="24"/>
      <w:szCs w:val="24"/>
    </w:rPr>
  </w:style>
  <w:style w:type="character" w:customStyle="1" w:styleId="39">
    <w:name w:val="标题 7 字符"/>
    <w:basedOn w:val="27"/>
    <w:link w:val="8"/>
    <w:qFormat/>
    <w:uiPriority w:val="99"/>
    <w:rPr>
      <w:rFonts w:ascii="Times New Roman" w:hAnsi="Times New Roman" w:eastAsia="宋体" w:cs="Times New Roman"/>
      <w:bCs/>
      <w:sz w:val="24"/>
      <w:szCs w:val="24"/>
    </w:rPr>
  </w:style>
  <w:style w:type="character" w:customStyle="1" w:styleId="40">
    <w:name w:val="标题 8 字符"/>
    <w:basedOn w:val="27"/>
    <w:link w:val="9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41">
    <w:name w:val="标题 9 字符"/>
    <w:basedOn w:val="27"/>
    <w:link w:val="10"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42">
    <w:name w:val="封面落款"/>
    <w:basedOn w:val="1"/>
    <w:qFormat/>
    <w:uiPriority w:val="0"/>
    <w:pPr>
      <w:ind w:firstLine="0" w:firstLineChars="0"/>
      <w:jc w:val="center"/>
    </w:pPr>
    <w:rPr>
      <w:rFonts w:eastAsia="黑体"/>
      <w:sz w:val="36"/>
      <w:szCs w:val="20"/>
    </w:rPr>
  </w:style>
  <w:style w:type="character" w:customStyle="1" w:styleId="43">
    <w:name w:val="正文缩进 字符"/>
    <w:link w:val="11"/>
    <w:qFormat/>
    <w:uiPriority w:val="0"/>
    <w:rPr>
      <w:rFonts w:ascii="Times New Roman" w:hAnsi="Times New Roman" w:eastAsia="宋体" w:cs="Times New Roman"/>
      <w:sz w:val="24"/>
      <w:szCs w:val="20"/>
      <w:lang w:val="zh-CN" w:eastAsia="zh-CN"/>
    </w:rPr>
  </w:style>
  <w:style w:type="character" w:customStyle="1" w:styleId="44">
    <w:name w:val="正文文本缩进 字符"/>
    <w:basedOn w:val="27"/>
    <w:link w:val="15"/>
    <w:qFormat/>
    <w:uiPriority w:val="0"/>
    <w:rPr>
      <w:rFonts w:ascii="Times New Roman" w:hAnsi="Times New Roman" w:eastAsia="宋体" w:cs="Times New Roman"/>
      <w:sz w:val="24"/>
      <w:szCs w:val="24"/>
      <w:lang w:val="zh-CN" w:eastAsia="zh-CN"/>
    </w:rPr>
  </w:style>
  <w:style w:type="paragraph" w:customStyle="1" w:styleId="45">
    <w:name w:val="列出段落1"/>
    <w:basedOn w:val="1"/>
    <w:qFormat/>
    <w:uiPriority w:val="34"/>
    <w:pPr>
      <w:ind w:firstLine="420"/>
    </w:pPr>
  </w:style>
  <w:style w:type="character" w:customStyle="1" w:styleId="46">
    <w:name w:val="批注文字 字符"/>
    <w:basedOn w:val="27"/>
    <w:link w:val="12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47">
    <w:name w:val="批注主题 字符"/>
    <w:basedOn w:val="46"/>
    <w:link w:val="23"/>
    <w:semiHidden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48">
    <w:name w:val="批注框文本 字符"/>
    <w:basedOn w:val="27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9">
    <w:name w:val="List Paragraph"/>
    <w:basedOn w:val="1"/>
    <w:qFormat/>
    <w:uiPriority w:val="99"/>
    <w:pPr>
      <w:ind w:firstLine="420"/>
    </w:pPr>
  </w:style>
  <w:style w:type="paragraph" w:customStyle="1" w:styleId="5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5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2.jpe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csg</Company>
  <Pages>6</Pages>
  <Words>2772</Words>
  <Characters>2843</Characters>
  <Lines>46</Lines>
  <Paragraphs>13</Paragraphs>
  <TotalTime>100</TotalTime>
  <ScaleCrop>false</ScaleCrop>
  <LinksUpToDate>false</LinksUpToDate>
  <CharactersWithSpaces>2852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2021-11-09T07:21:00Z</dcterms:created>
  <dc:creator>csg</dc:creator>
  <cp:lastModifiedBy>吴清霖</cp:lastModifiedBy>
  <dcterms:modified xsi:type="dcterms:W3CDTF">2026-03-06T09:04:32Z</dcterms:modified>
  <dc:title>超高压输电公司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6265D20EA162096FEBFDF668D469AC6D_43</vt:lpwstr>
  </property>
</Properties>
</file>