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回路电阻测试钳</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rPr>
                            </w:pPr>
                            <w:r>
                              <w:rPr>
                                <w:rFonts w:hint="eastAsia" w:eastAsia="黑体"/>
                                <w:b/>
                                <w:sz w:val="36"/>
                              </w:rPr>
                              <w:t>2025年南宁供电局生产类低值易耗品</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01</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回路电阻测试钳</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rPr>
                      </w:pPr>
                      <w:r>
                        <w:rPr>
                          <w:rFonts w:hint="eastAsia" w:eastAsia="黑体"/>
                          <w:b/>
                          <w:sz w:val="36"/>
                        </w:rPr>
                        <w:t>2025年南宁供电局生产类低值易耗品</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01</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fldChar w:fldCharType="begin"/>
      </w:r>
      <w:r>
        <w:instrText xml:space="preserve"> HYPERLINK \l "_Toc17564" </w:instrText>
      </w:r>
      <w:r>
        <w:fldChar w:fldCharType="separate"/>
      </w:r>
      <w:r>
        <w:t>1</w:t>
      </w:r>
      <w:r>
        <w:rPr>
          <w:kern w:val="44"/>
          <w:szCs w:val="21"/>
        </w:rPr>
        <w:t xml:space="preserve"> </w:t>
      </w:r>
      <w:r>
        <w:rPr>
          <w:rFonts w:hint="eastAsia" w:hAnsi="宋体"/>
          <w:szCs w:val="21"/>
        </w:rPr>
        <w:t>工作范围</w:t>
      </w:r>
      <w:r>
        <w:tab/>
      </w:r>
      <w:r>
        <w:fldChar w:fldCharType="end"/>
      </w:r>
    </w:p>
    <w:p>
      <w:pPr>
        <w:pStyle w:val="24"/>
        <w:tabs>
          <w:tab w:val="right" w:leader="dot" w:pos="8306"/>
        </w:tabs>
      </w:pPr>
      <w:r>
        <w:fldChar w:fldCharType="begin"/>
      </w:r>
      <w:r>
        <w:instrText xml:space="preserve"> HYPERLINK \l "_Toc20446" </w:instrText>
      </w:r>
      <w:r>
        <w:fldChar w:fldCharType="separate"/>
      </w:r>
      <w:r>
        <w:t>2</w:t>
      </w:r>
      <w:r>
        <w:rPr>
          <w:kern w:val="44"/>
          <w:szCs w:val="21"/>
        </w:rPr>
        <w:t xml:space="preserve"> </w:t>
      </w:r>
      <w:r>
        <w:rPr>
          <w:rFonts w:hint="eastAsia" w:hAnsi="宋体"/>
          <w:szCs w:val="21"/>
        </w:rPr>
        <w:t>应遵循的主要标准</w:t>
      </w:r>
      <w:r>
        <w:tab/>
      </w:r>
      <w:r>
        <w:fldChar w:fldCharType="end"/>
      </w:r>
    </w:p>
    <w:p>
      <w:pPr>
        <w:pStyle w:val="24"/>
        <w:tabs>
          <w:tab w:val="right" w:leader="dot" w:pos="8306"/>
        </w:tabs>
      </w:pPr>
      <w:r>
        <w:fldChar w:fldCharType="begin"/>
      </w:r>
      <w:r>
        <w:instrText xml:space="preserve"> HYPERLINK \l "_Toc23061" </w:instrText>
      </w:r>
      <w:r>
        <w:fldChar w:fldCharType="separate"/>
      </w:r>
      <w:r>
        <w:t>3</w:t>
      </w:r>
      <w:r>
        <w:rPr>
          <w:kern w:val="44"/>
          <w:szCs w:val="21"/>
        </w:rPr>
        <w:t xml:space="preserve"> </w:t>
      </w:r>
      <w:r>
        <w:rPr>
          <w:rFonts w:hint="eastAsia" w:hAnsi="宋体"/>
          <w:szCs w:val="21"/>
        </w:rPr>
        <w:t>使用条件</w:t>
      </w:r>
      <w:r>
        <w:tab/>
      </w:r>
      <w:r>
        <w:fldChar w:fldCharType="end"/>
      </w:r>
    </w:p>
    <w:p>
      <w:pPr>
        <w:pStyle w:val="27"/>
        <w:tabs>
          <w:tab w:val="right" w:leader="dot" w:pos="8306"/>
          <w:tab w:val="clear" w:pos="900"/>
          <w:tab w:val="clear" w:pos="8296"/>
        </w:tabs>
      </w:pPr>
      <w:r>
        <w:fldChar w:fldCharType="begin"/>
      </w:r>
      <w:r>
        <w:instrText xml:space="preserve"> HYPERLINK \l "_Toc4776" </w:instrText>
      </w:r>
      <w:r>
        <w:fldChar w:fldCharType="separate"/>
      </w:r>
      <w:r>
        <w:rPr>
          <w:rFonts w:hint="eastAsia" w:ascii="宋体" w:hAnsi="宋体"/>
          <w:szCs w:val="21"/>
        </w:rPr>
        <w:t>3.1 使用条件</w:t>
      </w:r>
      <w:r>
        <w:tab/>
      </w:r>
      <w:r>
        <w:fldChar w:fldCharType="end"/>
      </w:r>
    </w:p>
    <w:p>
      <w:pPr>
        <w:pStyle w:val="27"/>
        <w:tabs>
          <w:tab w:val="right" w:leader="dot" w:pos="8306"/>
          <w:tab w:val="clear" w:pos="900"/>
          <w:tab w:val="clear" w:pos="8296"/>
        </w:tabs>
      </w:pPr>
      <w:r>
        <w:fldChar w:fldCharType="begin"/>
      </w:r>
      <w:r>
        <w:instrText xml:space="preserve"> HYPERLINK \l "_Toc4533" </w:instrText>
      </w:r>
      <w:r>
        <w:fldChar w:fldCharType="separate"/>
      </w:r>
      <w:r>
        <w:rPr>
          <w:rFonts w:hint="eastAsia" w:ascii="宋体" w:hAnsi="宋体"/>
          <w:szCs w:val="21"/>
        </w:rPr>
        <w:t>3.2 储存条件</w:t>
      </w:r>
      <w:r>
        <w:tab/>
      </w:r>
      <w:r>
        <w:fldChar w:fldCharType="end"/>
      </w:r>
    </w:p>
    <w:p>
      <w:pPr>
        <w:pStyle w:val="24"/>
        <w:tabs>
          <w:tab w:val="right" w:leader="dot" w:pos="8306"/>
        </w:tabs>
      </w:pPr>
      <w:r>
        <w:fldChar w:fldCharType="begin"/>
      </w:r>
      <w:r>
        <w:instrText xml:space="preserve"> HYPERLINK \l "_Toc20205" </w:instrText>
      </w:r>
      <w:r>
        <w:fldChar w:fldCharType="separate"/>
      </w:r>
      <w:r>
        <w:rPr>
          <w:rFonts w:hint="eastAsia" w:hAnsi="宋体"/>
          <w:szCs w:val="21"/>
        </w:rPr>
        <w:t>4技术文件要求</w:t>
      </w:r>
      <w:r>
        <w:tab/>
      </w:r>
      <w:r>
        <w:fldChar w:fldCharType="end"/>
      </w:r>
    </w:p>
    <w:p>
      <w:pPr>
        <w:pStyle w:val="24"/>
        <w:tabs>
          <w:tab w:val="right" w:leader="dot" w:pos="8306"/>
        </w:tabs>
      </w:pPr>
      <w:r>
        <w:fldChar w:fldCharType="begin"/>
      </w:r>
      <w:r>
        <w:instrText xml:space="preserve"> HYPERLINK \l "_Toc2582" </w:instrText>
      </w:r>
      <w:r>
        <w:fldChar w:fldCharType="separate"/>
      </w:r>
      <w:r>
        <w:rPr>
          <w:rFonts w:hint="eastAsia" w:hAnsi="宋体"/>
          <w:szCs w:val="21"/>
        </w:rPr>
        <w:t>5 包装、运输、安装及质量保证</w:t>
      </w:r>
      <w:r>
        <w:tab/>
      </w:r>
      <w:r>
        <w:fldChar w:fldCharType="end"/>
      </w:r>
    </w:p>
    <w:p>
      <w:pPr>
        <w:pStyle w:val="27"/>
        <w:tabs>
          <w:tab w:val="right" w:leader="dot" w:pos="8306"/>
          <w:tab w:val="clear" w:pos="900"/>
          <w:tab w:val="clear" w:pos="8296"/>
        </w:tabs>
      </w:pPr>
      <w:r>
        <w:fldChar w:fldCharType="begin"/>
      </w:r>
      <w:r>
        <w:instrText xml:space="preserve"> HYPERLINK \l "_Toc23130" </w:instrText>
      </w:r>
      <w:r>
        <w:fldChar w:fldCharType="separate"/>
      </w:r>
      <w:r>
        <w:rPr>
          <w:rFonts w:hint="eastAsia" w:hAnsi="宋体"/>
          <w:szCs w:val="21"/>
        </w:rPr>
        <w:t>5.1包装</w:t>
      </w:r>
      <w:r>
        <w:tab/>
      </w:r>
      <w:r>
        <w:fldChar w:fldCharType="end"/>
      </w:r>
    </w:p>
    <w:p>
      <w:pPr>
        <w:pStyle w:val="27"/>
        <w:tabs>
          <w:tab w:val="right" w:leader="dot" w:pos="8306"/>
          <w:tab w:val="clear" w:pos="900"/>
          <w:tab w:val="clear" w:pos="8296"/>
        </w:tabs>
      </w:pPr>
      <w:r>
        <w:fldChar w:fldCharType="begin"/>
      </w:r>
      <w:r>
        <w:instrText xml:space="preserve"> HYPERLINK \l "_Toc5574" </w:instrText>
      </w:r>
      <w:r>
        <w:fldChar w:fldCharType="separate"/>
      </w:r>
      <w:r>
        <w:rPr>
          <w:rFonts w:hint="eastAsia" w:hAnsi="宋体"/>
          <w:szCs w:val="21"/>
        </w:rPr>
        <w:t>5.2运输</w:t>
      </w:r>
      <w:r>
        <w:tab/>
      </w:r>
      <w:r>
        <w:fldChar w:fldCharType="end"/>
      </w:r>
    </w:p>
    <w:p>
      <w:pPr>
        <w:pStyle w:val="27"/>
        <w:tabs>
          <w:tab w:val="right" w:leader="dot" w:pos="8306"/>
          <w:tab w:val="clear" w:pos="900"/>
          <w:tab w:val="clear" w:pos="8296"/>
        </w:tabs>
      </w:pPr>
      <w:r>
        <w:fldChar w:fldCharType="begin"/>
      </w:r>
      <w:r>
        <w:instrText xml:space="preserve"> HYPERLINK \l "_Toc2698" </w:instrText>
      </w:r>
      <w:r>
        <w:fldChar w:fldCharType="separate"/>
      </w:r>
      <w:r>
        <w:rPr>
          <w:rFonts w:hint="eastAsia" w:hAnsi="宋体"/>
          <w:szCs w:val="21"/>
        </w:rPr>
        <w:t>5.3质量保证</w:t>
      </w:r>
      <w:r>
        <w:tab/>
      </w:r>
      <w:r>
        <w:fldChar w:fldCharType="end"/>
      </w:r>
    </w:p>
    <w:p>
      <w:pPr>
        <w:pStyle w:val="24"/>
        <w:tabs>
          <w:tab w:val="right" w:leader="dot" w:pos="8306"/>
        </w:tabs>
      </w:pPr>
      <w:r>
        <w:fldChar w:fldCharType="begin"/>
      </w:r>
      <w:r>
        <w:instrText xml:space="preserve"> HYPERLINK \l "_Toc29712" </w:instrText>
      </w:r>
      <w:r>
        <w:fldChar w:fldCharType="separate"/>
      </w:r>
      <w:r>
        <w:rPr>
          <w:rFonts w:hint="eastAsia" w:hAnsi="宋体"/>
          <w:szCs w:val="21"/>
        </w:rPr>
        <w:t>6 投标方需说明的其他问题</w:t>
      </w:r>
      <w:r>
        <w:tab/>
      </w:r>
      <w:r>
        <w:fldChar w:fldCharType="end"/>
      </w:r>
    </w:p>
    <w:p>
      <w:pPr>
        <w:tabs>
          <w:tab w:val="right" w:leader="dot" w:pos="8296"/>
        </w:tabs>
        <w:adjustRightInd w:val="0"/>
        <w:snapToGrid w:val="0"/>
        <w:spacing w:before="120" w:after="120"/>
        <w:jc w:val="left"/>
        <w:rPr>
          <w:rFonts w:hint="eastAsia"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rPr>
        <w:fldChar w:fldCharType="end"/>
      </w:r>
    </w:p>
    <w:p>
      <w:pPr>
        <w:pStyle w:val="3"/>
        <w:adjustRightInd w:val="0"/>
        <w:spacing w:before="240" w:beforeLines="0"/>
        <w:rPr>
          <w:rFonts w:hint="eastAsia" w:hAnsi="宋体"/>
          <w:sz w:val="21"/>
          <w:szCs w:val="21"/>
        </w:rPr>
      </w:pPr>
      <w:bookmarkStart w:id="1" w:name="_Toc317864926"/>
      <w:bookmarkStart w:id="2" w:name="_Toc17564"/>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本招标技术文件适用于2025年南宁供电局生产类低值易耗品项目采购的</w:t>
      </w:r>
      <w:r>
        <w:rPr>
          <w:rFonts w:hint="eastAsia" w:ascii="宋体" w:hAnsi="宋体" w:cs="宋体"/>
          <w:szCs w:val="21"/>
          <w:lang w:val="en-US" w:eastAsia="zh-CN"/>
        </w:rPr>
        <w:t>回路电阻测试钳</w:t>
      </w:r>
      <w:r>
        <w:rPr>
          <w:rFonts w:hint="eastAsia" w:ascii="宋体" w:hAnsi="宋体"/>
          <w:szCs w:val="21"/>
        </w:rPr>
        <w:t>。</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rPr>
      </w:pPr>
      <w:r>
        <w:rPr>
          <w:rFonts w:hint="eastAsia" w:ascii="宋体" w:hAnsi="宋体"/>
          <w:szCs w:val="21"/>
        </w:rPr>
        <w:t>表1.1 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vAlign w:val="center"/>
          </w:tcPr>
          <w:p>
            <w:pPr>
              <w:rPr>
                <w:rFonts w:hint="eastAsia" w:ascii="宋体" w:hAnsi="宋体"/>
              </w:rPr>
            </w:pPr>
            <w:r>
              <w:rPr>
                <w:rFonts w:hint="eastAsia" w:ascii="宋体" w:hAnsi="宋体"/>
              </w:rPr>
              <w:t>序号</w:t>
            </w:r>
          </w:p>
        </w:tc>
        <w:tc>
          <w:tcPr>
            <w:tcW w:w="1365" w:type="dxa"/>
            <w:vMerge w:val="restart"/>
            <w:vAlign w:val="center"/>
          </w:tcPr>
          <w:p>
            <w:pP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vAlign w:val="center"/>
          </w:tcPr>
          <w:p>
            <w:pPr>
              <w:rPr>
                <w:rFonts w:hint="eastAsia" w:ascii="宋体" w:hAnsi="宋体"/>
              </w:rPr>
            </w:pPr>
            <w:r>
              <w:rPr>
                <w:rFonts w:hint="eastAsia" w:ascii="宋体" w:hAnsi="宋体"/>
              </w:rPr>
              <w:t>单位</w:t>
            </w:r>
          </w:p>
        </w:tc>
        <w:tc>
          <w:tcPr>
            <w:tcW w:w="3240" w:type="dxa"/>
            <w:gridSpan w:val="2"/>
            <w:tcBorders>
              <w:left w:val="single" w:color="auto" w:sz="4" w:space="0"/>
              <w:bottom w:val="single" w:color="auto" w:sz="4" w:space="0"/>
            </w:tcBorders>
            <w:vAlign w:val="center"/>
          </w:tcPr>
          <w:p>
            <w:pPr>
              <w:rPr>
                <w:rFonts w:hint="eastAsia" w:ascii="宋体" w:hAnsi="宋体"/>
              </w:rPr>
            </w:pPr>
            <w:r>
              <w:rPr>
                <w:rFonts w:hint="eastAsia" w:ascii="宋体" w:hAnsi="宋体"/>
              </w:rPr>
              <w:t>项目要求</w:t>
            </w:r>
          </w:p>
        </w:tc>
        <w:tc>
          <w:tcPr>
            <w:tcW w:w="2880" w:type="dxa"/>
            <w:gridSpan w:val="2"/>
            <w:tcBorders>
              <w:bottom w:val="single" w:color="auto" w:sz="4" w:space="0"/>
            </w:tcBorders>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vAlign w:val="center"/>
          </w:tcPr>
          <w:p>
            <w:pPr>
              <w:rPr>
                <w:rFonts w:hint="eastAsia" w:ascii="宋体" w:hAnsi="宋体"/>
              </w:rPr>
            </w:pPr>
          </w:p>
        </w:tc>
        <w:tc>
          <w:tcPr>
            <w:tcW w:w="1365" w:type="dxa"/>
            <w:vMerge w:val="continue"/>
            <w:vAlign w:val="center"/>
          </w:tcPr>
          <w:p>
            <w:pPr>
              <w:rPr>
                <w:rFonts w:hint="eastAsia" w:ascii="宋体" w:hAnsi="宋体"/>
              </w:rPr>
            </w:pPr>
          </w:p>
        </w:tc>
        <w:tc>
          <w:tcPr>
            <w:tcW w:w="480" w:type="dxa"/>
            <w:vMerge w:val="continue"/>
            <w:tcBorders>
              <w:right w:val="single" w:color="auto" w:sz="4" w:space="0"/>
            </w:tcBorders>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vAlign w:val="center"/>
          </w:tcPr>
          <w:p>
            <w:pPr>
              <w:rPr>
                <w:rFonts w:hint="eastAsia" w:ascii="宋体" w:hAnsi="宋体" w:cs="宋体"/>
                <w:szCs w:val="21"/>
              </w:rPr>
            </w:pPr>
            <w:r>
              <w:rPr>
                <w:rFonts w:hint="eastAsia" w:ascii="宋体" w:hAnsi="宋体" w:cs="宋体"/>
                <w:szCs w:val="21"/>
              </w:rPr>
              <w:t>1</w:t>
            </w:r>
          </w:p>
        </w:tc>
        <w:tc>
          <w:tcPr>
            <w:tcW w:w="1365" w:type="dxa"/>
            <w:vAlign w:val="center"/>
          </w:tcPr>
          <w:p>
            <w:pPr>
              <w:rPr>
                <w:rFonts w:hint="eastAsia" w:ascii="宋体" w:hAnsi="宋体" w:eastAsia="宋体" w:cs="宋体"/>
                <w:color w:val="000000"/>
                <w:szCs w:val="21"/>
                <w:lang w:eastAsia="zh-CN"/>
              </w:rPr>
            </w:pPr>
            <w:r>
              <w:rPr>
                <w:rFonts w:hint="eastAsia" w:ascii="宋体" w:hAnsi="宋体" w:cs="宋体"/>
                <w:szCs w:val="21"/>
                <w:lang w:val="en-US" w:eastAsia="zh-CN"/>
              </w:rPr>
              <w:t>回路电阻测试钳</w:t>
            </w:r>
          </w:p>
        </w:tc>
        <w:tc>
          <w:tcPr>
            <w:tcW w:w="480" w:type="dxa"/>
            <w:tcBorders>
              <w:right w:val="single" w:color="auto" w:sz="4" w:space="0"/>
            </w:tcBorders>
            <w:vAlign w:val="center"/>
          </w:tcPr>
          <w:p>
            <w:pPr>
              <w:rPr>
                <w:rFonts w:hint="eastAsia" w:ascii="宋体" w:hAnsi="宋体" w:eastAsia="宋体" w:cs="宋体"/>
                <w:szCs w:val="21"/>
                <w:lang w:eastAsia="zh-CN"/>
              </w:rPr>
            </w:pPr>
            <w:r>
              <w:rPr>
                <w:rFonts w:hint="eastAsia" w:ascii="宋体" w:hAnsi="宋体" w:cs="宋体"/>
                <w:szCs w:val="21"/>
                <w:lang w:val="en-US" w:eastAsia="zh-CN"/>
              </w:rPr>
              <w:t>把</w:t>
            </w:r>
          </w:p>
        </w:tc>
        <w:tc>
          <w:tcPr>
            <w:tcW w:w="2670" w:type="dxa"/>
            <w:tcBorders>
              <w:left w:val="single" w:color="auto" w:sz="4" w:space="0"/>
              <w:right w:val="single" w:color="auto" w:sz="4" w:space="0"/>
            </w:tcBorders>
            <w:vAlign w:val="center"/>
          </w:tcPr>
          <w:p>
            <w:pPr>
              <w:widowControl/>
              <w:spacing w:line="300" w:lineRule="atLeast"/>
              <w:rPr>
                <w:rFonts w:hint="eastAsia" w:ascii="宋体" w:hAnsi="宋体" w:cs="宋体"/>
                <w:szCs w:val="21"/>
              </w:rPr>
            </w:pPr>
            <w:r>
              <w:rPr>
                <w:rFonts w:hint="eastAsia" w:ascii="宋体" w:hAnsi="宋体" w:cs="宋体"/>
                <w:szCs w:val="21"/>
                <w:lang w:val="en-US" w:eastAsia="zh-CN"/>
              </w:rPr>
              <w:t>回路电阻测试钳，适用于保定金源科技有限公司的JYL型便携式回路电阻测试仪</w:t>
            </w:r>
          </w:p>
        </w:tc>
        <w:tc>
          <w:tcPr>
            <w:tcW w:w="570" w:type="dxa"/>
            <w:tcBorders>
              <w:left w:val="single" w:color="auto" w:sz="4" w:space="0"/>
            </w:tcBorders>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2</w:t>
            </w:r>
          </w:p>
        </w:tc>
        <w:tc>
          <w:tcPr>
            <w:tcW w:w="2340" w:type="dxa"/>
            <w:tcBorders>
              <w:right w:val="single" w:color="auto" w:sz="4" w:space="0"/>
            </w:tcBorders>
            <w:vAlign w:val="center"/>
          </w:tcPr>
          <w:p>
            <w:pPr>
              <w:rPr>
                <w:rFonts w:hint="eastAsia" w:ascii="宋体" w:hAnsi="宋体"/>
              </w:rPr>
            </w:pPr>
          </w:p>
        </w:tc>
        <w:tc>
          <w:tcPr>
            <w:tcW w:w="540" w:type="dxa"/>
            <w:tcBorders>
              <w:left w:val="single" w:color="auto" w:sz="4" w:space="0"/>
            </w:tcBorders>
            <w:vAlign w:val="center"/>
          </w:tcPr>
          <w:p>
            <w:pPr>
              <w:rPr>
                <w:rFonts w:hint="eastAsia" w:ascii="宋体" w:hAnsi="宋体"/>
              </w:rPr>
            </w:pPr>
          </w:p>
        </w:tc>
      </w:tr>
    </w:tbl>
    <w:p>
      <w:pPr>
        <w:rPr>
          <w:rFonts w:hint="eastAsia" w:ascii="宋体" w:hAnsi="宋体"/>
          <w:szCs w:val="21"/>
        </w:rPr>
      </w:pPr>
    </w:p>
    <w:p>
      <w:pPr>
        <w:spacing w:line="360" w:lineRule="auto"/>
        <w:jc w:val="center"/>
        <w:rPr>
          <w:rFonts w:hint="default" w:ascii="宋体" w:hAnsi="宋体"/>
          <w:szCs w:val="21"/>
          <w:lang w:val="en-US"/>
        </w:rPr>
      </w:pPr>
      <w:r>
        <w:rPr>
          <w:rFonts w:hint="eastAsia" w:ascii="宋体" w:hAnsi="宋体"/>
          <w:szCs w:val="21"/>
        </w:rPr>
        <w:t>表1.</w:t>
      </w:r>
      <w:r>
        <w:rPr>
          <w:rFonts w:hint="eastAsia" w:ascii="宋体" w:hAnsi="宋体"/>
          <w:szCs w:val="21"/>
          <w:lang w:val="en-US" w:eastAsia="zh-CN"/>
        </w:rPr>
        <w:t>2 主要技术参数表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74"/>
        <w:gridCol w:w="2025"/>
        <w:gridCol w:w="550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774" w:type="dxa"/>
            <w:vMerge w:val="restart"/>
            <w:vAlign w:val="center"/>
          </w:tcPr>
          <w:p>
            <w:pPr>
              <w:jc w:val="center"/>
              <w:rPr>
                <w:rFonts w:hint="eastAsia" w:ascii="宋体" w:hAnsi="宋体"/>
              </w:rPr>
            </w:pPr>
            <w:r>
              <w:rPr>
                <w:rFonts w:hint="eastAsia" w:ascii="宋体" w:hAnsi="宋体"/>
              </w:rPr>
              <w:t>序号</w:t>
            </w:r>
          </w:p>
        </w:tc>
        <w:tc>
          <w:tcPr>
            <w:tcW w:w="2025" w:type="dxa"/>
            <w:vMerge w:val="restart"/>
            <w:vAlign w:val="center"/>
          </w:tcPr>
          <w:p>
            <w:pPr>
              <w:jc w:val="center"/>
              <w:rPr>
                <w:rFonts w:hint="eastAsia" w:ascii="宋体" w:hAnsi="宋体" w:eastAsia="宋体"/>
                <w:lang w:val="en-US" w:eastAsia="zh-CN"/>
              </w:rPr>
            </w:pPr>
            <w:r>
              <w:rPr>
                <w:rFonts w:hint="eastAsia" w:ascii="宋体" w:hAnsi="宋体"/>
                <w:lang w:val="en-US" w:eastAsia="zh-CN"/>
              </w:rPr>
              <w:t>主要技术参数</w:t>
            </w:r>
          </w:p>
        </w:tc>
        <w:tc>
          <w:tcPr>
            <w:tcW w:w="5505" w:type="dxa"/>
            <w:vMerge w:val="restart"/>
            <w:tcBorders>
              <w:right w:val="single" w:color="auto" w:sz="4" w:space="0"/>
            </w:tcBorders>
            <w:vAlign w:val="center"/>
          </w:tcPr>
          <w:p>
            <w:pPr>
              <w:jc w:val="center"/>
              <w:rPr>
                <w:rFonts w:hint="default" w:ascii="宋体" w:hAnsi="宋体" w:eastAsia="宋体"/>
                <w:lang w:val="en-US" w:eastAsia="zh-CN"/>
              </w:rPr>
            </w:pPr>
            <w:r>
              <w:rPr>
                <w:rFonts w:hint="eastAsia" w:ascii="宋体" w:hAnsi="宋体"/>
                <w:lang w:val="en-US" w:eastAsia="zh-CN"/>
              </w:rPr>
              <w:t>具体技术指标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774" w:type="dxa"/>
            <w:vMerge w:val="continue"/>
            <w:vAlign w:val="center"/>
          </w:tcPr>
          <w:p>
            <w:pPr>
              <w:rPr>
                <w:rFonts w:hint="eastAsia" w:ascii="宋体" w:hAnsi="宋体"/>
              </w:rPr>
            </w:pPr>
          </w:p>
        </w:tc>
        <w:tc>
          <w:tcPr>
            <w:tcW w:w="2025" w:type="dxa"/>
            <w:vMerge w:val="continue"/>
            <w:vAlign w:val="center"/>
          </w:tcPr>
          <w:p>
            <w:pPr>
              <w:rPr>
                <w:rFonts w:hint="eastAsia" w:ascii="宋体" w:hAnsi="宋体"/>
              </w:rPr>
            </w:pPr>
          </w:p>
        </w:tc>
        <w:tc>
          <w:tcPr>
            <w:tcW w:w="5505" w:type="dxa"/>
            <w:vMerge w:val="continue"/>
            <w:tcBorders>
              <w:right w:val="single" w:color="auto" w:sz="4" w:space="0"/>
            </w:tcBorders>
            <w:vAlign w:val="center"/>
          </w:tcPr>
          <w:p>
            <w:pPr>
              <w:rPr>
                <w:rFonts w:hint="eastAsia"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774" w:type="dxa"/>
            <w:vAlign w:val="center"/>
          </w:tcPr>
          <w:p>
            <w:pPr>
              <w:jc w:val="center"/>
              <w:rPr>
                <w:rFonts w:hint="eastAsia" w:ascii="宋体" w:hAnsi="宋体" w:cs="宋体"/>
                <w:szCs w:val="21"/>
                <w:highlight w:val="none"/>
              </w:rPr>
            </w:pPr>
            <w:r>
              <w:rPr>
                <w:rFonts w:hint="eastAsia" w:ascii="宋体" w:hAnsi="宋体" w:cs="宋体"/>
                <w:szCs w:val="21"/>
                <w:highlight w:val="none"/>
              </w:rPr>
              <w:t>1</w:t>
            </w:r>
          </w:p>
        </w:tc>
        <w:tc>
          <w:tcPr>
            <w:tcW w:w="2025" w:type="dxa"/>
            <w:vAlign w:val="center"/>
          </w:tcPr>
          <w:p>
            <w:pPr>
              <w:jc w:val="center"/>
              <w:rPr>
                <w:rFonts w:hint="eastAsia" w:ascii="宋体" w:hAnsi="宋体" w:eastAsia="宋体" w:cs="宋体"/>
                <w:color w:val="000000"/>
                <w:szCs w:val="21"/>
                <w:highlight w:val="none"/>
                <w:lang w:eastAsia="zh-CN"/>
              </w:rPr>
            </w:pPr>
            <w:r>
              <w:rPr>
                <w:rFonts w:hint="eastAsia" w:ascii="宋体" w:hAnsi="宋体" w:cs="宋体"/>
                <w:szCs w:val="21"/>
                <w:highlight w:val="none"/>
                <w:lang w:val="en-US" w:eastAsia="zh-CN"/>
              </w:rPr>
              <w:t>配件</w:t>
            </w:r>
          </w:p>
        </w:tc>
        <w:tc>
          <w:tcPr>
            <w:tcW w:w="5505" w:type="dxa"/>
            <w:tcBorders>
              <w:right w:val="single" w:color="auto" w:sz="4" w:space="0"/>
            </w:tcBorders>
            <w:vAlign w:val="center"/>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包含测试线</w:t>
            </w:r>
            <w:r>
              <w:rPr>
                <w:rFonts w:hint="eastAsia" w:ascii="宋体" w:hAnsi="宋体" w:cs="宋体"/>
                <w:szCs w:val="21"/>
                <w:highlight w:val="none"/>
                <w:lang w:eastAsia="zh-CN"/>
              </w:rPr>
              <w:t>，</w:t>
            </w:r>
            <w:r>
              <w:rPr>
                <w:rFonts w:hint="eastAsia" w:ascii="宋体" w:hAnsi="宋体" w:cs="宋体"/>
                <w:szCs w:val="21"/>
                <w:lang w:val="en-US" w:eastAsia="zh-CN"/>
              </w:rPr>
              <w:t>15</w:t>
            </w:r>
            <w:bookmarkStart w:id="55" w:name="_GoBack"/>
            <w:bookmarkEnd w:id="55"/>
            <w:r>
              <w:rPr>
                <w:rFonts w:hint="eastAsia" w:ascii="宋体" w:hAnsi="宋体" w:cs="宋体"/>
                <w:szCs w:val="21"/>
                <w:lang w:val="en-US" w:eastAsia="zh-CN"/>
              </w:rPr>
              <w:t>米/条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774" w:type="dxa"/>
            <w:vAlign w:val="center"/>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p>
        </w:tc>
        <w:tc>
          <w:tcPr>
            <w:tcW w:w="2025" w:type="dxa"/>
            <w:vAlign w:val="center"/>
          </w:tcPr>
          <w:p>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铜芯截面积</w:t>
            </w:r>
          </w:p>
        </w:tc>
        <w:tc>
          <w:tcPr>
            <w:tcW w:w="5505" w:type="dxa"/>
            <w:tcBorders>
              <w:right w:val="single" w:color="auto" w:sz="4" w:space="0"/>
            </w:tcBorders>
            <w:vAlign w:val="center"/>
          </w:tcPr>
          <w:p>
            <w:pPr>
              <w:jc w:val="center"/>
              <w:rPr>
                <w:rFonts w:hint="default" w:ascii="宋体" w:hAnsi="宋体" w:cs="宋体"/>
                <w:i w:val="0"/>
                <w:iCs w:val="0"/>
                <w:caps w:val="0"/>
                <w:color w:val="000000"/>
                <w:spacing w:val="0"/>
                <w:sz w:val="18"/>
                <w:szCs w:val="18"/>
                <w:highlight w:val="none"/>
                <w:shd w:val="clear" w:fill="FFFFFF"/>
                <w:lang w:val="en-US" w:eastAsia="zh-CN"/>
              </w:rPr>
            </w:pPr>
            <w:r>
              <w:rPr>
                <w:rFonts w:hint="eastAsia" w:ascii="宋体" w:hAnsi="宋体" w:cs="宋体"/>
                <w:szCs w:val="21"/>
                <w:lang w:val="en-US" w:eastAsia="zh-CN"/>
              </w:rPr>
              <w:t>20mm2以上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774" w:type="dxa"/>
            <w:vAlign w:val="center"/>
          </w:tcPr>
          <w:p>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3</w:t>
            </w:r>
          </w:p>
        </w:tc>
        <w:tc>
          <w:tcPr>
            <w:tcW w:w="2025" w:type="dxa"/>
            <w:vAlign w:val="center"/>
          </w:tcPr>
          <w:p>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组装方式</w:t>
            </w:r>
          </w:p>
        </w:tc>
        <w:tc>
          <w:tcPr>
            <w:tcW w:w="5505" w:type="dxa"/>
            <w:tcBorders>
              <w:right w:val="single" w:color="auto" w:sz="4" w:space="0"/>
            </w:tcBorders>
            <w:vAlign w:val="center"/>
          </w:tcPr>
          <w:p>
            <w:pPr>
              <w:jc w:val="center"/>
              <w:rPr>
                <w:rFonts w:hint="default" w:ascii="宋体" w:hAnsi="宋体" w:cs="宋体"/>
                <w:szCs w:val="21"/>
                <w:lang w:val="en-US" w:eastAsia="zh-CN"/>
              </w:rPr>
            </w:pPr>
            <w:r>
              <w:rPr>
                <w:rFonts w:hint="eastAsia" w:ascii="宋体" w:hAnsi="宋体" w:cs="宋体"/>
                <w:szCs w:val="21"/>
                <w:lang w:val="en-US" w:eastAsia="zh-CN"/>
              </w:rPr>
              <w:t>在钳子内部接线</w:t>
            </w:r>
          </w:p>
        </w:tc>
      </w:tr>
    </w:tbl>
    <w:p>
      <w:pPr>
        <w:widowControl/>
        <w:spacing w:line="300" w:lineRule="atLeast"/>
        <w:ind w:firstLine="420" w:firstLineChars="200"/>
        <w:jc w:val="left"/>
        <w:rPr>
          <w:rFonts w:hint="eastAsia" w:ascii="宋体" w:hAnsi="宋体"/>
          <w:szCs w:val="21"/>
        </w:rPr>
      </w:pPr>
    </w:p>
    <w:p>
      <w:pPr>
        <w:widowControl/>
        <w:spacing w:line="300" w:lineRule="atLeast"/>
        <w:ind w:firstLine="420" w:firstLineChars="200"/>
        <w:jc w:val="left"/>
        <w:rPr>
          <w:rFonts w:ascii="宋体" w:hAnsi="宋体"/>
          <w:szCs w:val="21"/>
        </w:rPr>
      </w:pPr>
      <w:r>
        <w:rPr>
          <w:rFonts w:hint="eastAsia" w:ascii="宋体" w:hAnsi="宋体"/>
          <w:szCs w:val="21"/>
        </w:rPr>
        <w:t>回路电阻测试钳示意图如下，图片仅供参考：</w:t>
      </w:r>
    </w:p>
    <w:p>
      <w:pPr>
        <w:widowControl/>
        <w:spacing w:line="300" w:lineRule="atLeast"/>
        <w:ind w:firstLine="420" w:firstLineChars="200"/>
        <w:jc w:val="left"/>
        <w:rPr>
          <w:rFonts w:hint="eastAsia" w:eastAsia="宋体"/>
          <w:lang w:eastAsia="zh-CN"/>
        </w:rPr>
      </w:pPr>
      <w:r>
        <w:rPr>
          <w:rFonts w:hint="eastAsia"/>
        </w:rPr>
        <w:t xml:space="preserve">      </w:t>
      </w:r>
      <w:r>
        <w:rPr>
          <w:rFonts w:hint="eastAsia" w:eastAsia="宋体"/>
          <w:lang w:eastAsia="zh-CN"/>
        </w:rPr>
        <w:drawing>
          <wp:inline distT="0" distB="0" distL="114300" distR="114300">
            <wp:extent cx="4681855" cy="3511550"/>
            <wp:effectExtent l="0" t="0" r="4445" b="12700"/>
            <wp:docPr id="5" name="图片 5" descr="a7704b2692267292024a98d6fefab2d0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a7704b2692267292024a98d6fefab2d0_compress"/>
                    <pic:cNvPicPr>
                      <a:picLocks noChangeAspect="1"/>
                    </pic:cNvPicPr>
                  </pic:nvPicPr>
                  <pic:blipFill>
                    <a:blip r:embed="rId11"/>
                    <a:stretch>
                      <a:fillRect/>
                    </a:stretch>
                  </pic:blipFill>
                  <pic:spPr>
                    <a:xfrm>
                      <a:off x="0" y="0"/>
                      <a:ext cx="4681855" cy="3511550"/>
                    </a:xfrm>
                    <a:prstGeom prst="rect">
                      <a:avLst/>
                    </a:prstGeom>
                  </pic:spPr>
                </pic:pic>
              </a:graphicData>
            </a:graphic>
          </wp:inline>
        </w:drawing>
      </w:r>
    </w:p>
    <w:p>
      <w:pPr>
        <w:widowControl/>
        <w:spacing w:line="300" w:lineRule="atLeast"/>
        <w:ind w:firstLine="420" w:firstLineChars="200"/>
        <w:jc w:val="left"/>
        <w:rPr>
          <w:rFonts w:ascii="宋体" w:hAnsi="宋体"/>
          <w:szCs w:val="21"/>
        </w:rPr>
      </w:pPr>
      <w:r>
        <w:rPr>
          <w:rFonts w:hint="eastAsia" w:ascii="宋体" w:hAnsi="宋体"/>
          <w:szCs w:val="21"/>
        </w:rPr>
        <w:t>所附图片仅供参考，不涉及品牌指定，投标人不能直接引用该图片应标。</w:t>
      </w:r>
    </w:p>
    <w:bookmarkEnd w:id="3"/>
    <w:p>
      <w:pPr>
        <w:pStyle w:val="3"/>
        <w:adjustRightInd w:val="0"/>
        <w:spacing w:before="240" w:beforeLines="0"/>
        <w:rPr>
          <w:rFonts w:hint="eastAsia" w:hAnsi="宋体"/>
          <w:b w:val="0"/>
          <w:sz w:val="21"/>
          <w:szCs w:val="21"/>
        </w:rPr>
      </w:pPr>
      <w:bookmarkStart w:id="4" w:name="_Toc20446"/>
      <w:bookmarkStart w:id="5" w:name="_Toc317864929"/>
      <w:r>
        <w:rPr>
          <w:rFonts w:hint="eastAsia" w:hAnsi="宋体"/>
          <w:sz w:val="21"/>
          <w:szCs w:val="21"/>
        </w:rPr>
        <w:t>应遵循的主要标准</w:t>
      </w:r>
      <w:bookmarkEnd w:id="4"/>
      <w:bookmarkEnd w:id="5"/>
    </w:p>
    <w:p>
      <w:pPr>
        <w:spacing w:line="360" w:lineRule="auto"/>
        <w:ind w:firstLine="411" w:firstLineChars="196"/>
        <w:rPr>
          <w:rFonts w:hint="eastAsia"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int="eastAsia" w:hAnsi="宋体"/>
          <w:sz w:val="21"/>
          <w:szCs w:val="21"/>
        </w:rPr>
      </w:pPr>
      <w:bookmarkStart w:id="6" w:name="_Toc23061"/>
      <w:bookmarkStart w:id="7" w:name="_Toc279769035"/>
      <w:bookmarkStart w:id="8" w:name="_Toc317864930"/>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回路电阻测试钳，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hint="eastAsia" w:ascii="宋体" w:hAnsi="宋体"/>
          <w:szCs w:val="21"/>
        </w:rPr>
      </w:pPr>
      <w:bookmarkStart w:id="10" w:name="_Toc279695206"/>
      <w:bookmarkStart w:id="11" w:name="_Toc317864943"/>
      <w:bookmarkStart w:id="12" w:name="_Toc20205"/>
      <w:r>
        <w:rPr>
          <w:rFonts w:hint="eastAsia" w:ascii="宋体" w:hAnsi="宋体"/>
          <w:szCs w:val="21"/>
        </w:rPr>
        <w:t>3.1 使用条件</w:t>
      </w:r>
    </w:p>
    <w:p>
      <w:pPr>
        <w:pStyle w:val="82"/>
        <w:spacing w:line="360" w:lineRule="auto"/>
        <w:ind w:firstLine="420"/>
        <w:rPr>
          <w:rFonts w:hint="eastAsia" w:hAnsi="宋体"/>
          <w:szCs w:val="21"/>
        </w:rPr>
      </w:pPr>
      <w:r>
        <w:rPr>
          <w:rFonts w:hint="eastAsia" w:hAnsi="宋体"/>
          <w:szCs w:val="21"/>
        </w:rPr>
        <w:t xml:space="preserve">3.1.1 </w:t>
      </w:r>
      <w:r>
        <w:rPr>
          <w:rFonts w:hAnsi="宋体"/>
          <w:szCs w:val="21"/>
        </w:rPr>
        <w:t>周围空气温度</w:t>
      </w:r>
    </w:p>
    <w:p>
      <w:pPr>
        <w:adjustRightInd w:val="0"/>
        <w:snapToGrid w:val="0"/>
        <w:spacing w:line="360" w:lineRule="auto"/>
        <w:ind w:firstLine="1050" w:firstLineChars="500"/>
        <w:rPr>
          <w:rFonts w:hint="eastAsia" w:ascii="宋体" w:hAnsi="宋体"/>
          <w:kern w:val="0"/>
          <w:szCs w:val="21"/>
        </w:rPr>
      </w:pPr>
      <w:r>
        <w:rPr>
          <w:rFonts w:ascii="宋体" w:hAnsi="宋体"/>
          <w:kern w:val="0"/>
          <w:szCs w:val="21"/>
        </w:rPr>
        <w:t>最高温度</w:t>
      </w:r>
      <w:r>
        <w:rPr>
          <w:rFonts w:hint="eastAsia" w:ascii="宋体" w:hAnsi="宋体"/>
          <w:kern w:val="0"/>
          <w:szCs w:val="21"/>
        </w:rPr>
        <w:t>：</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+80</w:t>
      </w:r>
      <w:r>
        <w:rPr>
          <w:rFonts w:ascii="宋体" w:hAnsi="宋体"/>
          <w:kern w:val="0"/>
          <w:szCs w:val="21"/>
        </w:rPr>
        <w:t>℃</w:t>
      </w:r>
    </w:p>
    <w:p>
      <w:pPr>
        <w:adjustRightInd w:val="0"/>
        <w:snapToGrid w:val="0"/>
        <w:spacing w:line="360" w:lineRule="auto"/>
        <w:ind w:firstLine="1050" w:firstLineChars="500"/>
        <w:rPr>
          <w:rFonts w:hint="eastAsia" w:ascii="宋体" w:hAnsi="宋体"/>
          <w:kern w:val="0"/>
          <w:szCs w:val="21"/>
        </w:rPr>
      </w:pPr>
      <w:r>
        <w:rPr>
          <w:rFonts w:hint="eastAsia" w:ascii="宋体" w:hAnsi="宋体"/>
          <w:kern w:val="0"/>
          <w:szCs w:val="21"/>
        </w:rPr>
        <w:t>最低气温：</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w:t>
      </w:r>
      <w:r>
        <w:rPr>
          <w:rFonts w:ascii="宋体" w:hAnsi="宋体"/>
          <w:kern w:val="0"/>
          <w:szCs w:val="21"/>
        </w:rPr>
        <w:t xml:space="preserve">5 </w:t>
      </w:r>
      <w:r>
        <w:rPr>
          <w:rFonts w:hint="eastAsia" w:ascii="宋体" w:hAnsi="宋体"/>
          <w:kern w:val="0"/>
          <w:szCs w:val="21"/>
        </w:rPr>
        <w:t>户外”级为-</w:t>
      </w:r>
      <w:r>
        <w:rPr>
          <w:rFonts w:ascii="宋体" w:hAnsi="宋体"/>
          <w:kern w:val="0"/>
          <w:szCs w:val="21"/>
        </w:rPr>
        <w:t>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w:t>
      </w:r>
      <w:r>
        <w:rPr>
          <w:rFonts w:ascii="宋体" w:hAnsi="宋体"/>
          <w:kern w:val="0"/>
          <w:szCs w:val="21"/>
        </w:rPr>
        <w:t xml:space="preserve">15 </w:t>
      </w:r>
      <w:r>
        <w:rPr>
          <w:rFonts w:hint="eastAsia" w:ascii="宋体" w:hAnsi="宋体"/>
          <w:kern w:val="0"/>
          <w:szCs w:val="21"/>
        </w:rPr>
        <w:t>户外”级为-</w:t>
      </w:r>
      <w:r>
        <w:rPr>
          <w:rFonts w:ascii="宋体" w:hAnsi="宋体"/>
          <w:kern w:val="0"/>
          <w:szCs w:val="21"/>
        </w:rPr>
        <w:t>15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“-2</w:t>
      </w:r>
      <w:r>
        <w:rPr>
          <w:rFonts w:ascii="宋体" w:hAnsi="宋体"/>
          <w:kern w:val="0"/>
          <w:szCs w:val="21"/>
        </w:rPr>
        <w:t xml:space="preserve">5 </w:t>
      </w:r>
      <w:r>
        <w:rPr>
          <w:rFonts w:hint="eastAsia" w:ascii="宋体" w:hAnsi="宋体"/>
          <w:kern w:val="0"/>
          <w:szCs w:val="21"/>
        </w:rPr>
        <w:t>户外”级为-2</w:t>
      </w:r>
      <w:r>
        <w:rPr>
          <w:rFonts w:ascii="宋体" w:hAnsi="宋体"/>
          <w:kern w:val="0"/>
          <w:szCs w:val="21"/>
        </w:rPr>
        <w:t>5</w:t>
      </w:r>
      <w:r>
        <w:rPr>
          <w:rFonts w:hint="eastAsia" w:ascii="宋体" w:hAnsi="宋体"/>
          <w:kern w:val="0"/>
          <w:szCs w:val="21"/>
        </w:rPr>
        <w:t>℃</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3.1.3 </w:t>
      </w:r>
      <w:r>
        <w:rPr>
          <w:rFonts w:ascii="宋体" w:hAnsi="宋体" w:eastAsia="宋体"/>
          <w:sz w:val="21"/>
          <w:szCs w:val="21"/>
        </w:rPr>
        <w:t>环境相对湿度(在25℃时)</w:t>
      </w:r>
    </w:p>
    <w:p>
      <w:pPr>
        <w:pStyle w:val="82"/>
        <w:spacing w:line="360" w:lineRule="auto"/>
        <w:ind w:firstLine="1050" w:firstLineChars="500"/>
        <w:rPr>
          <w:rFonts w:hint="eastAsia" w:hAnsi="宋体"/>
          <w:szCs w:val="21"/>
        </w:rPr>
      </w:pPr>
      <w:r>
        <w:rPr>
          <w:rFonts w:hAnsi="宋体"/>
          <w:szCs w:val="21"/>
        </w:rPr>
        <w:t>日平均值：</w:t>
      </w:r>
      <w:r>
        <w:rPr>
          <w:rFonts w:hint="eastAsia" w:hAnsi="宋体"/>
          <w:szCs w:val="21"/>
        </w:rPr>
        <w:t xml:space="preserve">        </w:t>
      </w:r>
      <w:r>
        <w:rPr>
          <w:rFonts w:hAnsi="宋体"/>
          <w:szCs w:val="21"/>
        </w:rPr>
        <w:t>95%</w:t>
      </w:r>
    </w:p>
    <w:p>
      <w:pPr>
        <w:pStyle w:val="82"/>
        <w:spacing w:line="360" w:lineRule="auto"/>
        <w:ind w:firstLine="1050" w:firstLineChars="500"/>
        <w:rPr>
          <w:rFonts w:hint="eastAsia" w:hAnsi="宋体"/>
          <w:szCs w:val="21"/>
        </w:rPr>
      </w:pPr>
      <w:r>
        <w:rPr>
          <w:rFonts w:hAnsi="宋体"/>
          <w:szCs w:val="21"/>
        </w:rPr>
        <w:t>月平均值：</w:t>
      </w:r>
      <w:r>
        <w:rPr>
          <w:rFonts w:hint="eastAsia" w:hAnsi="宋体"/>
          <w:szCs w:val="21"/>
        </w:rPr>
        <w:t xml:space="preserve">        </w:t>
      </w:r>
      <w:r>
        <w:rPr>
          <w:rFonts w:hAnsi="宋体"/>
          <w:szCs w:val="21"/>
        </w:rPr>
        <w:t>90%</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firstLine="420"/>
        <w:rPr>
          <w:rFonts w:hint="eastAsia" w:hAnsi="宋体"/>
          <w:szCs w:val="21"/>
        </w:rPr>
      </w:pPr>
      <w:r>
        <w:rPr>
          <w:rFonts w:hint="eastAsia" w:hAnsi="宋体"/>
          <w:szCs w:val="21"/>
        </w:rPr>
        <w:t>3.1.6 污秽等级：     4级</w:t>
      </w:r>
    </w:p>
    <w:p>
      <w:pPr>
        <w:adjustRightInd w:val="0"/>
        <w:snapToGrid w:val="0"/>
        <w:spacing w:line="360" w:lineRule="auto"/>
        <w:outlineLvl w:val="1"/>
        <w:rPr>
          <w:rFonts w:hint="eastAsia" w:ascii="宋体" w:hAnsi="宋体"/>
          <w:szCs w:val="21"/>
        </w:rPr>
      </w:pPr>
      <w:bookmarkStart w:id="13" w:name="_Toc410768461"/>
      <w:bookmarkStart w:id="14" w:name="_Toc410768487"/>
      <w:bookmarkStart w:id="15" w:name="_Toc4533"/>
      <w:r>
        <w:rPr>
          <w:rFonts w:hint="eastAsia" w:ascii="宋体" w:hAnsi="宋体"/>
          <w:szCs w:val="21"/>
        </w:rPr>
        <w:t>3.2 储存条件</w:t>
      </w:r>
      <w:bookmarkEnd w:id="13"/>
      <w:bookmarkEnd w:id="14"/>
      <w:bookmarkEnd w:id="15"/>
    </w:p>
    <w:p>
      <w:pPr>
        <w:spacing w:line="360" w:lineRule="auto"/>
        <w:ind w:firstLine="420" w:firstLineChars="200"/>
        <w:rPr>
          <w:rFonts w:hint="eastAsia" w:hAnsi="宋体"/>
          <w:szCs w:val="21"/>
        </w:rPr>
      </w:pPr>
      <w:r>
        <w:rPr>
          <w:rFonts w:hAnsi="宋体"/>
          <w:szCs w:val="21"/>
        </w:rPr>
        <w:t>储存条件：周围空气温度为</w:t>
      </w:r>
      <w:r>
        <w:rPr>
          <w:rFonts w:hint="eastAsia" w:hAnsi="宋体"/>
          <w:szCs w:val="21"/>
        </w:rPr>
        <w:t>-40</w:t>
      </w:r>
      <w:r>
        <w:rPr>
          <w:rFonts w:hAnsi="宋体"/>
          <w:szCs w:val="21"/>
        </w:rPr>
        <w:t>℃</w:t>
      </w:r>
      <w:r>
        <w:rPr>
          <w:rFonts w:hint="eastAsia" w:hAnsi="宋体"/>
          <w:szCs w:val="21"/>
        </w:rPr>
        <w:t xml:space="preserve"> ~ +70</w:t>
      </w:r>
      <w:r>
        <w:rPr>
          <w:rFonts w:hAnsi="宋体"/>
          <w:szCs w:val="21"/>
        </w:rPr>
        <w:t>℃</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现场调试</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.1在调试过程中，若发现设备存在元器件损坏或不正常工作情况，投标方应负责更换。</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现场验收</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1</w:t>
      </w:r>
      <w:r>
        <w:rPr>
          <w:rFonts w:ascii="宋体" w:hAnsi="宋体"/>
          <w:szCs w:val="21"/>
        </w:rPr>
        <w:t>现场验收应在所有设备安装调试完毕，且设备准备投入试运行时进行,并出具书面测试报告。</w:t>
      </w:r>
    </w:p>
    <w:p>
      <w:pPr>
        <w:spacing w:line="360" w:lineRule="auto"/>
        <w:ind w:firstLine="420" w:firstLineChars="200"/>
        <w:rPr>
          <w:rFonts w:hint="eastAsia" w:ascii="宋体" w:hAnsi="宋体"/>
          <w:sz w:val="24"/>
          <w:szCs w:val="28"/>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2</w:t>
      </w:r>
      <w:r>
        <w:rPr>
          <w:rFonts w:ascii="宋体" w:hAnsi="宋体"/>
          <w:szCs w:val="21"/>
        </w:rPr>
        <w:t>备品备件、文档资料均作为验收的一部分</w:t>
      </w:r>
      <w:r>
        <w:rPr>
          <w:rFonts w:ascii="宋体" w:hAnsi="宋体"/>
          <w:sz w:val="24"/>
          <w:szCs w:val="28"/>
        </w:rPr>
        <w:t>。</w:t>
      </w:r>
      <w:r>
        <w:rPr>
          <w:rFonts w:ascii="宋体" w:hAnsi="宋体"/>
          <w:sz w:val="24"/>
          <w:szCs w:val="28"/>
        </w:rPr>
        <w:tab/>
      </w:r>
    </w:p>
    <w:p>
      <w:pPr>
        <w:pStyle w:val="3"/>
        <w:numPr>
          <w:ilvl w:val="0"/>
          <w:numId w:val="0"/>
        </w:numPr>
        <w:adjustRightInd w:val="0"/>
        <w:spacing w:before="240" w:beforeLines="0"/>
        <w:rPr>
          <w:rFonts w:hint="eastAsia" w:hAnsi="宋体"/>
          <w:sz w:val="21"/>
          <w:szCs w:val="21"/>
        </w:rPr>
      </w:pPr>
      <w:r>
        <w:rPr>
          <w:rFonts w:hint="eastAsia" w:hAnsi="宋体"/>
          <w:sz w:val="21"/>
          <w:szCs w:val="21"/>
        </w:rPr>
        <w:t>4技术文件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int="eastAsia" w:hAnsi="宋体"/>
          <w:sz w:val="21"/>
          <w:szCs w:val="21"/>
        </w:rPr>
      </w:pPr>
      <w:bookmarkStart w:id="16" w:name="_Toc279695207"/>
      <w:bookmarkStart w:id="17" w:name="_Toc276492435"/>
      <w:bookmarkStart w:id="18" w:name="_Toc276490917"/>
      <w:bookmarkStart w:id="19" w:name="_Toc317864953"/>
      <w:bookmarkStart w:id="20" w:name="_Toc2582"/>
      <w:r>
        <w:rPr>
          <w:rFonts w:hint="eastAsia" w:hAnsi="宋体"/>
          <w:sz w:val="21"/>
          <w:szCs w:val="21"/>
        </w:rPr>
        <w:t>5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int="eastAsia" w:hAnsi="宋体"/>
          <w:sz w:val="21"/>
          <w:szCs w:val="21"/>
        </w:rPr>
      </w:pPr>
      <w:bookmarkStart w:id="21" w:name="_Toc292221713"/>
      <w:bookmarkStart w:id="22" w:name="_Toc410768496"/>
      <w:bookmarkStart w:id="23" w:name="_Toc0"/>
      <w:bookmarkStart w:id="24" w:name="_Toc318298397"/>
      <w:bookmarkStart w:id="25" w:name="_Toc23130"/>
      <w:bookmarkStart w:id="26" w:name="_Toc22036"/>
      <w:bookmarkStart w:id="27" w:name="_Toc3377"/>
      <w:bookmarkStart w:id="28" w:name="_Toc25652"/>
      <w:bookmarkStart w:id="29" w:name="_Toc410768470"/>
      <w:bookmarkStart w:id="30" w:name="_Toc317864958"/>
      <w:bookmarkStart w:id="31" w:name="_Toc291768558"/>
      <w:r>
        <w:rPr>
          <w:rFonts w:hint="eastAsia" w:hAnsi="宋体"/>
          <w:sz w:val="21"/>
          <w:szCs w:val="21"/>
        </w:rPr>
        <w:t>5.1包装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int="eastAsia" w:hAnsi="宋体"/>
          <w:sz w:val="21"/>
          <w:szCs w:val="21"/>
        </w:rPr>
      </w:pPr>
      <w:bookmarkStart w:id="32" w:name="_Toc410768497"/>
      <w:bookmarkStart w:id="33" w:name="_Toc29355"/>
      <w:bookmarkStart w:id="34" w:name="_Toc5574"/>
      <w:bookmarkStart w:id="35" w:name="_Toc292221714"/>
      <w:bookmarkStart w:id="36" w:name="_Toc9540"/>
      <w:bookmarkStart w:id="37" w:name="_Toc31673"/>
      <w:bookmarkStart w:id="38" w:name="_Toc318298398"/>
      <w:bookmarkStart w:id="39" w:name="_Toc410768471"/>
      <w:bookmarkStart w:id="40" w:name="_Toc25907"/>
      <w:r>
        <w:rPr>
          <w:rFonts w:hint="eastAsia" w:hAnsi="宋体"/>
          <w:sz w:val="21"/>
          <w:szCs w:val="21"/>
        </w:rPr>
        <w:t>5.2运输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5.2.3</w:t>
      </w:r>
      <w:r>
        <w:rPr>
          <w:rFonts w:ascii="宋体" w:hAnsi="宋体"/>
          <w:szCs w:val="21"/>
        </w:rPr>
        <w:t>随同运输的产品应附有装箱清单，产品所需提供的技术资料应完整无缺。</w:t>
      </w:r>
    </w:p>
    <w:p>
      <w:pPr>
        <w:pStyle w:val="2"/>
        <w:numPr>
          <w:ilvl w:val="0"/>
          <w:numId w:val="0"/>
        </w:numPr>
        <w:tabs>
          <w:tab w:val="left" w:pos="1276"/>
        </w:tabs>
        <w:rPr>
          <w:rFonts w:hint="eastAsia" w:hAnsi="宋体"/>
          <w:sz w:val="21"/>
          <w:szCs w:val="21"/>
        </w:rPr>
      </w:pPr>
      <w:bookmarkStart w:id="41" w:name="_Toc2698"/>
      <w:bookmarkStart w:id="42" w:name="_Toc292221716"/>
      <w:bookmarkStart w:id="43" w:name="_Toc14597"/>
      <w:bookmarkStart w:id="44" w:name="_Toc7733"/>
      <w:bookmarkStart w:id="45" w:name="_Toc31032"/>
      <w:bookmarkStart w:id="46" w:name="_Toc1086"/>
      <w:bookmarkStart w:id="47" w:name="_Toc318298400"/>
      <w:bookmarkStart w:id="48" w:name="_Toc410768498"/>
      <w:bookmarkStart w:id="49" w:name="_Toc410768472"/>
      <w:r>
        <w:rPr>
          <w:rFonts w:hint="eastAsia" w:hAnsi="宋体"/>
          <w:sz w:val="21"/>
          <w:szCs w:val="21"/>
        </w:rPr>
        <w:t>5.3质量保证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5.3.2卖方应对其设备在到货后提供不少于两年的“三包”质量保证。之后如发生产品损坏，卖方应及时为本组装置提供维修部件，并按最近的投标价提供。</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5.3.3订购的新型产品除应满足本标准外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5.3.4卖方应保证制造过程中的所有工艺、材料试验等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5.3.5附属及配套设备必须满足有关行业标准的要求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5.3.6设备制造单位应保证产品制造过程中的所有工艺，元器件（包括供方的外包件在内）及试验等均应符合本原则的要求。</w:t>
      </w:r>
      <w:bookmarkEnd w:id="30"/>
      <w:bookmarkEnd w:id="31"/>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5.3.7设备制造单位应保证产品制造过程中的所有工艺，元器件（包括供方的外包件在内）及试验等均应符合本原则的要求。</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5.3.8产品保质期投运后一年或到货后十八个月，以先到期为准。如采用全寿命周期招标，则产品保质期应覆盖该产品全寿命周期。</w:t>
      </w:r>
    </w:p>
    <w:p>
      <w:pPr>
        <w:pStyle w:val="3"/>
        <w:numPr>
          <w:ilvl w:val="0"/>
          <w:numId w:val="0"/>
        </w:numPr>
        <w:adjustRightInd w:val="0"/>
        <w:spacing w:before="120" w:beforeLines="50"/>
        <w:rPr>
          <w:rFonts w:hint="eastAsia" w:hAnsi="宋体"/>
          <w:sz w:val="21"/>
          <w:szCs w:val="21"/>
        </w:rPr>
      </w:pPr>
      <w:bookmarkStart w:id="50" w:name="_Toc282421446"/>
      <w:bookmarkStart w:id="51" w:name="_Toc287602850"/>
      <w:bookmarkStart w:id="52" w:name="_Toc317864966"/>
      <w:bookmarkStart w:id="53" w:name="_Toc29712"/>
      <w:bookmarkStart w:id="54" w:name="_Toc282420857"/>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hint="eastAsia"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4">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6">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53208E"/>
    <w:multiLevelType w:val="multilevel"/>
    <w:tmpl w:val="0053208E"/>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3"/>
  </w:num>
  <w:num w:numId="2">
    <w:abstractNumId w:val="5"/>
  </w:num>
  <w:num w:numId="3">
    <w:abstractNumId w:val="8"/>
  </w:num>
  <w:num w:numId="4">
    <w:abstractNumId w:val="4"/>
  </w:num>
  <w:num w:numId="5">
    <w:abstractNumId w:val="1"/>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72A27"/>
    <w:rsid w:val="001A0C6F"/>
    <w:rsid w:val="001C5014"/>
    <w:rsid w:val="002650C6"/>
    <w:rsid w:val="002B6CF9"/>
    <w:rsid w:val="0030505C"/>
    <w:rsid w:val="003B2972"/>
    <w:rsid w:val="004753E2"/>
    <w:rsid w:val="00477A2D"/>
    <w:rsid w:val="005C0463"/>
    <w:rsid w:val="00710853"/>
    <w:rsid w:val="00782CDC"/>
    <w:rsid w:val="007D04A2"/>
    <w:rsid w:val="00861B04"/>
    <w:rsid w:val="00893D7A"/>
    <w:rsid w:val="00931E53"/>
    <w:rsid w:val="009478A0"/>
    <w:rsid w:val="00964833"/>
    <w:rsid w:val="009F4530"/>
    <w:rsid w:val="00A0207F"/>
    <w:rsid w:val="00A81352"/>
    <w:rsid w:val="00AC551C"/>
    <w:rsid w:val="00B90719"/>
    <w:rsid w:val="00F939B0"/>
    <w:rsid w:val="00FE3595"/>
    <w:rsid w:val="011D7835"/>
    <w:rsid w:val="01314F01"/>
    <w:rsid w:val="01360771"/>
    <w:rsid w:val="01C83A87"/>
    <w:rsid w:val="02DB6F44"/>
    <w:rsid w:val="03AD6239"/>
    <w:rsid w:val="03C7660C"/>
    <w:rsid w:val="03F872EE"/>
    <w:rsid w:val="043B617E"/>
    <w:rsid w:val="046B1991"/>
    <w:rsid w:val="04AF5C3D"/>
    <w:rsid w:val="04CA5580"/>
    <w:rsid w:val="05503AC8"/>
    <w:rsid w:val="05937A34"/>
    <w:rsid w:val="05A531D1"/>
    <w:rsid w:val="063C6DA8"/>
    <w:rsid w:val="0666318C"/>
    <w:rsid w:val="06B3788B"/>
    <w:rsid w:val="07B739C6"/>
    <w:rsid w:val="07FE346B"/>
    <w:rsid w:val="082F7C14"/>
    <w:rsid w:val="085F24E1"/>
    <w:rsid w:val="092E0A47"/>
    <w:rsid w:val="0A0B0E87"/>
    <w:rsid w:val="0A91199F"/>
    <w:rsid w:val="0AD833B3"/>
    <w:rsid w:val="0BD624E2"/>
    <w:rsid w:val="0BEF1C9A"/>
    <w:rsid w:val="0C2B6903"/>
    <w:rsid w:val="0C385C19"/>
    <w:rsid w:val="0C9E0E40"/>
    <w:rsid w:val="0D6E7E4F"/>
    <w:rsid w:val="0DDE00CF"/>
    <w:rsid w:val="0E9960CA"/>
    <w:rsid w:val="0EBC7884"/>
    <w:rsid w:val="0EF6174E"/>
    <w:rsid w:val="0F3C66E3"/>
    <w:rsid w:val="10A976E1"/>
    <w:rsid w:val="10D73B48"/>
    <w:rsid w:val="11374E01"/>
    <w:rsid w:val="115B25F8"/>
    <w:rsid w:val="11A11CCF"/>
    <w:rsid w:val="11AD150E"/>
    <w:rsid w:val="11BE722A"/>
    <w:rsid w:val="11C519F5"/>
    <w:rsid w:val="12265954"/>
    <w:rsid w:val="123212E7"/>
    <w:rsid w:val="127C4DBC"/>
    <w:rsid w:val="12BB4F8F"/>
    <w:rsid w:val="1300693C"/>
    <w:rsid w:val="137C3045"/>
    <w:rsid w:val="13A145A5"/>
    <w:rsid w:val="14011A1D"/>
    <w:rsid w:val="144072C9"/>
    <w:rsid w:val="145070B7"/>
    <w:rsid w:val="14AB6978"/>
    <w:rsid w:val="150D749D"/>
    <w:rsid w:val="15604521"/>
    <w:rsid w:val="163F1AC8"/>
    <w:rsid w:val="16C9548F"/>
    <w:rsid w:val="181B448B"/>
    <w:rsid w:val="187018C8"/>
    <w:rsid w:val="187C0AC4"/>
    <w:rsid w:val="18B31398"/>
    <w:rsid w:val="18B8071C"/>
    <w:rsid w:val="18BE0921"/>
    <w:rsid w:val="19990FC6"/>
    <w:rsid w:val="19D43E59"/>
    <w:rsid w:val="1B6F5412"/>
    <w:rsid w:val="1BFB2F24"/>
    <w:rsid w:val="1C3773D9"/>
    <w:rsid w:val="1C5B19D5"/>
    <w:rsid w:val="1CF95729"/>
    <w:rsid w:val="1D102DCA"/>
    <w:rsid w:val="1D427AB9"/>
    <w:rsid w:val="1D484E30"/>
    <w:rsid w:val="1D835251"/>
    <w:rsid w:val="1D84707B"/>
    <w:rsid w:val="1E3509ED"/>
    <w:rsid w:val="1E7E2461"/>
    <w:rsid w:val="1F2A5B39"/>
    <w:rsid w:val="1F485A62"/>
    <w:rsid w:val="1F64357A"/>
    <w:rsid w:val="21693015"/>
    <w:rsid w:val="2176019E"/>
    <w:rsid w:val="21B36011"/>
    <w:rsid w:val="21E02603"/>
    <w:rsid w:val="223460AA"/>
    <w:rsid w:val="22421273"/>
    <w:rsid w:val="224F4D4E"/>
    <w:rsid w:val="228C12DA"/>
    <w:rsid w:val="22D30CDD"/>
    <w:rsid w:val="234A3673"/>
    <w:rsid w:val="23D85AC8"/>
    <w:rsid w:val="2444344E"/>
    <w:rsid w:val="24976FE1"/>
    <w:rsid w:val="255C6B50"/>
    <w:rsid w:val="25A96036"/>
    <w:rsid w:val="25D17B9A"/>
    <w:rsid w:val="25D37AF6"/>
    <w:rsid w:val="25DD2FC7"/>
    <w:rsid w:val="25E33337"/>
    <w:rsid w:val="260A5775"/>
    <w:rsid w:val="26287916"/>
    <w:rsid w:val="266D5282"/>
    <w:rsid w:val="26FF4D89"/>
    <w:rsid w:val="270371BE"/>
    <w:rsid w:val="27363F96"/>
    <w:rsid w:val="27A94E31"/>
    <w:rsid w:val="27AD58FC"/>
    <w:rsid w:val="28315056"/>
    <w:rsid w:val="28667A32"/>
    <w:rsid w:val="29223789"/>
    <w:rsid w:val="2ADA2535"/>
    <w:rsid w:val="2B941612"/>
    <w:rsid w:val="2BE51367"/>
    <w:rsid w:val="2BEE6397"/>
    <w:rsid w:val="2C42462B"/>
    <w:rsid w:val="2C9226DB"/>
    <w:rsid w:val="2D802607"/>
    <w:rsid w:val="2D88552C"/>
    <w:rsid w:val="2E1D7BE5"/>
    <w:rsid w:val="2E631149"/>
    <w:rsid w:val="2EF55B6F"/>
    <w:rsid w:val="2EFB6DCC"/>
    <w:rsid w:val="2F8E0094"/>
    <w:rsid w:val="309637AA"/>
    <w:rsid w:val="31ED7FA6"/>
    <w:rsid w:val="31FC35D8"/>
    <w:rsid w:val="33775F65"/>
    <w:rsid w:val="33D85B1F"/>
    <w:rsid w:val="33FA2DF4"/>
    <w:rsid w:val="34264DD3"/>
    <w:rsid w:val="34532004"/>
    <w:rsid w:val="34704896"/>
    <w:rsid w:val="34C6319F"/>
    <w:rsid w:val="35287812"/>
    <w:rsid w:val="355F451E"/>
    <w:rsid w:val="368B76E5"/>
    <w:rsid w:val="36AD01A5"/>
    <w:rsid w:val="36D554E4"/>
    <w:rsid w:val="39036F36"/>
    <w:rsid w:val="390D04A7"/>
    <w:rsid w:val="3923264B"/>
    <w:rsid w:val="39440BD0"/>
    <w:rsid w:val="3A116E31"/>
    <w:rsid w:val="3AFF13DD"/>
    <w:rsid w:val="3B240E97"/>
    <w:rsid w:val="3B63277A"/>
    <w:rsid w:val="3BDB4163"/>
    <w:rsid w:val="3BFF1AFF"/>
    <w:rsid w:val="3C464471"/>
    <w:rsid w:val="3CAF061D"/>
    <w:rsid w:val="3CFD5964"/>
    <w:rsid w:val="3D255FDD"/>
    <w:rsid w:val="3E1B58A0"/>
    <w:rsid w:val="3EDB1EAC"/>
    <w:rsid w:val="3FCD053B"/>
    <w:rsid w:val="3FE6619E"/>
    <w:rsid w:val="4039446A"/>
    <w:rsid w:val="40BC0821"/>
    <w:rsid w:val="40CD3961"/>
    <w:rsid w:val="412F51E3"/>
    <w:rsid w:val="42726210"/>
    <w:rsid w:val="4298644F"/>
    <w:rsid w:val="42FA6164"/>
    <w:rsid w:val="44242A3A"/>
    <w:rsid w:val="44723770"/>
    <w:rsid w:val="45A07F46"/>
    <w:rsid w:val="4646729A"/>
    <w:rsid w:val="466E62DE"/>
    <w:rsid w:val="470147E4"/>
    <w:rsid w:val="47997EE1"/>
    <w:rsid w:val="47F864E6"/>
    <w:rsid w:val="481E571D"/>
    <w:rsid w:val="48303B74"/>
    <w:rsid w:val="4876582E"/>
    <w:rsid w:val="48AE6C21"/>
    <w:rsid w:val="48B343BC"/>
    <w:rsid w:val="49115E1C"/>
    <w:rsid w:val="4923212C"/>
    <w:rsid w:val="49D8161C"/>
    <w:rsid w:val="4A2257E4"/>
    <w:rsid w:val="4A9808AA"/>
    <w:rsid w:val="4A9E0EF6"/>
    <w:rsid w:val="4AC035F0"/>
    <w:rsid w:val="4AE93777"/>
    <w:rsid w:val="4C374BDE"/>
    <w:rsid w:val="4CAD7DD0"/>
    <w:rsid w:val="4D0E2CD7"/>
    <w:rsid w:val="4D92403D"/>
    <w:rsid w:val="4DB86ECD"/>
    <w:rsid w:val="4DCC085F"/>
    <w:rsid w:val="4E204710"/>
    <w:rsid w:val="4E254033"/>
    <w:rsid w:val="4E2B248D"/>
    <w:rsid w:val="4E695B3A"/>
    <w:rsid w:val="4E6A0D81"/>
    <w:rsid w:val="4E875D72"/>
    <w:rsid w:val="4E8F44F1"/>
    <w:rsid w:val="4EAF38CD"/>
    <w:rsid w:val="4F334E7A"/>
    <w:rsid w:val="4F965FA0"/>
    <w:rsid w:val="501040D8"/>
    <w:rsid w:val="50346F06"/>
    <w:rsid w:val="50663B18"/>
    <w:rsid w:val="51334745"/>
    <w:rsid w:val="522735BA"/>
    <w:rsid w:val="52612F1E"/>
    <w:rsid w:val="526368E1"/>
    <w:rsid w:val="528D20F2"/>
    <w:rsid w:val="52CC1F2C"/>
    <w:rsid w:val="52DA5D7A"/>
    <w:rsid w:val="53FA5247"/>
    <w:rsid w:val="5419546B"/>
    <w:rsid w:val="544B2999"/>
    <w:rsid w:val="557F2715"/>
    <w:rsid w:val="563330B8"/>
    <w:rsid w:val="56850FCB"/>
    <w:rsid w:val="570C1D86"/>
    <w:rsid w:val="57620FD2"/>
    <w:rsid w:val="57990C47"/>
    <w:rsid w:val="583457F9"/>
    <w:rsid w:val="585F21E0"/>
    <w:rsid w:val="58DA7713"/>
    <w:rsid w:val="59B61EBB"/>
    <w:rsid w:val="59BC2DF9"/>
    <w:rsid w:val="59DF6C2F"/>
    <w:rsid w:val="5B516D6D"/>
    <w:rsid w:val="5B744D9E"/>
    <w:rsid w:val="5B9104C7"/>
    <w:rsid w:val="5C00137E"/>
    <w:rsid w:val="5D252902"/>
    <w:rsid w:val="5E0939E8"/>
    <w:rsid w:val="5E9065B8"/>
    <w:rsid w:val="5F455CB7"/>
    <w:rsid w:val="5F5A6ED5"/>
    <w:rsid w:val="5FF40AD3"/>
    <w:rsid w:val="5FF536B3"/>
    <w:rsid w:val="60462F1C"/>
    <w:rsid w:val="60B80E02"/>
    <w:rsid w:val="60E13F4E"/>
    <w:rsid w:val="61262235"/>
    <w:rsid w:val="612742F0"/>
    <w:rsid w:val="612F6D26"/>
    <w:rsid w:val="61602699"/>
    <w:rsid w:val="616260CE"/>
    <w:rsid w:val="617821BF"/>
    <w:rsid w:val="62B6140A"/>
    <w:rsid w:val="62F870DF"/>
    <w:rsid w:val="633538AA"/>
    <w:rsid w:val="637745D1"/>
    <w:rsid w:val="63DA6DCF"/>
    <w:rsid w:val="64EF2EF1"/>
    <w:rsid w:val="64F20DA7"/>
    <w:rsid w:val="6519435E"/>
    <w:rsid w:val="656E70B8"/>
    <w:rsid w:val="65F471BE"/>
    <w:rsid w:val="67D03C6F"/>
    <w:rsid w:val="67E64560"/>
    <w:rsid w:val="67FC3439"/>
    <w:rsid w:val="6842701C"/>
    <w:rsid w:val="688D7732"/>
    <w:rsid w:val="68A01946"/>
    <w:rsid w:val="68A25668"/>
    <w:rsid w:val="698717A2"/>
    <w:rsid w:val="69CA66F2"/>
    <w:rsid w:val="69FB3DEF"/>
    <w:rsid w:val="6AB60C9F"/>
    <w:rsid w:val="6AC22F0D"/>
    <w:rsid w:val="6B281756"/>
    <w:rsid w:val="6B8425F1"/>
    <w:rsid w:val="6BB65BB4"/>
    <w:rsid w:val="6C0E4753"/>
    <w:rsid w:val="6C6E1ECB"/>
    <w:rsid w:val="6D574762"/>
    <w:rsid w:val="6D710C95"/>
    <w:rsid w:val="6DBB3944"/>
    <w:rsid w:val="6DCE106B"/>
    <w:rsid w:val="6E855435"/>
    <w:rsid w:val="6E9431F9"/>
    <w:rsid w:val="6ED72E4E"/>
    <w:rsid w:val="6EFE773A"/>
    <w:rsid w:val="6FA07959"/>
    <w:rsid w:val="6FC36CFC"/>
    <w:rsid w:val="7053007F"/>
    <w:rsid w:val="707E770E"/>
    <w:rsid w:val="717A0728"/>
    <w:rsid w:val="71E04CC1"/>
    <w:rsid w:val="72A66EA6"/>
    <w:rsid w:val="73193962"/>
    <w:rsid w:val="73A83191"/>
    <w:rsid w:val="749F777D"/>
    <w:rsid w:val="77265727"/>
    <w:rsid w:val="773B54A3"/>
    <w:rsid w:val="775E7BBC"/>
    <w:rsid w:val="77BB5D40"/>
    <w:rsid w:val="77CE4490"/>
    <w:rsid w:val="77E1463D"/>
    <w:rsid w:val="77E60BCF"/>
    <w:rsid w:val="78175FF0"/>
    <w:rsid w:val="784753EE"/>
    <w:rsid w:val="78B2027D"/>
    <w:rsid w:val="78CB0B7C"/>
    <w:rsid w:val="79106AF2"/>
    <w:rsid w:val="79A84C3B"/>
    <w:rsid w:val="7A1B2FE3"/>
    <w:rsid w:val="7A366024"/>
    <w:rsid w:val="7A641D9D"/>
    <w:rsid w:val="7AC4171B"/>
    <w:rsid w:val="7B136C2D"/>
    <w:rsid w:val="7BA05270"/>
    <w:rsid w:val="7BAD5AC5"/>
    <w:rsid w:val="7CD154EA"/>
    <w:rsid w:val="7D8B70AB"/>
    <w:rsid w:val="7DD93445"/>
    <w:rsid w:val="7E8C7351"/>
    <w:rsid w:val="7ECD2214"/>
    <w:rsid w:val="7EFE1AFE"/>
    <w:rsid w:val="7F1C571A"/>
    <w:rsid w:val="7F1F201E"/>
    <w:rsid w:val="7F612627"/>
    <w:rsid w:val="7FC91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100" w:rightChars="100"/>
      <w:textAlignment w:val="baseline"/>
      <w:outlineLvl w:val="4"/>
    </w:pPr>
    <w:rPr>
      <w:kern w:val="0"/>
      <w:sz w:val="20"/>
    </w:rPr>
  </w:style>
  <w:style w:type="paragraph" w:styleId="7">
    <w:name w:val="heading 6"/>
    <w:basedOn w:val="1"/>
    <w:next w:val="1"/>
    <w:link w:val="53"/>
    <w:qFormat/>
    <w:uiPriority w:val="0"/>
    <w:pPr>
      <w:keepNext/>
      <w:keepLines/>
      <w:spacing w:before="240" w:after="64"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after="64" w:line="317" w:lineRule="auto"/>
      <w:outlineLvl w:val="6"/>
    </w:pPr>
    <w:rPr>
      <w:b/>
      <w:kern w:val="0"/>
      <w:sz w:val="24"/>
    </w:rPr>
  </w:style>
  <w:style w:type="paragraph" w:styleId="9">
    <w:name w:val="heading 8"/>
    <w:basedOn w:val="1"/>
    <w:next w:val="1"/>
    <w:link w:val="55"/>
    <w:qFormat/>
    <w:uiPriority w:val="0"/>
    <w:pPr>
      <w:keepNext/>
      <w:keepLines/>
      <w:spacing w:before="240" w:after="64"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after="64" w:line="317" w:lineRule="auto"/>
      <w:outlineLvl w:val="8"/>
    </w:pPr>
    <w:rPr>
      <w:rFonts w:ascii="Arial" w:hAnsi="Arial" w:eastAsia="黑体"/>
      <w:kern w:val="0"/>
      <w:sz w:val="20"/>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after="12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after="6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字符"/>
    <w:link w:val="2"/>
    <w:qFormat/>
    <w:uiPriority w:val="0"/>
    <w:rPr>
      <w:rFonts w:ascii="宋体" w:hAnsi="Times New Roman" w:eastAsia="宋体"/>
    </w:rPr>
  </w:style>
  <w:style w:type="character" w:customStyle="1" w:styleId="49">
    <w:name w:val="标题 1 字符"/>
    <w:link w:val="3"/>
    <w:qFormat/>
    <w:uiPriority w:val="0"/>
    <w:rPr>
      <w:rFonts w:ascii="宋体" w:hAnsi="Times New Roman" w:eastAsia="宋体"/>
      <w:b/>
      <w:kern w:val="44"/>
    </w:rPr>
  </w:style>
  <w:style w:type="character" w:customStyle="1" w:styleId="50">
    <w:name w:val="标题 3 字符"/>
    <w:link w:val="4"/>
    <w:qFormat/>
    <w:uiPriority w:val="0"/>
    <w:rPr>
      <w:rFonts w:ascii="宋体" w:hAnsi="Times New Roman" w:eastAsia="宋体"/>
    </w:rPr>
  </w:style>
  <w:style w:type="character" w:customStyle="1" w:styleId="51">
    <w:name w:val="标题 4 字符"/>
    <w:link w:val="5"/>
    <w:qFormat/>
    <w:uiPriority w:val="0"/>
    <w:rPr>
      <w:rFonts w:ascii="宋体" w:hAnsi="Times New Roman" w:eastAsia="宋体"/>
    </w:rPr>
  </w:style>
  <w:style w:type="character" w:customStyle="1" w:styleId="52">
    <w:name w:val="标题 5 字符"/>
    <w:link w:val="6"/>
    <w:qFormat/>
    <w:uiPriority w:val="0"/>
    <w:rPr>
      <w:rFonts w:ascii="Times New Roman" w:hAnsi="Times New Roman" w:eastAsia="宋体"/>
      <w:kern w:val="0"/>
    </w:rPr>
  </w:style>
  <w:style w:type="character" w:customStyle="1" w:styleId="53">
    <w:name w:val="标题 6 字符"/>
    <w:link w:val="7"/>
    <w:qFormat/>
    <w:uiPriority w:val="0"/>
    <w:rPr>
      <w:rFonts w:ascii="Arial" w:hAnsi="Arial" w:eastAsia="黑体"/>
      <w:b/>
      <w:sz w:val="24"/>
    </w:rPr>
  </w:style>
  <w:style w:type="character" w:customStyle="1" w:styleId="54">
    <w:name w:val="标题 7 字符"/>
    <w:link w:val="8"/>
    <w:qFormat/>
    <w:uiPriority w:val="0"/>
    <w:rPr>
      <w:rFonts w:ascii="Times New Roman" w:hAnsi="Times New Roman" w:eastAsia="宋体"/>
      <w:b/>
      <w:sz w:val="24"/>
    </w:rPr>
  </w:style>
  <w:style w:type="character" w:customStyle="1" w:styleId="55">
    <w:name w:val="标题 8 字符"/>
    <w:link w:val="9"/>
    <w:qFormat/>
    <w:uiPriority w:val="0"/>
    <w:rPr>
      <w:rFonts w:ascii="Arial" w:hAnsi="Arial" w:eastAsia="黑体"/>
      <w:sz w:val="24"/>
    </w:rPr>
  </w:style>
  <w:style w:type="character" w:customStyle="1" w:styleId="56">
    <w:name w:val="标题 9 字符"/>
    <w:link w:val="10"/>
    <w:qFormat/>
    <w:uiPriority w:val="0"/>
    <w:rPr>
      <w:rFonts w:ascii="Arial" w:hAnsi="Arial" w:eastAsia="黑体"/>
    </w:rPr>
  </w:style>
  <w:style w:type="character" w:customStyle="1" w:styleId="57">
    <w:name w:val="正文缩进 字符"/>
    <w:link w:val="11"/>
    <w:qFormat/>
    <w:uiPriority w:val="0"/>
    <w:rPr>
      <w:rFonts w:ascii="Times New Roman" w:hAnsi="Times New Roman" w:eastAsia="宋体"/>
    </w:rPr>
  </w:style>
  <w:style w:type="character" w:customStyle="1" w:styleId="58">
    <w:name w:val="文档结构图 字符"/>
    <w:link w:val="13"/>
    <w:qFormat/>
    <w:uiPriority w:val="0"/>
    <w:rPr>
      <w:rFonts w:ascii="宋体" w:hAnsi="Times New Roman" w:eastAsia="宋体"/>
      <w:sz w:val="18"/>
    </w:rPr>
  </w:style>
  <w:style w:type="character" w:customStyle="1" w:styleId="59">
    <w:name w:val="批注文字 字符"/>
    <w:link w:val="14"/>
    <w:qFormat/>
    <w:uiPriority w:val="0"/>
    <w:rPr>
      <w:rFonts w:ascii="Times New Roman" w:hAnsi="Times New Roman" w:eastAsia="宋体"/>
    </w:rPr>
  </w:style>
  <w:style w:type="character" w:customStyle="1" w:styleId="60">
    <w:name w:val="HTML 地址 字符"/>
    <w:link w:val="16"/>
    <w:qFormat/>
    <w:uiPriority w:val="0"/>
    <w:rPr>
      <w:rFonts w:ascii="Times New Roman" w:hAnsi="Times New Roman" w:eastAsia="宋体"/>
      <w:i/>
    </w:rPr>
  </w:style>
  <w:style w:type="character" w:customStyle="1" w:styleId="61">
    <w:name w:val="纯文本 字符"/>
    <w:link w:val="18"/>
    <w:qFormat/>
    <w:uiPriority w:val="0"/>
    <w:rPr>
      <w:rFonts w:ascii="宋体" w:hAnsi="Courier New" w:eastAsia="宋体"/>
    </w:rPr>
  </w:style>
  <w:style w:type="character" w:customStyle="1" w:styleId="62">
    <w:name w:val="日期 字符"/>
    <w:link w:val="19"/>
    <w:qFormat/>
    <w:uiPriority w:val="0"/>
    <w:rPr>
      <w:rFonts w:ascii="仿宋_GB2312" w:hAnsi="Times New Roman" w:eastAsia="仿宋_GB2312"/>
      <w:kern w:val="0"/>
      <w:sz w:val="24"/>
    </w:rPr>
  </w:style>
  <w:style w:type="character" w:customStyle="1" w:styleId="63">
    <w:name w:val="正文文本缩进 2 字符"/>
    <w:link w:val="20"/>
    <w:qFormat/>
    <w:uiPriority w:val="0"/>
    <w:rPr>
      <w:rFonts w:ascii="Times New Roman" w:hAnsi="Times New Roman" w:eastAsia="仿宋_GB2312"/>
      <w:kern w:val="0"/>
      <w:sz w:val="28"/>
    </w:rPr>
  </w:style>
  <w:style w:type="character" w:customStyle="1" w:styleId="64">
    <w:name w:val="批注框文本 字符"/>
    <w:link w:val="21"/>
    <w:qFormat/>
    <w:uiPriority w:val="0"/>
    <w:rPr>
      <w:rFonts w:ascii="Times New Roman" w:hAnsi="Times New Roman" w:eastAsia="宋体"/>
      <w:sz w:val="18"/>
    </w:rPr>
  </w:style>
  <w:style w:type="character" w:customStyle="1" w:styleId="65">
    <w:name w:val="页脚 字符"/>
    <w:link w:val="22"/>
    <w:qFormat/>
    <w:uiPriority w:val="0"/>
    <w:rPr>
      <w:rFonts w:ascii="Times New Roman" w:hAnsi="Times New Roman" w:eastAsia="宋体"/>
      <w:sz w:val="18"/>
    </w:rPr>
  </w:style>
  <w:style w:type="character" w:customStyle="1" w:styleId="66">
    <w:name w:val="页眉 字符"/>
    <w:link w:val="23"/>
    <w:qFormat/>
    <w:uiPriority w:val="0"/>
    <w:rPr>
      <w:rFonts w:ascii="Times New Roman" w:hAnsi="Times New Roman" w:eastAsia="宋体"/>
      <w:sz w:val="18"/>
    </w:rPr>
  </w:style>
  <w:style w:type="character" w:customStyle="1" w:styleId="67">
    <w:name w:val="脚注文本 字符"/>
    <w:link w:val="26"/>
    <w:qFormat/>
    <w:uiPriority w:val="0"/>
    <w:rPr>
      <w:rFonts w:ascii="Times New Roman" w:hAnsi="Times New Roman" w:eastAsia="宋体"/>
      <w:sz w:val="18"/>
    </w:rPr>
  </w:style>
  <w:style w:type="character" w:customStyle="1" w:styleId="68">
    <w:name w:val="HTML 预设格式 字符"/>
    <w:link w:val="29"/>
    <w:qFormat/>
    <w:uiPriority w:val="0"/>
    <w:rPr>
      <w:rFonts w:ascii="Courier New" w:hAnsi="Courier New" w:eastAsia="宋体"/>
      <w:sz w:val="20"/>
    </w:rPr>
  </w:style>
  <w:style w:type="character" w:customStyle="1" w:styleId="69">
    <w:name w:val="标题 字符"/>
    <w:link w:val="30"/>
    <w:qFormat/>
    <w:uiPriority w:val="0"/>
    <w:rPr>
      <w:rFonts w:ascii="Arial" w:hAnsi="Arial" w:eastAsia="宋体"/>
      <w:b/>
      <w:sz w:val="32"/>
    </w:rPr>
  </w:style>
  <w:style w:type="character" w:customStyle="1" w:styleId="70">
    <w:name w:val="批注主题 字符"/>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rPr>
      <w:rFonts w:eastAsia="宋体"/>
      <w:sz w:val="18"/>
    </w:rPr>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rPr>
      <w:rFonts w:ascii="黑体" w:hAnsi="Times New Roman" w:eastAsia="黑体"/>
      <w:kern w:val="0"/>
    </w:rPr>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rPr>
      <w:rFonts w:ascii="宋体" w:hAnsi="Times New Roman" w:eastAsia="宋体"/>
    </w:rPr>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pPr>
    <w:rPr>
      <w:rFonts w:ascii="宋体"/>
      <w:sz w:val="21"/>
    </w:rPr>
  </w:style>
  <w:style w:type="paragraph" w:customStyle="1" w:styleId="231">
    <w:name w:val="封面标准号2"/>
    <w:basedOn w:val="202"/>
    <w:qFormat/>
    <w:uiPriority w:val="0"/>
    <w:pPr>
      <w:adjustRightInd w:val="0"/>
      <w:spacing w:before="357"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Char Char Char Char Char Char Char Char Char Char Char Char2"/>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1227</Words>
  <Characters>1351</Characters>
  <Lines>84</Lines>
  <Paragraphs>107</Paragraphs>
  <TotalTime>4</TotalTime>
  <ScaleCrop>false</ScaleCrop>
  <LinksUpToDate>false</LinksUpToDate>
  <CharactersWithSpaces>2471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E477A8557D8E4B66BF0C06D616C005B0</cp:lastModifiedBy>
  <dcterms:modified xsi:type="dcterms:W3CDTF">2026-01-22T07:39:15Z</dcterms:modified>
  <dc:title>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27D9CA7C29774758A4C1491900FD9D55</vt:lpwstr>
  </property>
</Properties>
</file>