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方正小标宋_GBK" w:hAnsi="方正小标宋_GBK" w:eastAsia="方正小标宋_GBK" w:cs="方正小标宋_GBK"/>
          <w:b w:val="0"/>
          <w:bCs w:val="0"/>
          <w:kern w:val="0"/>
          <w:sz w:val="44"/>
          <w:szCs w:val="44"/>
          <w:lang w:val="en-US" w:eastAsia="zh-CN"/>
        </w:rPr>
      </w:pPr>
      <w:r>
        <w:rPr>
          <w:rFonts w:hint="eastAsia" w:ascii="方正小标宋_GBK" w:hAnsi="方正小标宋_GBK" w:eastAsia="方正小标宋_GBK" w:cs="方正小标宋_GBK"/>
          <w:b w:val="0"/>
          <w:bCs w:val="0"/>
          <w:kern w:val="0"/>
          <w:sz w:val="44"/>
          <w:szCs w:val="44"/>
          <w:lang w:val="en-US" w:eastAsia="zh-CN"/>
        </w:rPr>
        <w:t>南方电网广西电动汽车服务有限公司</w:t>
      </w:r>
    </w:p>
    <w:p>
      <w:pPr>
        <w:spacing w:line="560" w:lineRule="exact"/>
        <w:jc w:val="center"/>
        <w:rPr>
          <w:rFonts w:hint="eastAsia" w:ascii="方正小标宋_GBK" w:hAnsi="方正小标宋_GBK" w:eastAsia="方正小标宋_GBK" w:cs="方正小标宋_GBK"/>
          <w:b w:val="0"/>
          <w:bCs w:val="0"/>
          <w:kern w:val="0"/>
          <w:sz w:val="44"/>
          <w:szCs w:val="44"/>
          <w:lang w:val="en-US" w:eastAsia="zh-CN"/>
        </w:rPr>
      </w:pPr>
      <w:r>
        <w:rPr>
          <w:rFonts w:hint="eastAsia" w:ascii="方正小标宋_GBK" w:hAnsi="方正小标宋_GBK" w:eastAsia="方正小标宋_GBK" w:cs="方正小标宋_GBK"/>
          <w:b w:val="0"/>
          <w:bCs w:val="0"/>
          <w:kern w:val="0"/>
          <w:sz w:val="44"/>
          <w:szCs w:val="44"/>
          <w:lang w:val="en-US" w:eastAsia="zh-CN"/>
        </w:rPr>
        <w:t>2024年-2025年充换电站投资后评价项目（含漓江竹筏充换电站项目）</w:t>
      </w:r>
    </w:p>
    <w:p>
      <w:pPr>
        <w:spacing w:line="560" w:lineRule="exact"/>
        <w:jc w:val="center"/>
        <w:rPr>
          <w:rFonts w:hint="eastAsia" w:ascii="方正小标宋_GBK" w:hAnsi="方正小标宋_GBK" w:eastAsia="方正小标宋_GBK" w:cs="方正小标宋_GBK"/>
          <w:b w:val="0"/>
          <w:bCs w:val="0"/>
          <w:kern w:val="0"/>
          <w:sz w:val="44"/>
          <w:szCs w:val="44"/>
          <w:lang w:val="en-US" w:eastAsia="zh-CN"/>
        </w:rPr>
      </w:pPr>
      <w:r>
        <w:rPr>
          <w:rFonts w:hint="eastAsia" w:ascii="方正小标宋_GBK" w:hAnsi="方正小标宋_GBK" w:eastAsia="方正小标宋_GBK" w:cs="方正小标宋_GBK"/>
          <w:b w:val="0"/>
          <w:bCs w:val="0"/>
          <w:kern w:val="0"/>
          <w:sz w:val="44"/>
          <w:szCs w:val="44"/>
          <w:lang w:val="en-US" w:eastAsia="zh-CN"/>
        </w:rPr>
        <w:t>服务技术规范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一、</w:t>
      </w:r>
      <w:r>
        <w:rPr>
          <w:rFonts w:hint="eastAsia" w:ascii="黑体" w:hAnsi="黑体" w:eastAsia="黑体" w:cs="黑体"/>
          <w:b w:val="0"/>
          <w:bCs w:val="0"/>
          <w:sz w:val="32"/>
          <w:szCs w:val="32"/>
        </w:rPr>
        <w:t>项目概述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rPr>
      </w:pPr>
      <w:r>
        <w:rPr>
          <w:rFonts w:hint="eastAsia" w:ascii="仿宋_GB2312" w:hAnsi="仿宋_GB2312" w:eastAsia="仿宋_GB2312" w:cs="仿宋_GB2312"/>
          <w:sz w:val="32"/>
          <w:szCs w:val="32"/>
          <w:lang w:eastAsia="zh-CN"/>
        </w:rPr>
        <w:t>根据《中国南方电网有限责任公司投资（后）评价管理实施细则》规定，</w:t>
      </w:r>
      <w:r>
        <w:rPr>
          <w:rFonts w:hint="eastAsia" w:ascii="仿宋_GB2312" w:hAnsi="仿宋_GB2312" w:eastAsia="仿宋_GB2312" w:cs="仿宋_GB2312"/>
          <w:sz w:val="32"/>
          <w:szCs w:val="32"/>
          <w:lang w:val="en-US" w:eastAsia="zh-CN"/>
        </w:rPr>
        <w:t>应对固定资产投资项目整体竣工投产运营1年后2年内开展项目投资后评价工作。故采购一家第三方独立机构对公司竣工投产并正式运营1年以上的充换电站项目开展投资后评价工作，其中包含桂林漓江风景区竹筏充换电项目（杨堤充换电站项目、兴平镇马山充换电站项目）、43个充电站项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二、项目工作内容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黑体" w:hAnsi="黑体" w:eastAsia="黑体" w:cs="黑体"/>
          <w:b w:val="0"/>
          <w:bCs w:val="0"/>
          <w:sz w:val="32"/>
          <w:szCs w:val="32"/>
          <w:lang w:val="en-US" w:eastAsia="zh-CN"/>
        </w:rPr>
      </w:pPr>
      <w:r>
        <w:rPr>
          <w:rFonts w:hint="eastAsia" w:ascii="仿宋_GB2312" w:hAnsi="仿宋_GB2312" w:eastAsia="仿宋_GB2312" w:cs="仿宋_GB2312"/>
          <w:sz w:val="32"/>
          <w:szCs w:val="32"/>
          <w:lang w:eastAsia="zh-CN"/>
        </w:rPr>
        <w:t>针对项目实施过程、结果及影响进行全面分析，对决策时确定的目标和财务、技术、环境、社会指标进行对比，</w:t>
      </w:r>
      <w:r>
        <w:rPr>
          <w:rFonts w:hint="eastAsia" w:ascii="仿宋_GB2312" w:hAnsi="仿宋_GB2312" w:eastAsia="仿宋_GB2312" w:cs="仿宋_GB2312"/>
          <w:sz w:val="32"/>
          <w:szCs w:val="32"/>
          <w:lang w:val="en-US" w:eastAsia="zh-CN"/>
        </w:rPr>
        <w:t>分析项目实际运营情况与决策时确定的目标及技术经济指标之间的差异，发现目标差距、分析成因，识别评估预警存在风险和不符合项，提出下阶段工作措施建议，分别形成桂林漓江风景区竹筏充换电项目投资后评价报告，竣工投产并正式运营1年以上的充电站投资后评价报告共2分内容详实的报告材料。报告具体内容详见《固定资产投资项目后评价报告》（模版）</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服务期为2个月内。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三、项目质量要求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按时按量完成我公司竣工投产并正式运营1年以上的充电站充电站项目投资后评价报告及桂林漓江风景区竹筏充换电项目（杨堤充换电站项目、兴平镇马山充换电站项目）两份投资后评价报告，形成项目投资效益分析表，并通过南方电网广西电动汽车服务有限公司验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2.及时与公司建立沟通协作机制、会议机制、联络人机制，保障项目稳定实施。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四、项目评分要求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仿宋_GB2312" w:hAnsi="仿宋_GB2312" w:eastAsia="仿宋_GB2312" w:cs="仿宋_GB2312"/>
          <w:sz w:val="32"/>
          <w:szCs w:val="32"/>
          <w:lang w:val="en-US" w:eastAsia="zh-CN"/>
        </w:rPr>
        <w:t>本项目涉及现场资料检查、及可能的场地勘察等内容，故本项服务对相关资质要求较高，结合前期相关经验，不同的服务方差异较大。综合公司内部实际，根据《</w:t>
      </w:r>
      <w:bookmarkStart w:id="0" w:name="_Toc31032"/>
      <w:bookmarkStart w:id="1" w:name="_Toc27741"/>
      <w:r>
        <w:rPr>
          <w:rFonts w:hint="eastAsia" w:ascii="仿宋_GB2312" w:hAnsi="仿宋_GB2312" w:eastAsia="仿宋_GB2312" w:cs="仿宋_GB2312"/>
          <w:sz w:val="32"/>
          <w:szCs w:val="32"/>
          <w:lang w:val="en-US" w:eastAsia="zh-CN"/>
        </w:rPr>
        <w:t>中国南方电网有限责任公司零星采购管理业务指导书</w:t>
      </w:r>
      <w:bookmarkEnd w:id="0"/>
      <w:bookmarkEnd w:id="1"/>
      <w:r>
        <w:rPr>
          <w:rFonts w:hint="eastAsia" w:ascii="仿宋_GB2312" w:hAnsi="仿宋_GB2312" w:eastAsia="仿宋_GB2312" w:cs="仿宋_GB2312"/>
          <w:sz w:val="32"/>
          <w:szCs w:val="32"/>
          <w:lang w:val="en-US" w:eastAsia="zh-CN"/>
        </w:rPr>
        <w:t>》第3.6.1第（3）项规定，本项目采用综合评议评分标准，推荐“质量、价格、售后”综合最优的作为成交供应商。响应服务方案格式自定，具体评分标准如下：</w:t>
      </w:r>
      <w:bookmarkStart w:id="2" w:name="_GoBack"/>
      <w:bookmarkEnd w:id="2"/>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1485"/>
        <w:gridCol w:w="1123"/>
        <w:gridCol w:w="5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811" w:type="dxa"/>
            <w:vAlign w:val="center"/>
          </w:tcPr>
          <w:p>
            <w:pPr>
              <w:pStyle w:val="2"/>
              <w:jc w:val="center"/>
              <w:rPr>
                <w:rFonts w:hint="default"/>
                <w:b/>
                <w:bCs/>
                <w:vertAlign w:val="baseline"/>
                <w:lang w:val="en-US" w:eastAsia="zh-CN"/>
              </w:rPr>
            </w:pPr>
            <w:r>
              <w:rPr>
                <w:rFonts w:hint="eastAsia"/>
                <w:b/>
                <w:bCs/>
                <w:vertAlign w:val="baseline"/>
                <w:lang w:val="en-US" w:eastAsia="zh-CN"/>
              </w:rPr>
              <w:t>序号</w:t>
            </w:r>
          </w:p>
        </w:tc>
        <w:tc>
          <w:tcPr>
            <w:tcW w:w="1485" w:type="dxa"/>
            <w:vAlign w:val="center"/>
          </w:tcPr>
          <w:p>
            <w:pPr>
              <w:pStyle w:val="2"/>
              <w:jc w:val="center"/>
              <w:rPr>
                <w:rFonts w:hint="default"/>
                <w:b/>
                <w:bCs/>
                <w:vertAlign w:val="baseline"/>
                <w:lang w:val="en-US" w:eastAsia="zh-CN"/>
              </w:rPr>
            </w:pPr>
            <w:r>
              <w:rPr>
                <w:rFonts w:hint="eastAsia"/>
                <w:b/>
                <w:bCs/>
                <w:vertAlign w:val="baseline"/>
                <w:lang w:val="en-US" w:eastAsia="zh-CN"/>
              </w:rPr>
              <w:t>评分事项</w:t>
            </w:r>
          </w:p>
        </w:tc>
        <w:tc>
          <w:tcPr>
            <w:tcW w:w="1123" w:type="dxa"/>
            <w:vAlign w:val="center"/>
          </w:tcPr>
          <w:p>
            <w:pPr>
              <w:pStyle w:val="2"/>
              <w:jc w:val="center"/>
              <w:rPr>
                <w:rFonts w:hint="default"/>
                <w:b/>
                <w:bCs/>
                <w:vertAlign w:val="baseline"/>
                <w:lang w:val="en-US" w:eastAsia="zh-CN"/>
              </w:rPr>
            </w:pPr>
            <w:r>
              <w:rPr>
                <w:rFonts w:hint="eastAsia"/>
                <w:b/>
                <w:bCs/>
                <w:vertAlign w:val="baseline"/>
                <w:lang w:val="en-US" w:eastAsia="zh-CN"/>
              </w:rPr>
              <w:t>分数</w:t>
            </w:r>
          </w:p>
        </w:tc>
        <w:tc>
          <w:tcPr>
            <w:tcW w:w="5103" w:type="dxa"/>
            <w:vAlign w:val="center"/>
          </w:tcPr>
          <w:p>
            <w:pPr>
              <w:pStyle w:val="2"/>
              <w:jc w:val="center"/>
              <w:rPr>
                <w:rFonts w:hint="default"/>
                <w:b/>
                <w:bCs/>
                <w:vertAlign w:val="baseline"/>
                <w:lang w:val="en-US" w:eastAsia="zh-CN"/>
              </w:rPr>
            </w:pPr>
            <w:r>
              <w:rPr>
                <w:rFonts w:hint="eastAsia"/>
                <w:b/>
                <w:bCs/>
                <w:vertAlign w:val="baseline"/>
                <w:lang w:val="en-US" w:eastAsia="zh-CN"/>
              </w:rPr>
              <w:t>评分规则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pPr>
              <w:pStyle w:val="2"/>
              <w:jc w:val="center"/>
              <w:rPr>
                <w:rFonts w:hint="default"/>
                <w:vertAlign w:val="baseline"/>
                <w:lang w:val="en-US" w:eastAsia="zh-CN"/>
              </w:rPr>
            </w:pPr>
            <w:r>
              <w:rPr>
                <w:rFonts w:hint="eastAsia"/>
                <w:vertAlign w:val="baseline"/>
                <w:lang w:val="en-US" w:eastAsia="zh-CN"/>
              </w:rPr>
              <w:t>1</w:t>
            </w:r>
          </w:p>
        </w:tc>
        <w:tc>
          <w:tcPr>
            <w:tcW w:w="1485" w:type="dxa"/>
            <w:vAlign w:val="center"/>
          </w:tcPr>
          <w:p>
            <w:pPr>
              <w:pStyle w:val="2"/>
              <w:jc w:val="center"/>
              <w:rPr>
                <w:rFonts w:hint="default"/>
                <w:vertAlign w:val="baseline"/>
                <w:lang w:val="en-US" w:eastAsia="zh-CN"/>
              </w:rPr>
            </w:pPr>
            <w:r>
              <w:rPr>
                <w:rFonts w:hint="eastAsia"/>
                <w:vertAlign w:val="baseline"/>
                <w:lang w:val="en-US" w:eastAsia="zh-CN"/>
              </w:rPr>
              <w:t>质量</w:t>
            </w:r>
          </w:p>
        </w:tc>
        <w:tc>
          <w:tcPr>
            <w:tcW w:w="1123" w:type="dxa"/>
            <w:vAlign w:val="center"/>
          </w:tcPr>
          <w:p>
            <w:pPr>
              <w:pStyle w:val="2"/>
              <w:jc w:val="center"/>
              <w:rPr>
                <w:rFonts w:hint="default"/>
                <w:vertAlign w:val="baseline"/>
                <w:lang w:val="en-US" w:eastAsia="zh-CN"/>
              </w:rPr>
            </w:pPr>
            <w:r>
              <w:rPr>
                <w:rFonts w:hint="eastAsia"/>
                <w:vertAlign w:val="baseline"/>
                <w:lang w:val="en-US" w:eastAsia="zh-CN"/>
              </w:rPr>
              <w:t>40</w:t>
            </w:r>
          </w:p>
        </w:tc>
        <w:tc>
          <w:tcPr>
            <w:tcW w:w="5103" w:type="dxa"/>
            <w:vAlign w:val="center"/>
          </w:tcPr>
          <w:p>
            <w:pPr>
              <w:pStyle w:val="2"/>
              <w:jc w:val="left"/>
              <w:rPr>
                <w:rFonts w:hint="eastAsia"/>
                <w:vertAlign w:val="baseline"/>
                <w:lang w:val="en-US" w:eastAsia="zh-CN"/>
              </w:rPr>
            </w:pPr>
            <w:r>
              <w:rPr>
                <w:rFonts w:hint="eastAsia"/>
                <w:vertAlign w:val="baseline"/>
                <w:lang w:val="en-US" w:eastAsia="zh-CN"/>
              </w:rPr>
              <w:t>响应服务方案质量符合本项目实际、详细、完整，横向比较最优的得40分；</w:t>
            </w:r>
          </w:p>
          <w:p>
            <w:pPr>
              <w:pStyle w:val="2"/>
              <w:jc w:val="left"/>
              <w:rPr>
                <w:rFonts w:hint="eastAsia"/>
                <w:vertAlign w:val="baseline"/>
                <w:lang w:val="en-US" w:eastAsia="zh-CN"/>
              </w:rPr>
            </w:pPr>
            <w:r>
              <w:rPr>
                <w:rFonts w:hint="eastAsia"/>
                <w:vertAlign w:val="baseline"/>
                <w:lang w:val="en-US" w:eastAsia="zh-CN"/>
              </w:rPr>
              <w:t>响应服务方案质量较为符合本项目实际、详细、完整，横向比较次优的得30分；</w:t>
            </w:r>
          </w:p>
          <w:p>
            <w:pPr>
              <w:pStyle w:val="2"/>
              <w:jc w:val="left"/>
              <w:rPr>
                <w:rFonts w:hint="eastAsia"/>
                <w:vertAlign w:val="baseline"/>
                <w:lang w:val="en-US" w:eastAsia="zh-CN"/>
              </w:rPr>
            </w:pPr>
            <w:r>
              <w:rPr>
                <w:rFonts w:hint="eastAsia"/>
                <w:vertAlign w:val="baseline"/>
                <w:lang w:val="en-US" w:eastAsia="zh-CN"/>
              </w:rPr>
              <w:t>响应服务方案质量符合本项目实际、详细、完整，横向比较第三的得20分；</w:t>
            </w:r>
          </w:p>
          <w:p>
            <w:pPr>
              <w:pStyle w:val="2"/>
              <w:jc w:val="left"/>
              <w:rPr>
                <w:rFonts w:hint="default"/>
                <w:lang w:val="en-US" w:eastAsia="zh-CN"/>
              </w:rPr>
            </w:pPr>
            <w:r>
              <w:rPr>
                <w:rFonts w:hint="eastAsia"/>
                <w:vertAlign w:val="baseline"/>
                <w:lang w:val="en-US" w:eastAsia="zh-CN"/>
              </w:rPr>
              <w:t>以此类推，响应服务方案质量不符合本项目实际、不够详细、完整，不得分。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pPr>
              <w:pStyle w:val="2"/>
              <w:jc w:val="center"/>
              <w:rPr>
                <w:rFonts w:hint="default"/>
                <w:vertAlign w:val="baseline"/>
                <w:lang w:val="en-US" w:eastAsia="zh-CN"/>
              </w:rPr>
            </w:pPr>
            <w:r>
              <w:rPr>
                <w:rFonts w:hint="eastAsia"/>
                <w:vertAlign w:val="baseline"/>
                <w:lang w:val="en-US" w:eastAsia="zh-CN"/>
              </w:rPr>
              <w:t>2</w:t>
            </w:r>
          </w:p>
        </w:tc>
        <w:tc>
          <w:tcPr>
            <w:tcW w:w="1485" w:type="dxa"/>
            <w:vAlign w:val="center"/>
          </w:tcPr>
          <w:p>
            <w:pPr>
              <w:pStyle w:val="2"/>
              <w:jc w:val="center"/>
              <w:rPr>
                <w:rFonts w:hint="default"/>
                <w:vertAlign w:val="baseline"/>
                <w:lang w:val="en-US" w:eastAsia="zh-CN"/>
              </w:rPr>
            </w:pPr>
            <w:r>
              <w:rPr>
                <w:rFonts w:hint="eastAsia"/>
                <w:vertAlign w:val="baseline"/>
                <w:lang w:val="en-US" w:eastAsia="zh-CN"/>
              </w:rPr>
              <w:t>价格</w:t>
            </w:r>
          </w:p>
        </w:tc>
        <w:tc>
          <w:tcPr>
            <w:tcW w:w="1123" w:type="dxa"/>
            <w:vAlign w:val="center"/>
          </w:tcPr>
          <w:p>
            <w:pPr>
              <w:pStyle w:val="2"/>
              <w:jc w:val="center"/>
              <w:rPr>
                <w:rFonts w:hint="default"/>
                <w:vertAlign w:val="baseline"/>
                <w:lang w:val="en-US" w:eastAsia="zh-CN"/>
              </w:rPr>
            </w:pPr>
            <w:r>
              <w:rPr>
                <w:rFonts w:hint="eastAsia"/>
                <w:vertAlign w:val="baseline"/>
                <w:lang w:val="en-US" w:eastAsia="zh-CN"/>
              </w:rPr>
              <w:t>30</w:t>
            </w:r>
          </w:p>
        </w:tc>
        <w:tc>
          <w:tcPr>
            <w:tcW w:w="5103" w:type="dxa"/>
            <w:vAlign w:val="center"/>
          </w:tcPr>
          <w:p>
            <w:pPr>
              <w:pStyle w:val="2"/>
              <w:jc w:val="left"/>
              <w:rPr>
                <w:rFonts w:hint="eastAsia"/>
                <w:vertAlign w:val="baseline"/>
                <w:lang w:val="en-US" w:eastAsia="zh-CN"/>
              </w:rPr>
            </w:pPr>
            <w:r>
              <w:rPr>
                <w:rFonts w:hint="eastAsia"/>
                <w:vertAlign w:val="baseline"/>
                <w:lang w:val="en-US" w:eastAsia="zh-CN"/>
              </w:rPr>
              <w:t>报价最低的，得30分；</w:t>
            </w:r>
          </w:p>
          <w:p>
            <w:pPr>
              <w:pStyle w:val="2"/>
              <w:jc w:val="left"/>
              <w:rPr>
                <w:rFonts w:hint="eastAsia"/>
                <w:vertAlign w:val="baseline"/>
                <w:lang w:val="en-US" w:eastAsia="zh-CN"/>
              </w:rPr>
            </w:pPr>
            <w:r>
              <w:rPr>
                <w:rFonts w:hint="eastAsia"/>
                <w:vertAlign w:val="baseline"/>
                <w:lang w:val="en-US" w:eastAsia="zh-CN"/>
              </w:rPr>
              <w:t>报价次低的，得25分；</w:t>
            </w:r>
          </w:p>
          <w:p>
            <w:pPr>
              <w:pStyle w:val="2"/>
              <w:jc w:val="left"/>
              <w:rPr>
                <w:rFonts w:hint="eastAsia"/>
                <w:vertAlign w:val="baseline"/>
                <w:lang w:val="en-US" w:eastAsia="zh-CN"/>
              </w:rPr>
            </w:pPr>
            <w:r>
              <w:rPr>
                <w:rFonts w:hint="eastAsia"/>
                <w:vertAlign w:val="baseline"/>
                <w:lang w:val="en-US" w:eastAsia="zh-CN"/>
              </w:rPr>
              <w:t>报价第三低的，得20分；</w:t>
            </w:r>
          </w:p>
          <w:p>
            <w:pPr>
              <w:pStyle w:val="2"/>
              <w:jc w:val="left"/>
              <w:rPr>
                <w:rFonts w:hint="default"/>
                <w:lang w:val="en-US" w:eastAsia="zh-CN"/>
              </w:rPr>
            </w:pPr>
            <w:r>
              <w:rPr>
                <w:rFonts w:hint="eastAsia"/>
                <w:vertAlign w:val="baseline"/>
                <w:lang w:val="en-US" w:eastAsia="zh-CN"/>
              </w:rPr>
              <w:t>依次类推，每个排名对应5分差距，本项最低0分，不扣分。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pPr>
              <w:pStyle w:val="2"/>
              <w:jc w:val="center"/>
              <w:rPr>
                <w:rFonts w:hint="default"/>
                <w:vertAlign w:val="baseline"/>
                <w:lang w:val="en-US" w:eastAsia="zh-CN"/>
              </w:rPr>
            </w:pPr>
            <w:r>
              <w:rPr>
                <w:rFonts w:hint="eastAsia"/>
                <w:vertAlign w:val="baseline"/>
                <w:lang w:val="en-US" w:eastAsia="zh-CN"/>
              </w:rPr>
              <w:t>3</w:t>
            </w:r>
          </w:p>
        </w:tc>
        <w:tc>
          <w:tcPr>
            <w:tcW w:w="1485" w:type="dxa"/>
            <w:vAlign w:val="center"/>
          </w:tcPr>
          <w:p>
            <w:pPr>
              <w:pStyle w:val="2"/>
              <w:jc w:val="center"/>
              <w:rPr>
                <w:rFonts w:hint="default"/>
                <w:vertAlign w:val="baseline"/>
                <w:lang w:val="en-US" w:eastAsia="zh-CN"/>
              </w:rPr>
            </w:pPr>
            <w:r>
              <w:rPr>
                <w:rFonts w:hint="eastAsia"/>
                <w:vertAlign w:val="baseline"/>
                <w:lang w:val="en-US" w:eastAsia="zh-CN"/>
              </w:rPr>
              <w:t>售后</w:t>
            </w:r>
          </w:p>
        </w:tc>
        <w:tc>
          <w:tcPr>
            <w:tcW w:w="1123" w:type="dxa"/>
            <w:vAlign w:val="center"/>
          </w:tcPr>
          <w:p>
            <w:pPr>
              <w:pStyle w:val="2"/>
              <w:jc w:val="center"/>
              <w:rPr>
                <w:rFonts w:hint="default"/>
                <w:vertAlign w:val="baseline"/>
                <w:lang w:val="en-US" w:eastAsia="zh-CN"/>
              </w:rPr>
            </w:pPr>
            <w:r>
              <w:rPr>
                <w:rFonts w:hint="eastAsia"/>
                <w:vertAlign w:val="baseline"/>
                <w:lang w:val="en-US" w:eastAsia="zh-CN"/>
              </w:rPr>
              <w:t>30</w:t>
            </w:r>
          </w:p>
        </w:tc>
        <w:tc>
          <w:tcPr>
            <w:tcW w:w="5103" w:type="dxa"/>
            <w:vAlign w:val="center"/>
          </w:tcPr>
          <w:p>
            <w:pPr>
              <w:pStyle w:val="2"/>
              <w:jc w:val="left"/>
              <w:rPr>
                <w:rFonts w:hint="eastAsia"/>
                <w:vertAlign w:val="baseline"/>
                <w:lang w:val="en-US" w:eastAsia="zh-CN"/>
              </w:rPr>
            </w:pPr>
            <w:r>
              <w:rPr>
                <w:rFonts w:hint="eastAsia"/>
                <w:vertAlign w:val="baseline"/>
                <w:lang w:val="en-US" w:eastAsia="zh-CN"/>
              </w:rPr>
              <w:t>响应服务方案提供售后服务且符合本项目实际，横向比较最优的得30分；</w:t>
            </w:r>
          </w:p>
          <w:p>
            <w:pPr>
              <w:pStyle w:val="2"/>
              <w:jc w:val="left"/>
              <w:rPr>
                <w:rFonts w:hint="eastAsia"/>
                <w:vertAlign w:val="baseline"/>
                <w:lang w:val="en-US" w:eastAsia="zh-CN"/>
              </w:rPr>
            </w:pPr>
            <w:r>
              <w:rPr>
                <w:rFonts w:hint="eastAsia"/>
                <w:vertAlign w:val="baseline"/>
                <w:lang w:val="en-US" w:eastAsia="zh-CN"/>
              </w:rPr>
              <w:t>响应服务方案提供售后服务且符合本项目实际，横向比较次优的得20分；</w:t>
            </w:r>
          </w:p>
          <w:p>
            <w:pPr>
              <w:pStyle w:val="2"/>
              <w:jc w:val="left"/>
              <w:rPr>
                <w:rFonts w:hint="eastAsia"/>
                <w:vertAlign w:val="baseline"/>
                <w:lang w:val="en-US" w:eastAsia="zh-CN"/>
              </w:rPr>
            </w:pPr>
            <w:r>
              <w:rPr>
                <w:rFonts w:hint="eastAsia"/>
                <w:vertAlign w:val="baseline"/>
                <w:lang w:val="en-US" w:eastAsia="zh-CN"/>
              </w:rPr>
              <w:t>响应服务方案提供售后服务且符合本项目实际，横向比较第三的得10分；</w:t>
            </w:r>
          </w:p>
          <w:p>
            <w:pPr>
              <w:pStyle w:val="2"/>
              <w:jc w:val="left"/>
              <w:rPr>
                <w:rFonts w:hint="default"/>
                <w:lang w:val="en-US" w:eastAsia="zh-CN"/>
              </w:rPr>
            </w:pPr>
            <w:r>
              <w:rPr>
                <w:rFonts w:hint="eastAsia"/>
                <w:vertAlign w:val="baseline"/>
                <w:lang w:val="en-US" w:eastAsia="zh-CN"/>
              </w:rPr>
              <w:t>以此类推，未提供售后服务或提供的售后服务不符合本项目实际，得0分。</w:t>
            </w:r>
          </w:p>
        </w:tc>
      </w:tr>
    </w:tbl>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b w:val="0"/>
          <w:bCs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五、项目时间要求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1.服务期限：自发送成交通知书之日起至后评价报告通过南方电网广西电动汽车服务有限公司验收，原则不超过二个月。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2.服务期内，服务商要认真听取公司的合理化建议及意见，及时修改报告，</w:t>
      </w:r>
      <w:r>
        <w:rPr>
          <w:rFonts w:hint="default" w:ascii="仿宋_GB2312" w:hAnsi="仿宋_GB2312" w:eastAsia="仿宋_GB2312" w:cs="仿宋_GB2312"/>
          <w:sz w:val="32"/>
          <w:szCs w:val="32"/>
          <w:lang w:val="en-US" w:eastAsia="zh-CN"/>
        </w:rPr>
        <w:t>按照</w:t>
      </w:r>
      <w:r>
        <w:rPr>
          <w:rFonts w:hint="eastAsia" w:ascii="仿宋_GB2312" w:hAnsi="仿宋_GB2312" w:eastAsia="仿宋_GB2312" w:cs="仿宋_GB2312"/>
          <w:sz w:val="32"/>
          <w:szCs w:val="32"/>
          <w:lang w:val="en-US" w:eastAsia="zh-CN"/>
        </w:rPr>
        <w:t>《固定资产投资项目后评价报告》（模版）要求</w:t>
      </w:r>
      <w:r>
        <w:rPr>
          <w:rFonts w:hint="default" w:ascii="仿宋_GB2312" w:hAnsi="仿宋_GB2312" w:eastAsia="仿宋_GB2312" w:cs="仿宋_GB2312"/>
          <w:sz w:val="32"/>
          <w:szCs w:val="32"/>
          <w:lang w:val="en-US" w:eastAsia="zh-CN"/>
        </w:rPr>
        <w:t>，按</w:t>
      </w:r>
      <w:r>
        <w:rPr>
          <w:rFonts w:hint="eastAsia" w:ascii="仿宋_GB2312" w:hAnsi="仿宋_GB2312" w:eastAsia="仿宋_GB2312" w:cs="仿宋_GB2312"/>
          <w:sz w:val="32"/>
          <w:szCs w:val="32"/>
          <w:lang w:val="en-US" w:eastAsia="zh-CN"/>
        </w:rPr>
        <w:t>充电站、换电站分类</w:t>
      </w:r>
      <w:r>
        <w:rPr>
          <w:rFonts w:hint="default" w:ascii="仿宋_GB2312" w:hAnsi="仿宋_GB2312" w:eastAsia="仿宋_GB2312" w:cs="仿宋_GB2312"/>
          <w:sz w:val="32"/>
          <w:szCs w:val="32"/>
          <w:lang w:val="en-US" w:eastAsia="zh-CN"/>
        </w:rPr>
        <w:t>完成</w:t>
      </w:r>
      <w:r>
        <w:rPr>
          <w:rFonts w:hint="eastAsia" w:ascii="仿宋_GB2312" w:hAnsi="仿宋_GB2312" w:eastAsia="仿宋_GB2312" w:cs="仿宋_GB2312"/>
          <w:sz w:val="32"/>
          <w:szCs w:val="32"/>
          <w:lang w:val="en-US" w:eastAsia="zh-CN"/>
        </w:rPr>
        <w:t>投资后评价报告。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六、提交材料要求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1、报价表（附件1）；</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2、营业执照、法人身份证正反面复印件；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3、服务方案（格式自定）</w:t>
      </w:r>
      <w:r>
        <w:rPr>
          <w:rFonts w:hint="default"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sectPr>
      <w:footerReference r:id="rId3" w:type="default"/>
      <w:footerReference r:id="rId4" w:type="even"/>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posOffset>-15875</wp:posOffset>
              </wp:positionH>
              <wp:positionV relativeFrom="paragraph">
                <wp:posOffset>-142875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25pt;margin-top:-11.25pt;height:144pt;width:144pt;mso-position-horizontal-relative:margin;mso-wrap-style:none;z-index:251659264;mso-width-relative:page;mso-height-relative:page;" filled="f" stroked="f" coordsize="21600,21600" o:gfxdata="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rgoS+1AAAAAoBAAAPAAAAAAAAAAEAIAAAACIAAABkcnMvZG93bnJldi54bWxQSwEC&#10;FAAUAAAACACHTuJAa4X5+zECAABhBAAADgAAAAAAAAABACAAAAAjAQAAZHJzL2Uyb0RvYy54bWxQ&#10;SwUGAAAAAAYABgBZAQAAxgUAAAAA&#10;">
              <v:fill on="f" focussize="0,0"/>
              <v:stroke on="f" weight="0.5pt"/>
              <v:imagedata o:title=""/>
              <o:lock v:ext="edit" aspectratio="f"/>
              <v:textbox inset="0mm,0mm,0mm,0mm" style="mso-fit-shape-to-text:t;">
                <w:txbxContent>
                  <w:p>
                    <w:pPr>
                      <w:pStyle w:val="4"/>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0288" behindDoc="0" locked="0" layoutInCell="1" allowOverlap="1">
              <wp:simplePos x="0" y="0"/>
              <wp:positionH relativeFrom="margin">
                <wp:posOffset>4746625</wp:posOffset>
              </wp:positionH>
              <wp:positionV relativeFrom="paragraph">
                <wp:posOffset>-135255</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- 2 -</w:t>
                          </w:r>
                          <w:r>
                            <w:rPr>
                              <w:rFonts w:hint="eastAsia" w:ascii="仿宋_GB2312" w:hAnsi="仿宋_GB2312" w:eastAsia="仿宋_GB2312" w:cs="仿宋_GB2312"/>
                              <w:sz w:val="32"/>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3.75pt;margin-top:-10.65pt;height:144pt;width:144pt;mso-position-horizontal-relative:margin;mso-wrap-style:none;z-index:251660288;mso-width-relative:page;mso-height-relative:page;" filled="f" stroked="f" coordsize="21600,21600" o:gfxdata="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HQq0DXZAAAADAEAAA8AAAAAAAAAAQAgAAAAIgAAAGRycy9kb3ducmV2Lnht&#10;bFBLAQIUABQAAAAIAIdO4kAkgka0MQIAAGEEAAAOAAAAAAAAAAEAIAAAACgBAABkcnMvZTJvRG9j&#10;LnhtbFBLBQYAAAAABgAGAFkBAADLBQAAAAA=&#10;">
              <v:fill on="f" focussize="0,0"/>
              <v:stroke on="f" weight="0.5pt"/>
              <v:imagedata o:title=""/>
              <o:lock v:ext="edit" aspectratio="f"/>
              <v:textbox inset="0mm,0mm,0mm,0mm" style="mso-fit-shape-to-text:t;">
                <w:txbxContent>
                  <w:p>
                    <w:pPr>
                      <w:pStyle w:val="4"/>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- 2 -</w:t>
                    </w:r>
                    <w:r>
                      <w:rPr>
                        <w:rFonts w:hint="eastAsia" w:ascii="仿宋_GB2312" w:hAnsi="仿宋_GB2312" w:eastAsia="仿宋_GB2312" w:cs="仿宋_GB2312"/>
                        <w:sz w:val="32"/>
                        <w:szCs w:val="32"/>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hlYjEyOWJjZWY4NjRiN2UwZWUxODc5ZGJkZWQ4NDYifQ=="/>
    <w:docVar w:name="KSO_WPS_MARK_KEY" w:val="02db52a1-0e84-43c5-8cd3-569de4a4b827"/>
  </w:docVars>
  <w:rsids>
    <w:rsidRoot w:val="4BEA3EE9"/>
    <w:rsid w:val="003C36EF"/>
    <w:rsid w:val="00BC15EB"/>
    <w:rsid w:val="019863F3"/>
    <w:rsid w:val="073C060E"/>
    <w:rsid w:val="076A6D88"/>
    <w:rsid w:val="08456652"/>
    <w:rsid w:val="0E4F09F3"/>
    <w:rsid w:val="127B2E60"/>
    <w:rsid w:val="14642EE2"/>
    <w:rsid w:val="1DAD60EE"/>
    <w:rsid w:val="1F174319"/>
    <w:rsid w:val="217A5F54"/>
    <w:rsid w:val="2C0D5456"/>
    <w:rsid w:val="2DAE4BCF"/>
    <w:rsid w:val="2FC741D0"/>
    <w:rsid w:val="320812D4"/>
    <w:rsid w:val="35705244"/>
    <w:rsid w:val="385B3BD0"/>
    <w:rsid w:val="39A74E22"/>
    <w:rsid w:val="3B5D357F"/>
    <w:rsid w:val="3E4D15C3"/>
    <w:rsid w:val="42C65C9A"/>
    <w:rsid w:val="45434770"/>
    <w:rsid w:val="47067DCC"/>
    <w:rsid w:val="4BEA3EE9"/>
    <w:rsid w:val="572A730E"/>
    <w:rsid w:val="5A1268B1"/>
    <w:rsid w:val="5A707BD5"/>
    <w:rsid w:val="65430B34"/>
    <w:rsid w:val="68917373"/>
    <w:rsid w:val="6A364ECE"/>
    <w:rsid w:val="6C2E4D68"/>
    <w:rsid w:val="6C404029"/>
    <w:rsid w:val="6CE92DAC"/>
    <w:rsid w:val="6DDC11D2"/>
    <w:rsid w:val="6DDC3928"/>
    <w:rsid w:val="6E1F1C14"/>
    <w:rsid w:val="6EB072A6"/>
    <w:rsid w:val="723D5917"/>
    <w:rsid w:val="7B7310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列出段落1"/>
    <w:basedOn w:val="1"/>
    <w:qFormat/>
    <w:uiPriority w:val="34"/>
    <w:pPr>
      <w:ind w:firstLine="420" w:firstLineChars="200"/>
    </w:pPr>
    <w:rPr>
      <w:rFonts w:ascii="Times New Roman" w:hAnsi="Times New Roman" w:eastAsia="宋体" w:cs="Times New Roman"/>
      <w:szCs w:val="24"/>
    </w:rPr>
  </w:style>
  <w:style w:type="paragraph" w:customStyle="1"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608</Words>
  <Characters>622</Characters>
  <Lines>0</Lines>
  <Paragraphs>0</Paragraphs>
  <TotalTime>2</TotalTime>
  <ScaleCrop>false</ScaleCrop>
  <LinksUpToDate>false</LinksUpToDate>
  <CharactersWithSpaces>622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2023-02-09T10:23:00Z</dcterms:created>
  <dc:creator>姜雨含</dc:creator>
  <cp:lastModifiedBy>朱彝剑</cp:lastModifiedBy>
  <dcterms:modified xsi:type="dcterms:W3CDTF">2026-03-17T00:38:44Z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C0E0ED7A2BBC48E69238DC17BAD7E6AC</vt:lpwstr>
  </property>
</Properties>
</file>