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0" w:firstLineChars="0"/>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南方电网广西电动汽车服务有限公司</w:t>
      </w:r>
    </w:p>
    <w:p>
      <w:pPr>
        <w:spacing w:line="560" w:lineRule="exact"/>
        <w:ind w:firstLine="0" w:firstLineChars="0"/>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桂林漓江风景区竹筏充换电项目</w:t>
      </w:r>
    </w:p>
    <w:p>
      <w:pPr>
        <w:spacing w:line="560" w:lineRule="exact"/>
        <w:ind w:firstLine="0" w:firstLineChars="0"/>
        <w:jc w:val="center"/>
        <w:rPr>
          <w:rFonts w:hint="eastAsia" w:ascii="仿宋_GB2312" w:hAnsi="仿宋_GB2312" w:eastAsia="仿宋_GB2312" w:cs="仿宋_GB2312"/>
          <w:sz w:val="32"/>
          <w:szCs w:val="32"/>
          <w:highlight w:val="none"/>
        </w:rPr>
      </w:pPr>
      <w:r>
        <w:rPr>
          <w:rFonts w:hint="eastAsia" w:ascii="方正小标宋_GBK" w:hAnsi="方正小标宋_GBK" w:eastAsia="方正小标宋_GBK" w:cs="方正小标宋_GBK"/>
          <w:sz w:val="44"/>
          <w:szCs w:val="44"/>
          <w:highlight w:val="none"/>
          <w:lang w:val="en-US" w:eastAsia="zh-CN"/>
        </w:rPr>
        <w:t>投资后评价</w:t>
      </w:r>
      <w:r>
        <w:rPr>
          <w:rFonts w:hint="eastAsia" w:ascii="方正小标宋_GBK" w:hAnsi="方正小标宋_GBK" w:eastAsia="方正小标宋_GBK" w:cs="方正小标宋_GBK"/>
          <w:sz w:val="44"/>
          <w:szCs w:val="44"/>
          <w:highlight w:val="none"/>
        </w:rPr>
        <w:t>报告大纲</w:t>
      </w:r>
    </w:p>
    <w:p>
      <w:pPr>
        <w:spacing w:line="560" w:lineRule="exact"/>
        <w:ind w:firstLine="0" w:firstLineChars="0"/>
        <w:outlineLvl w:val="0"/>
        <w:rPr>
          <w:rFonts w:hint="eastAsia" w:ascii="黑体" w:hAnsi="黑体" w:eastAsia="黑体" w:cs="黑体"/>
          <w:sz w:val="32"/>
          <w:szCs w:val="32"/>
          <w:highlight w:val="none"/>
          <w:lang w:eastAsia="zh-CN"/>
        </w:rPr>
      </w:pPr>
    </w:p>
    <w:p>
      <w:p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rPr>
        <w:t>一、项目基本情况</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简述项目</w:t>
      </w:r>
      <w:r>
        <w:rPr>
          <w:rFonts w:hint="eastAsia" w:ascii="仿宋_GB2312" w:hAnsi="仿宋_GB2312" w:eastAsia="仿宋_GB2312" w:cs="仿宋_GB2312"/>
          <w:sz w:val="32"/>
          <w:szCs w:val="32"/>
          <w:highlight w:val="none"/>
          <w:lang w:val="en-US" w:eastAsia="zh-CN"/>
        </w:rPr>
        <w:t>概况，</w:t>
      </w:r>
      <w:r>
        <w:rPr>
          <w:rFonts w:hint="eastAsia" w:ascii="仿宋_GB2312" w:hAnsi="仿宋_GB2312" w:eastAsia="仿宋_GB2312" w:cs="仿宋_GB2312"/>
          <w:sz w:val="32"/>
          <w:szCs w:val="32"/>
          <w:highlight w:val="none"/>
        </w:rPr>
        <w:t>包括背景（项目由来）、建设地点、建设必要性</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包括传统能源竹筏电动化发展趋势、战新产业充换电产业集群、服务桂林漓江核心景区低碳绿色发展等）</w:t>
      </w:r>
      <w:r>
        <w:rPr>
          <w:rFonts w:hint="eastAsia" w:ascii="仿宋_GB2312" w:hAnsi="仿宋_GB2312" w:eastAsia="仿宋_GB2312" w:cs="仿宋_GB2312"/>
          <w:sz w:val="32"/>
          <w:szCs w:val="32"/>
          <w:highlight w:val="none"/>
        </w:rPr>
        <w:t>、项目内容（</w:t>
      </w:r>
      <w:r>
        <w:rPr>
          <w:rFonts w:hint="eastAsia" w:ascii="仿宋_GB2312" w:hAnsi="仿宋_GB2312" w:eastAsia="仿宋_GB2312" w:cs="仿宋_GB2312"/>
          <w:sz w:val="32"/>
          <w:szCs w:val="32"/>
          <w:highlight w:val="none"/>
          <w:lang w:val="en-US" w:eastAsia="zh-CN"/>
        </w:rPr>
        <w:t>描述</w:t>
      </w:r>
      <w:r>
        <w:rPr>
          <w:rFonts w:hint="eastAsia" w:ascii="仿宋_GB2312" w:hAnsi="仿宋_GB2312" w:eastAsia="仿宋_GB2312" w:cs="仿宋_GB2312"/>
          <w:sz w:val="32"/>
          <w:szCs w:val="32"/>
          <w:highlight w:val="none"/>
        </w:rPr>
        <w:t>包括电压等级、建设规模等）、项目性质及特点、项目立项及主要批复意见、投资单位、建设单位、列入规划与投资计划、开工与竣工验收、项目投资（包括计划与实际竣工决算来源中资本金、融资额度及到位情况；各投资方的投资比例；贷款利率等）、运行效果等情况。</w:t>
      </w:r>
    </w:p>
    <w:p>
      <w:p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rPr>
        <w:t>二、投资前期决策评价</w:t>
      </w:r>
    </w:p>
    <w:p>
      <w:pPr>
        <w:spacing w:line="560" w:lineRule="exact"/>
        <w:ind w:firstLine="640" w:firstLineChars="200"/>
        <w:outlineLvl w:val="1"/>
        <w:rPr>
          <w:rFonts w:ascii="楷体_GB2312" w:hAnsi="楷体_GB2312" w:eastAsia="楷体_GB2312" w:cs="楷体_GB2312"/>
          <w:sz w:val="32"/>
          <w:szCs w:val="32"/>
          <w:highlight w:val="none"/>
        </w:rPr>
      </w:pPr>
      <w:bookmarkStart w:id="0" w:name="_Toc28821"/>
      <w:r>
        <w:rPr>
          <w:rFonts w:hint="eastAsia" w:ascii="楷体_GB2312" w:hAnsi="楷体_GB2312" w:eastAsia="楷体_GB2312" w:cs="楷体_GB2312"/>
          <w:sz w:val="32"/>
          <w:szCs w:val="32"/>
          <w:highlight w:val="none"/>
        </w:rPr>
        <w:t>（一）项目规划</w:t>
      </w:r>
      <w:bookmarkEnd w:id="0"/>
      <w:r>
        <w:rPr>
          <w:rFonts w:hint="eastAsia" w:ascii="楷体_GB2312" w:hAnsi="楷体_GB2312" w:eastAsia="楷体_GB2312" w:cs="楷体_GB2312"/>
          <w:sz w:val="32"/>
          <w:szCs w:val="32"/>
          <w:highlight w:val="none"/>
        </w:rPr>
        <w:t>（前期决策）</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说明项目规划批复情况，总结批复规划中项目的基本信息、主要规模、投资、解决问题</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预期实现目标、重大调整（如有）等情况。</w:t>
      </w:r>
      <w:r>
        <w:rPr>
          <w:rFonts w:hint="eastAsia" w:ascii="仿宋_GB2312" w:hAnsi="仿宋_GB2312" w:eastAsia="仿宋_GB2312" w:cs="仿宋_GB2312"/>
          <w:sz w:val="32"/>
          <w:szCs w:val="32"/>
          <w:highlight w:val="none"/>
        </w:rPr>
        <w:t>对项目在规划</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立项</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阶段的程序规范性和规划内容质量深度要求等进行分析评价。</w:t>
      </w:r>
      <w:r>
        <w:rPr>
          <w:rFonts w:hint="eastAsia" w:ascii="仿宋_GB2312" w:hAnsi="仿宋_GB2312" w:eastAsia="仿宋_GB2312" w:cs="仿宋_GB2312"/>
          <w:sz w:val="32"/>
          <w:szCs w:val="32"/>
        </w:rPr>
        <w:t>评价项目是否符合当期有关立项政策和要求，是否按照国家政策和总体效益优化的原则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经济、社会与地方发展统筹规划</w:t>
      </w:r>
      <w:r>
        <w:rPr>
          <w:rFonts w:hint="eastAsia" w:ascii="仿宋_GB2312" w:hAnsi="仿宋_GB2312" w:eastAsia="仿宋_GB2312" w:cs="仿宋_GB2312"/>
          <w:sz w:val="32"/>
          <w:szCs w:val="32"/>
          <w:lang w:val="en-US" w:eastAsia="zh-CN"/>
        </w:rPr>
        <w:t>等方面），</w:t>
      </w:r>
      <w:r>
        <w:rPr>
          <w:rFonts w:hint="eastAsia" w:ascii="仿宋_GB2312" w:hAnsi="仿宋_GB2312" w:eastAsia="仿宋_GB2312" w:cs="仿宋_GB2312"/>
          <w:sz w:val="32"/>
          <w:szCs w:val="32"/>
          <w:highlight w:val="none"/>
        </w:rPr>
        <w:t>根据</w:t>
      </w:r>
      <w:r>
        <w:rPr>
          <w:rFonts w:ascii="仿宋_GB2312" w:hAnsi="仿宋_GB2312" w:eastAsia="仿宋_GB2312" w:cs="仿宋_GB2312"/>
          <w:sz w:val="32"/>
          <w:szCs w:val="32"/>
          <w:highlight w:val="none"/>
        </w:rPr>
        <w:t>调查</w:t>
      </w:r>
      <w:r>
        <w:rPr>
          <w:rFonts w:hint="eastAsia" w:ascii="仿宋_GB2312" w:hAnsi="仿宋_GB2312" w:eastAsia="仿宋_GB2312" w:cs="仿宋_GB2312"/>
          <w:sz w:val="32"/>
          <w:szCs w:val="32"/>
          <w:highlight w:val="none"/>
        </w:rPr>
        <w:t>情况和相关制度，给出前期立项依据是否充分、程序是否规范等结论。</w:t>
      </w:r>
    </w:p>
    <w:p>
      <w:pPr>
        <w:spacing w:line="560" w:lineRule="exact"/>
        <w:ind w:firstLine="640" w:firstLineChars="200"/>
        <w:outlineLvl w:val="1"/>
        <w:rPr>
          <w:rFonts w:ascii="楷体_GB2312" w:hAnsi="楷体_GB2312" w:eastAsia="楷体_GB2312" w:cs="楷体_GB2312"/>
          <w:sz w:val="32"/>
          <w:szCs w:val="32"/>
          <w:highlight w:val="none"/>
        </w:rPr>
      </w:pPr>
      <w:bookmarkStart w:id="1" w:name="_Toc29003"/>
      <w:r>
        <w:rPr>
          <w:rFonts w:hint="eastAsia" w:ascii="楷体_GB2312" w:hAnsi="楷体_GB2312" w:eastAsia="楷体_GB2312" w:cs="楷体_GB2312"/>
          <w:sz w:val="32"/>
          <w:szCs w:val="32"/>
          <w:highlight w:val="none"/>
        </w:rPr>
        <w:t>（二）</w:t>
      </w:r>
      <w:bookmarkEnd w:id="1"/>
      <w:r>
        <w:rPr>
          <w:rFonts w:hint="eastAsia" w:ascii="楷体_GB2312" w:hAnsi="楷体_GB2312" w:eastAsia="楷体_GB2312" w:cs="楷体_GB2312"/>
          <w:sz w:val="32"/>
          <w:szCs w:val="32"/>
          <w:highlight w:val="none"/>
        </w:rPr>
        <w:t>前期工作</w:t>
      </w:r>
      <w:r>
        <w:rPr>
          <w:rFonts w:hint="eastAsia" w:ascii="楷体_GB2312" w:hAnsi="楷体_GB2312" w:eastAsia="楷体_GB2312" w:cs="楷体_GB2312"/>
          <w:sz w:val="32"/>
          <w:szCs w:val="32"/>
          <w:highlight w:val="none"/>
          <w:lang w:val="en-US" w:eastAsia="zh-CN"/>
        </w:rPr>
        <w:t>和要素保障</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说明项目可研的编制情况、可研批复情况，总结可研中项目的基本信息、建设规模（</w:t>
      </w:r>
      <w:r>
        <w:rPr>
          <w:rFonts w:hint="eastAsia" w:ascii="仿宋_GB2312" w:hAnsi="仿宋_GB2312" w:eastAsia="仿宋_GB2312" w:cs="仿宋_GB2312"/>
          <w:sz w:val="32"/>
          <w:szCs w:val="32"/>
          <w:highlight w:val="none"/>
          <w:lang w:val="en-US" w:eastAsia="zh-CN"/>
        </w:rPr>
        <w:t>建设</w:t>
      </w:r>
      <w:r>
        <w:rPr>
          <w:rFonts w:hint="eastAsia" w:ascii="仿宋_GB2312" w:hAnsi="仿宋_GB2312" w:eastAsia="仿宋_GB2312" w:cs="仿宋_GB2312"/>
          <w:sz w:val="32"/>
          <w:szCs w:val="32"/>
          <w:highlight w:val="none"/>
        </w:rPr>
        <w:t>容量、线路长度等）、解决问题、预期实现目标（</w:t>
      </w:r>
      <w:r>
        <w:rPr>
          <w:rFonts w:hint="eastAsia" w:ascii="仿宋_GB2312" w:hAnsi="仿宋_GB2312" w:eastAsia="仿宋_GB2312" w:cs="仿宋_GB2312"/>
          <w:sz w:val="32"/>
          <w:szCs w:val="32"/>
          <w:highlight w:val="none"/>
          <w:lang w:val="en-US" w:eastAsia="zh-CN"/>
        </w:rPr>
        <w:t>投资内部收益率、利用率、充电量等</w:t>
      </w:r>
      <w:r>
        <w:rPr>
          <w:rFonts w:hint="eastAsia" w:ascii="仿宋_GB2312" w:hAnsi="仿宋_GB2312" w:eastAsia="仿宋_GB2312" w:cs="仿宋_GB2312"/>
          <w:sz w:val="32"/>
          <w:szCs w:val="32"/>
          <w:highlight w:val="none"/>
        </w:rPr>
        <w:t>）、重大调整（如有）、估算</w:t>
      </w:r>
      <w:bookmarkStart w:id="4" w:name="_GoBack"/>
      <w:bookmarkEnd w:id="4"/>
      <w:r>
        <w:rPr>
          <w:rFonts w:hint="eastAsia" w:ascii="仿宋_GB2312" w:hAnsi="仿宋_GB2312" w:eastAsia="仿宋_GB2312" w:cs="仿宋_GB2312"/>
          <w:sz w:val="32"/>
          <w:szCs w:val="32"/>
          <w:highlight w:val="none"/>
        </w:rPr>
        <w:t>投资等情况。</w:t>
      </w:r>
    </w:p>
    <w:p>
      <w:pPr>
        <w:spacing w:line="56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根据</w:t>
      </w:r>
      <w:r>
        <w:rPr>
          <w:rFonts w:ascii="仿宋_GB2312" w:hAnsi="仿宋_GB2312" w:eastAsia="仿宋_GB2312" w:cs="仿宋_GB2312"/>
          <w:sz w:val="32"/>
          <w:szCs w:val="32"/>
          <w:highlight w:val="none"/>
        </w:rPr>
        <w:t>调查</w:t>
      </w:r>
      <w:r>
        <w:rPr>
          <w:rFonts w:hint="eastAsia" w:ascii="仿宋_GB2312" w:hAnsi="仿宋_GB2312" w:eastAsia="仿宋_GB2312" w:cs="仿宋_GB2312"/>
          <w:sz w:val="32"/>
          <w:szCs w:val="32"/>
          <w:highlight w:val="none"/>
        </w:rPr>
        <w:t>情况和相关制度，给出可研、行政审批手续是否规范，深度是否满足要求等结论。</w:t>
      </w:r>
    </w:p>
    <w:p>
      <w:pPr>
        <w:spacing w:line="560" w:lineRule="exact"/>
        <w:ind w:firstLine="640" w:firstLineChars="200"/>
        <w:outlineLvl w:val="1"/>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（三）项目投资决策</w:t>
      </w:r>
    </w:p>
    <w:p>
      <w:pPr>
        <w:spacing w:line="560" w:lineRule="exact"/>
        <w:ind w:firstLine="643"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b/>
          <w:sz w:val="32"/>
          <w:szCs w:val="32"/>
          <w:highlight w:val="none"/>
        </w:rPr>
        <w:t>简述</w:t>
      </w:r>
      <w:r>
        <w:rPr>
          <w:rFonts w:hint="eastAsia" w:ascii="仿宋_GB2312" w:hAnsi="仿宋_GB2312" w:eastAsia="仿宋_GB2312" w:cs="仿宋_GB2312"/>
          <w:sz w:val="32"/>
          <w:szCs w:val="32"/>
          <w:highlight w:val="none"/>
        </w:rPr>
        <w:t>项目履行内部决策程序</w:t>
      </w:r>
      <w:r>
        <w:rPr>
          <w:rFonts w:hint="eastAsia" w:ascii="仿宋_GB2312" w:hAnsi="仿宋_GB2312" w:eastAsia="仿宋_GB2312" w:cs="仿宋_GB2312"/>
          <w:b/>
          <w:sz w:val="32"/>
          <w:szCs w:val="32"/>
          <w:highlight w:val="none"/>
        </w:rPr>
        <w:t>有关情况</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rPr>
        <w:t>项目是否根据</w:t>
      </w:r>
      <w:r>
        <w:rPr>
          <w:rFonts w:hint="eastAsia" w:ascii="仿宋_GB2312" w:hAnsi="仿宋_GB2312" w:eastAsia="仿宋_GB2312" w:cs="仿宋_GB2312"/>
          <w:sz w:val="32"/>
          <w:szCs w:val="32"/>
          <w:lang w:val="en-US" w:eastAsia="zh-CN"/>
        </w:rPr>
        <w:t>广西电动汽车</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sz w:val="32"/>
          <w:szCs w:val="32"/>
          <w:lang w:val="en-US" w:eastAsia="zh-CN"/>
        </w:rPr>
        <w:t>治理主体</w:t>
      </w:r>
      <w:r>
        <w:rPr>
          <w:rFonts w:hint="eastAsia" w:ascii="仿宋_GB2312" w:hAnsi="仿宋_GB2312" w:eastAsia="仿宋_GB2312" w:cs="仿宋_GB2312"/>
          <w:sz w:val="32"/>
          <w:szCs w:val="32"/>
          <w:lang w:eastAsia="zh-CN"/>
        </w:rPr>
        <w:t>权责清单、</w:t>
      </w:r>
      <w:r>
        <w:rPr>
          <w:rFonts w:hint="eastAsia" w:ascii="仿宋_GB2312" w:hAnsi="仿宋_GB2312" w:eastAsia="仿宋_GB2312" w:cs="仿宋_GB2312"/>
          <w:sz w:val="32"/>
          <w:szCs w:val="32"/>
          <w:lang w:val="en-US" w:eastAsia="zh-CN"/>
        </w:rPr>
        <w:t>广西电动汽车</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sz w:val="32"/>
          <w:szCs w:val="32"/>
          <w:lang w:val="en-US" w:eastAsia="zh-CN"/>
        </w:rPr>
        <w:t>法人层级清单</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有关要求履行内部决策程序，决策主体和流程是否符合企业投资管理制度要求，</w:t>
      </w:r>
      <w:r>
        <w:rPr>
          <w:rFonts w:hint="eastAsia" w:ascii="仿宋_GB2312" w:hAnsi="仿宋_GB2312" w:eastAsia="仿宋_GB2312" w:cs="仿宋_GB2312"/>
          <w:b/>
          <w:sz w:val="32"/>
          <w:szCs w:val="32"/>
        </w:rPr>
        <w:t>并简述有关情况。</w:t>
      </w:r>
      <w:r>
        <w:rPr>
          <w:rFonts w:hint="eastAsia" w:ascii="仿宋_GB2312" w:hAnsi="仿宋_GB2312" w:eastAsia="仿宋_GB2312" w:cs="仿宋_GB2312"/>
          <w:b/>
          <w:sz w:val="32"/>
          <w:szCs w:val="32"/>
          <w:highlight w:val="none"/>
          <w:lang w:val="en-US" w:eastAsia="zh-CN"/>
        </w:rPr>
        <w:t>简述</w:t>
      </w:r>
      <w:r>
        <w:rPr>
          <w:rFonts w:hint="eastAsia" w:ascii="仿宋_GB2312" w:hAnsi="仿宋_GB2312" w:eastAsia="仿宋_GB2312" w:cs="仿宋_GB2312"/>
          <w:sz w:val="32"/>
          <w:szCs w:val="32"/>
          <w:highlight w:val="none"/>
        </w:rPr>
        <w:t>项目投资决策的关键边界条件和决议事项。</w:t>
      </w:r>
      <w:r>
        <w:rPr>
          <w:rFonts w:hint="eastAsia" w:ascii="仿宋_GB2312" w:hAnsi="仿宋_GB2312" w:eastAsia="仿宋_GB2312" w:cs="仿宋_GB2312"/>
          <w:sz w:val="32"/>
          <w:szCs w:val="32"/>
          <w:highlight w:val="none"/>
          <w:lang w:val="en-US" w:eastAsia="zh-CN"/>
        </w:rPr>
        <w:t>简述项</w:t>
      </w:r>
      <w:r>
        <w:rPr>
          <w:rFonts w:hint="eastAsia" w:ascii="仿宋_GB2312" w:hAnsi="仿宋_GB2312" w:eastAsia="仿宋_GB2312" w:cs="仿宋_GB2312"/>
          <w:b w:val="0"/>
          <w:bCs/>
          <w:color w:val="auto"/>
          <w:sz w:val="32"/>
          <w:szCs w:val="32"/>
          <w:lang w:val="en-US" w:eastAsia="zh-CN"/>
        </w:rPr>
        <w:t>项目投资决策材料中是否有对项目风险进行分析，是否有提出有效措施</w:t>
      </w:r>
      <w:r>
        <w:rPr>
          <w:rFonts w:hint="eastAsia" w:ascii="仿宋_GB2312" w:hAnsi="仿宋_GB2312" w:eastAsia="仿宋_GB2312" w:cs="仿宋_GB2312"/>
          <w:sz w:val="32"/>
          <w:szCs w:val="32"/>
          <w:highlight w:val="none"/>
          <w:lang w:val="en-US" w:eastAsia="zh-CN"/>
        </w:rPr>
        <w:t>；简述</w:t>
      </w:r>
      <w:r>
        <w:rPr>
          <w:rFonts w:hint="eastAsia" w:ascii="仿宋_GB2312" w:hAnsi="仿宋_GB2312" w:eastAsia="仿宋_GB2312" w:cs="仿宋_GB2312"/>
          <w:b w:val="0"/>
          <w:bCs/>
          <w:color w:val="auto"/>
          <w:sz w:val="32"/>
          <w:szCs w:val="32"/>
          <w:lang w:val="en-US" w:eastAsia="zh-CN"/>
        </w:rPr>
        <w:t>项目投资决策材料中是否明确</w:t>
      </w:r>
      <w:r>
        <w:rPr>
          <w:rFonts w:hint="eastAsia" w:ascii="仿宋_GB2312" w:hAnsi="仿宋_GB2312" w:eastAsia="仿宋_GB2312" w:cs="仿宋_GB2312"/>
          <w:sz w:val="32"/>
          <w:szCs w:val="32"/>
        </w:rPr>
        <w:t>投资回报率</w:t>
      </w:r>
      <w:r>
        <w:rPr>
          <w:rFonts w:hint="eastAsia" w:ascii="仿宋_GB2312" w:hAnsi="仿宋_GB2312" w:eastAsia="仿宋_GB2312" w:cs="仿宋_GB2312"/>
          <w:color w:val="auto"/>
          <w:sz w:val="32"/>
          <w:szCs w:val="32"/>
        </w:rPr>
        <w:t>，是否满足</w:t>
      </w:r>
      <w:r>
        <w:rPr>
          <w:rFonts w:hint="eastAsia" w:ascii="仿宋_GB2312" w:hAnsi="仿宋_GB2312" w:eastAsia="仿宋_GB2312" w:cs="仿宋_GB2312"/>
          <w:sz w:val="32"/>
          <w:szCs w:val="32"/>
        </w:rPr>
        <w:t>财务内部收益率</w:t>
      </w:r>
      <w:r>
        <w:rPr>
          <w:rFonts w:hint="eastAsia" w:ascii="仿宋_GB2312" w:hAnsi="仿宋_GB2312" w:eastAsia="仿宋_GB2312" w:cs="仿宋_GB2312"/>
          <w:color w:val="auto"/>
          <w:sz w:val="32"/>
          <w:szCs w:val="32"/>
        </w:rPr>
        <w:t>要求</w:t>
      </w:r>
      <w:r>
        <w:rPr>
          <w:rFonts w:hint="eastAsia" w:ascii="仿宋_GB2312" w:hAnsi="仿宋_GB2312" w:eastAsia="仿宋_GB2312" w:cs="仿宋_GB2312"/>
          <w:sz w:val="32"/>
          <w:szCs w:val="32"/>
          <w:highlight w:val="none"/>
          <w:lang w:val="en-US" w:eastAsia="zh-CN"/>
        </w:rPr>
        <w:t>。</w:t>
      </w:r>
    </w:p>
    <w:p>
      <w:pPr>
        <w:spacing w:line="560" w:lineRule="exact"/>
        <w:ind w:firstLine="640" w:firstLineChars="200"/>
        <w:outlineLvl w:val="1"/>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根据</w:t>
      </w:r>
      <w:r>
        <w:rPr>
          <w:rFonts w:ascii="仿宋_GB2312" w:hAnsi="仿宋_GB2312" w:eastAsia="仿宋_GB2312" w:cs="仿宋_GB2312"/>
          <w:sz w:val="32"/>
          <w:szCs w:val="32"/>
          <w:highlight w:val="none"/>
        </w:rPr>
        <w:t>调查</w:t>
      </w:r>
      <w:r>
        <w:rPr>
          <w:rFonts w:hint="eastAsia" w:ascii="仿宋_GB2312" w:hAnsi="仿宋_GB2312" w:eastAsia="仿宋_GB2312" w:cs="仿宋_GB2312"/>
          <w:sz w:val="32"/>
          <w:szCs w:val="32"/>
          <w:highlight w:val="none"/>
        </w:rPr>
        <w:t>情况和相关制度，评价项目投资决策是否合法合规，投资决策材料深度是否满足公司决策材料深度要求，决策关键边界条件和支撑数据是否合理，决策事项是否清晰等结论。</w:t>
      </w:r>
    </w:p>
    <w:p>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（四）小结</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结合项目规划、可行性研究、项目投资决策的评价结论，对项目投资过程进行总结评价，包括项目前期决策的条件与依据评价、决策的过程与程序评价、项目核准程序评价等方面。</w:t>
      </w:r>
    </w:p>
    <w:p>
      <w:pPr>
        <w:numPr>
          <w:ilvl w:val="0"/>
          <w:numId w:val="2"/>
        </w:num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rPr>
        <w:t>项目建设准备工作</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（一）勘察设计</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说明项目勘察设计工作开展情况，总结项目在勘察设计阶段的技术方案优化、经济比选、概算投资等情况。</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评价设计变更的主要原因及效果、设计变更程序的合规性、评价运行中报露出的设计问题。</w:t>
      </w:r>
    </w:p>
    <w:p>
      <w:pPr>
        <w:numPr>
          <w:ilvl w:val="0"/>
          <w:numId w:val="3"/>
        </w:num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项目招投标及合同订立</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简述项目勘察设计、监理、设备物资采购、施工等招投标采购的招标方式、招标组织形式及主要中标单位等情况。</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评价上述招投标过程的公平、公正与公开性，评价合同签署主体资格、合同订立流程是否符合相应的法律规定，评价技术、装备的引进和采购是否符合国家有关规定和程序，设备的先进性、适用性是否满足国家和公司相关技术政策要求。</w:t>
      </w:r>
    </w:p>
    <w:p>
      <w:pPr>
        <w:spacing w:line="560" w:lineRule="exact"/>
        <w:ind w:firstLine="640" w:firstLineChars="200"/>
        <w:rPr>
          <w:rFonts w:ascii="黑体" w:hAnsi="黑体" w:eastAsia="黑体" w:cs="黑体"/>
          <w:sz w:val="32"/>
          <w:szCs w:val="32"/>
          <w:highlight w:val="none"/>
        </w:rPr>
      </w:pPr>
      <w:r>
        <w:rPr>
          <w:rFonts w:hint="eastAsia" w:ascii="仿宋_GB2312" w:hAnsi="仿宋_GB2312" w:eastAsia="仿宋_GB2312" w:cs="仿宋_GB2312"/>
          <w:sz w:val="32"/>
          <w:szCs w:val="32"/>
          <w:highlight w:val="none"/>
        </w:rPr>
        <w:t>建设准备工作评价结论。根据</w:t>
      </w:r>
      <w:r>
        <w:rPr>
          <w:rFonts w:ascii="仿宋_GB2312" w:hAnsi="仿宋_GB2312" w:eastAsia="仿宋_GB2312" w:cs="仿宋_GB2312"/>
          <w:sz w:val="32"/>
          <w:szCs w:val="32"/>
          <w:highlight w:val="none"/>
        </w:rPr>
        <w:t>调查</w:t>
      </w:r>
      <w:r>
        <w:rPr>
          <w:rFonts w:hint="eastAsia" w:ascii="仿宋_GB2312" w:hAnsi="仿宋_GB2312" w:eastAsia="仿宋_GB2312" w:cs="仿宋_GB2312"/>
          <w:sz w:val="32"/>
          <w:szCs w:val="32"/>
          <w:highlight w:val="none"/>
        </w:rPr>
        <w:t>情况和相关制度，给出建设准备工作是否规范，勘察设计深度是否满足要求，资金筹措是否满足公司管理要求和项目实施等结论。</w:t>
      </w:r>
    </w:p>
    <w:p>
      <w:pPr>
        <w:numPr>
          <w:ilvl w:val="0"/>
          <w:numId w:val="2"/>
        </w:num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rPr>
        <w:t>实施过程评价</w:t>
      </w:r>
      <w:r>
        <w:rPr>
          <w:rFonts w:hint="eastAsia" w:ascii="黑体" w:hAnsi="黑体" w:eastAsia="黑体" w:cs="黑体"/>
          <w:sz w:val="32"/>
          <w:szCs w:val="32"/>
          <w:highlight w:val="none"/>
          <w:lang w:eastAsia="zh-CN"/>
        </w:rPr>
        <w:t>（项目效益效果评价）</w:t>
      </w:r>
    </w:p>
    <w:p>
      <w:pPr>
        <w:spacing w:line="560" w:lineRule="exact"/>
        <w:ind w:firstLine="640" w:firstLineChars="200"/>
        <w:outlineLvl w:val="1"/>
        <w:rPr>
          <w:rFonts w:ascii="楷体_GB2312" w:hAnsi="楷体_GB2312" w:eastAsia="楷体_GB2312" w:cs="楷体_GB2312"/>
          <w:sz w:val="32"/>
          <w:szCs w:val="32"/>
          <w:highlight w:val="none"/>
        </w:rPr>
      </w:pPr>
      <w:bookmarkStart w:id="2" w:name="_Toc30719"/>
      <w:r>
        <w:rPr>
          <w:rFonts w:hint="eastAsia" w:ascii="楷体_GB2312" w:hAnsi="楷体_GB2312" w:eastAsia="楷体_GB2312" w:cs="楷体_GB2312"/>
          <w:sz w:val="32"/>
          <w:szCs w:val="32"/>
          <w:highlight w:val="none"/>
        </w:rPr>
        <w:t>（</w:t>
      </w:r>
      <w:r>
        <w:rPr>
          <w:rFonts w:hint="eastAsia" w:ascii="楷体_GB2312" w:hAnsi="楷体_GB2312" w:eastAsia="楷体_GB2312" w:cs="楷体_GB2312"/>
          <w:sz w:val="32"/>
          <w:szCs w:val="32"/>
          <w:highlight w:val="none"/>
          <w:lang w:val="en-US" w:eastAsia="zh-CN"/>
        </w:rPr>
        <w:t>一</w:t>
      </w:r>
      <w:r>
        <w:rPr>
          <w:rFonts w:hint="eastAsia" w:ascii="楷体_GB2312" w:hAnsi="楷体_GB2312" w:eastAsia="楷体_GB2312" w:cs="楷体_GB2312"/>
          <w:sz w:val="32"/>
          <w:szCs w:val="32"/>
          <w:highlight w:val="none"/>
        </w:rPr>
        <w:t>）建设施工评价情况</w:t>
      </w:r>
      <w:bookmarkEnd w:id="2"/>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对照工程一级里程碑节点计划和实际执行情况，总结项目开工、竣工等关键节点实施情况，对项目实施工期情况进行分析评价。说明项目工期、实际投资金额（按项目决算）、实际建设内容及规模与投资决策是否一致。存在偏差的需补充说明原因。</w:t>
      </w:r>
      <w:r>
        <w:rPr>
          <w:rFonts w:hint="eastAsia" w:ascii="仿宋_GB2312" w:hAnsi="仿宋_GB2312" w:eastAsia="仿宋_GB2312" w:cs="仿宋_GB2312"/>
          <w:sz w:val="32"/>
          <w:szCs w:val="32"/>
        </w:rPr>
        <w:t>说明项目竣工验收质量情况，验收后项目是否按要求整改落实，验收材料是否完整等。说明项目从开工建设至今是否出现安全生产事故事件，评价项目在安全管控方面的开展情况。项目出现安全生产事故事件的需补充说明原因。</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评价安全文明施工控制情况，分析评价施工过程是否符合项目安全文明工作规程和管理规定。简述项目安全控制、文明施工、环境与健康等目标，对比控制目标和实际完成情况，评价安全目标实现程度。</w:t>
      </w:r>
    </w:p>
    <w:p>
      <w:pPr>
        <w:spacing w:line="560" w:lineRule="exact"/>
        <w:ind w:firstLine="640" w:firstLineChars="200"/>
        <w:outlineLvl w:val="1"/>
        <w:rPr>
          <w:rFonts w:ascii="楷体_GB2312" w:hAnsi="楷体_GB2312" w:eastAsia="楷体_GB2312" w:cs="楷体_GB2312"/>
          <w:sz w:val="32"/>
          <w:szCs w:val="32"/>
          <w:highlight w:val="none"/>
        </w:rPr>
      </w:pPr>
      <w:bookmarkStart w:id="3" w:name="_Toc8133"/>
      <w:r>
        <w:rPr>
          <w:rFonts w:hint="eastAsia" w:ascii="楷体_GB2312" w:hAnsi="楷体_GB2312" w:eastAsia="楷体_GB2312" w:cs="楷体_GB2312"/>
          <w:sz w:val="32"/>
          <w:szCs w:val="32"/>
          <w:highlight w:val="none"/>
        </w:rPr>
        <w:t>（三）造价控制</w:t>
      </w:r>
      <w:bookmarkEnd w:id="3"/>
      <w:r>
        <w:rPr>
          <w:rFonts w:hint="eastAsia" w:ascii="楷体_GB2312" w:hAnsi="楷体_GB2312" w:eastAsia="楷体_GB2312" w:cs="楷体_GB2312"/>
          <w:sz w:val="32"/>
          <w:szCs w:val="32"/>
          <w:highlight w:val="none"/>
        </w:rPr>
        <w:t>评价</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分析项目可研估算、</w:t>
      </w:r>
      <w:r>
        <w:rPr>
          <w:rFonts w:hint="eastAsia" w:ascii="仿宋_GB2312" w:hAnsi="仿宋_GB2312" w:eastAsia="仿宋_GB2312" w:cs="仿宋_GB2312"/>
          <w:sz w:val="32"/>
          <w:szCs w:val="32"/>
          <w:highlight w:val="none"/>
          <w:lang w:val="en-US" w:eastAsia="zh-CN"/>
        </w:rPr>
        <w:t>施工预算</w:t>
      </w:r>
      <w:r>
        <w:rPr>
          <w:rFonts w:hint="eastAsia" w:ascii="仿宋_GB2312" w:hAnsi="仿宋_GB2312" w:eastAsia="仿宋_GB2312" w:cs="仿宋_GB2312"/>
          <w:sz w:val="32"/>
          <w:szCs w:val="32"/>
          <w:highlight w:val="none"/>
        </w:rPr>
        <w:t>和竣工决算三个阶段的投资变化情况，对偏差较大的投资要素进行纵向分析评价；参照可研指标、造价控制线或典型造价，对项目总体造价水平进行横向分析评价，如有异常需进一步进行深入分析。</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对项目投资超核准（备案）投资的情况，要详细论证与原核准机关（备案）的汇报沟通情况，以及取得的意见。</w:t>
      </w:r>
    </w:p>
    <w:p>
      <w:pPr>
        <w:spacing w:line="560" w:lineRule="exact"/>
        <w:ind w:firstLine="640" w:firstLineChars="200"/>
        <w:outlineLvl w:val="9"/>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五</w:t>
      </w:r>
      <w:r>
        <w:rPr>
          <w:rFonts w:hint="eastAsia" w:ascii="黑体" w:hAnsi="黑体" w:eastAsia="黑体" w:cs="黑体"/>
          <w:sz w:val="32"/>
          <w:szCs w:val="32"/>
          <w:highlight w:val="none"/>
        </w:rPr>
        <w:t>、项目运行（运营）评价</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1.对项目技术水平、生产运行、项目效能进行综合评价。以输变电工程为例，评价内容具体如表</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所示</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其他类型项目根据实际评价项目效能，下同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w:t>
      </w:r>
    </w:p>
    <w:p>
      <w:pPr>
        <w:pStyle w:val="5"/>
        <w:ind w:firstLine="0"/>
        <w:rPr>
          <w:rFonts w:ascii="Times New Roman" w:hAnsi="Times New Roman"/>
          <w:sz w:val="28"/>
          <w:szCs w:val="24"/>
          <w:highlight w:val="none"/>
        </w:rPr>
      </w:pPr>
      <w:r>
        <w:rPr>
          <w:rFonts w:hint="eastAsia" w:ascii="Times New Roman" w:hAnsi="Times New Roman"/>
          <w:sz w:val="28"/>
          <w:szCs w:val="24"/>
          <w:highlight w:val="none"/>
        </w:rPr>
        <w:t>表4  项目运行情况评价</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7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694" w:type="pct"/>
          </w:tcPr>
          <w:p>
            <w:pPr>
              <w:widowControl/>
              <w:jc w:val="center"/>
              <w:textAlignment w:val="center"/>
              <w:rPr>
                <w:rFonts w:ascii="仿宋_GB2312" w:hAnsi="仿宋_GB2312" w:eastAsia="仿宋_GB2312" w:cs="仿宋_GB2312"/>
                <w:b/>
                <w:bCs/>
                <w:kern w:val="0"/>
                <w:sz w:val="24"/>
                <w:highlight w:val="none"/>
                <w:lang w:bidi="ar"/>
              </w:rPr>
            </w:pPr>
            <w:r>
              <w:rPr>
                <w:rFonts w:hint="eastAsia" w:ascii="仿宋_GB2312" w:hAnsi="仿宋_GB2312" w:eastAsia="仿宋_GB2312" w:cs="仿宋_GB2312"/>
                <w:b/>
                <w:bCs/>
                <w:kern w:val="0"/>
                <w:sz w:val="24"/>
                <w:highlight w:val="none"/>
                <w:lang w:bidi="ar"/>
              </w:rPr>
              <w:t>评价维度</w:t>
            </w:r>
          </w:p>
        </w:tc>
        <w:tc>
          <w:tcPr>
            <w:tcW w:w="4305" w:type="pct"/>
          </w:tcPr>
          <w:p>
            <w:pPr>
              <w:widowControl/>
              <w:jc w:val="center"/>
              <w:textAlignment w:val="center"/>
              <w:rPr>
                <w:rFonts w:ascii="仿宋_GB2312" w:hAnsi="仿宋_GB2312" w:eastAsia="仿宋_GB2312" w:cs="仿宋_GB2312"/>
                <w:b/>
                <w:bCs/>
                <w:kern w:val="0"/>
                <w:sz w:val="24"/>
                <w:highlight w:val="none"/>
                <w:lang w:bidi="ar"/>
              </w:rPr>
            </w:pPr>
            <w:r>
              <w:rPr>
                <w:rFonts w:hint="eastAsia" w:ascii="仿宋_GB2312" w:hAnsi="仿宋_GB2312" w:eastAsia="仿宋_GB2312" w:cs="仿宋_GB2312"/>
                <w:b/>
                <w:bCs/>
                <w:kern w:val="0"/>
                <w:sz w:val="24"/>
                <w:highlight w:val="none"/>
                <w:lang w:bidi="ar"/>
              </w:rPr>
              <w:t>参考内容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94" w:type="pct"/>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技术水平</w:t>
            </w:r>
          </w:p>
        </w:tc>
        <w:tc>
          <w:tcPr>
            <w:tcW w:w="4305" w:type="pct"/>
            <w:vAlign w:val="center"/>
          </w:tcPr>
          <w:p>
            <w:pPr>
              <w:widowControl/>
              <w:textAlignment w:val="center"/>
              <w:rPr>
                <w:rFonts w:ascii="仿宋_GB2312" w:hAnsi="仿宋_GB2312" w:eastAsia="仿宋_GB2312" w:cs="仿宋_GB2312"/>
                <w:kern w:val="0"/>
                <w:sz w:val="24"/>
                <w:highlight w:val="none"/>
                <w:lang w:bidi="ar"/>
              </w:rPr>
            </w:pPr>
            <w:r>
              <w:rPr>
                <w:rFonts w:ascii="仿宋_GB2312" w:hAnsi="仿宋_GB2312" w:eastAsia="仿宋_GB2312" w:cs="仿宋_GB2312"/>
                <w:kern w:val="0"/>
                <w:sz w:val="24"/>
                <w:highlight w:val="none"/>
                <w:lang w:bidi="ar"/>
              </w:rPr>
              <w:t>从技术的先进性、安全性与经济性、国产化水平、新材料、新技术与新工艺的应用情况,以及资源、能源的合理利用情况等方面进行评价。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94" w:type="pct"/>
            <w:vAlign w:val="center"/>
          </w:tcPr>
          <w:p>
            <w:pPr>
              <w:widowControl/>
              <w:jc w:val="center"/>
              <w:textAlignment w:val="center"/>
              <w:rPr>
                <w:rFonts w:ascii="仿宋_GB2312" w:hAnsi="仿宋_GB2312" w:eastAsia="仿宋_GB2312" w:cs="仿宋_GB2312"/>
                <w:kern w:val="0"/>
                <w:sz w:val="24"/>
                <w:highlight w:val="none"/>
                <w:lang w:bidi="ar"/>
              </w:rPr>
            </w:pPr>
            <w:r>
              <w:rPr>
                <w:rFonts w:ascii="仿宋_GB2312" w:hAnsi="仿宋_GB2312" w:eastAsia="仿宋_GB2312" w:cs="仿宋_GB2312"/>
                <w:kern w:val="0"/>
                <w:sz w:val="24"/>
                <w:highlight w:val="none"/>
                <w:lang w:bidi="ar"/>
              </w:rPr>
              <w:t>生产运行</w:t>
            </w:r>
          </w:p>
        </w:tc>
        <w:tc>
          <w:tcPr>
            <w:tcW w:w="4305" w:type="pct"/>
            <w:vAlign w:val="center"/>
          </w:tcPr>
          <w:p>
            <w:pPr>
              <w:widowControl/>
              <w:textAlignment w:val="center"/>
              <w:rPr>
                <w:rFonts w:ascii="仿宋_GB2312" w:hAnsi="仿宋_GB2312" w:eastAsia="仿宋_GB2312" w:cs="仿宋_GB2312"/>
                <w:kern w:val="0"/>
                <w:sz w:val="24"/>
                <w:highlight w:val="none"/>
                <w:lang w:bidi="ar"/>
              </w:rPr>
            </w:pPr>
            <w:r>
              <w:rPr>
                <w:rFonts w:ascii="仿宋_GB2312" w:hAnsi="仿宋_GB2312" w:eastAsia="仿宋_GB2312" w:cs="仿宋_GB2312"/>
                <w:kern w:val="0"/>
                <w:sz w:val="24"/>
                <w:highlight w:val="none"/>
                <w:lang w:bidi="ar"/>
              </w:rPr>
              <w:t>评价项目运行规程的执行情况,并根据运行观测的资料以及出现的问题,评价项目的安全生产情况、设备运行可靠性指标完成情况以及设计、运行指标的对比分析情况等</w:t>
            </w:r>
            <w:r>
              <w:rPr>
                <w:rFonts w:hint="eastAsia" w:ascii="仿宋_GB2312" w:hAnsi="仿宋_GB2312" w:eastAsia="仿宋_GB2312" w:cs="仿宋_GB2312"/>
                <w:kern w:val="0"/>
                <w:sz w:val="24"/>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vAlign w:val="center"/>
          </w:tcPr>
          <w:p>
            <w:pPr>
              <w:widowControl/>
              <w:jc w:val="center"/>
              <w:textAlignment w:val="center"/>
              <w:rPr>
                <w:rFonts w:ascii="仿宋_GB2312" w:hAnsi="仿宋_GB2312" w:eastAsia="仿宋_GB2312" w:cs="仿宋_GB2312"/>
                <w:kern w:val="0"/>
                <w:sz w:val="24"/>
                <w:highlight w:val="none"/>
                <w:lang w:bidi="ar"/>
              </w:rPr>
            </w:pPr>
            <w:r>
              <w:rPr>
                <w:rFonts w:ascii="仿宋_GB2312" w:hAnsi="仿宋_GB2312" w:eastAsia="仿宋_GB2312" w:cs="仿宋_GB2312"/>
                <w:kern w:val="0"/>
                <w:sz w:val="24"/>
                <w:highlight w:val="none"/>
                <w:lang w:bidi="ar"/>
              </w:rPr>
              <w:t>项目效能</w:t>
            </w:r>
          </w:p>
        </w:tc>
        <w:tc>
          <w:tcPr>
            <w:tcW w:w="4305" w:type="pct"/>
          </w:tcPr>
          <w:p>
            <w:pPr>
              <w:widowControl/>
              <w:textAlignment w:val="center"/>
              <w:rPr>
                <w:rFonts w:ascii="仿宋_GB2312" w:hAnsi="仿宋_GB2312" w:eastAsia="仿宋_GB2312" w:cs="仿宋_GB2312"/>
                <w:kern w:val="0"/>
                <w:sz w:val="24"/>
                <w:highlight w:val="none"/>
                <w:lang w:bidi="ar"/>
              </w:rPr>
            </w:pPr>
            <w:r>
              <w:rPr>
                <w:rFonts w:ascii="仿宋_GB2312" w:hAnsi="仿宋_GB2312" w:eastAsia="仿宋_GB2312" w:cs="仿宋_GB2312"/>
                <w:kern w:val="0"/>
                <w:sz w:val="24"/>
                <w:highlight w:val="none"/>
                <w:lang w:bidi="ar"/>
              </w:rPr>
              <w:t>通过分析项目生产运营的实际效能指标,评价相关指标的改善或者贡献情况。送出工程,</w:t>
            </w:r>
            <w:r>
              <w:rPr>
                <w:rFonts w:hint="eastAsia" w:ascii="仿宋_GB2312" w:hAnsi="仿宋_GB2312" w:eastAsia="仿宋_GB2312" w:cs="仿宋_GB2312"/>
                <w:kern w:val="0"/>
                <w:sz w:val="24"/>
                <w:highlight w:val="none"/>
                <w:lang w:bidi="ar"/>
              </w:rPr>
              <w:t>包括</w:t>
            </w:r>
            <w:r>
              <w:rPr>
                <w:rFonts w:ascii="仿宋_GB2312" w:hAnsi="仿宋_GB2312" w:eastAsia="仿宋_GB2312" w:cs="仿宋_GB2312"/>
                <w:kern w:val="0"/>
                <w:sz w:val="24"/>
                <w:highlight w:val="none"/>
                <w:lang w:bidi="ar"/>
              </w:rPr>
              <w:t>计算线路输电能力和输送电量</w:t>
            </w:r>
            <w:r>
              <w:rPr>
                <w:rFonts w:hint="eastAsia" w:ascii="仿宋_GB2312" w:hAnsi="仿宋_GB2312" w:eastAsia="仿宋_GB2312" w:cs="仿宋_GB2312"/>
                <w:kern w:val="0"/>
                <w:sz w:val="24"/>
                <w:highlight w:val="none"/>
                <w:lang w:bidi="ar"/>
              </w:rPr>
              <w:t>等；</w:t>
            </w:r>
            <w:r>
              <w:rPr>
                <w:rFonts w:ascii="仿宋_GB2312" w:hAnsi="仿宋_GB2312" w:eastAsia="仿宋_GB2312" w:cs="仿宋_GB2312"/>
                <w:kern w:val="0"/>
                <w:sz w:val="24"/>
                <w:highlight w:val="none"/>
                <w:lang w:bidi="ar"/>
              </w:rPr>
              <w:t>联网工程,</w:t>
            </w:r>
            <w:r>
              <w:rPr>
                <w:rFonts w:hint="eastAsia" w:ascii="仿宋_GB2312" w:hAnsi="仿宋_GB2312" w:eastAsia="仿宋_GB2312" w:cs="仿宋_GB2312"/>
                <w:kern w:val="0"/>
                <w:sz w:val="24"/>
                <w:highlight w:val="none"/>
                <w:lang w:bidi="ar"/>
              </w:rPr>
              <w:t>包括</w:t>
            </w:r>
            <w:r>
              <w:rPr>
                <w:rFonts w:ascii="仿宋_GB2312" w:hAnsi="仿宋_GB2312" w:eastAsia="仿宋_GB2312" w:cs="仿宋_GB2312"/>
                <w:kern w:val="0"/>
                <w:sz w:val="24"/>
                <w:highlight w:val="none"/>
                <w:lang w:bidi="ar"/>
              </w:rPr>
              <w:t>计算联网送电(交换)电量、错峰容量、降低备用容量和事故支援效能</w:t>
            </w:r>
            <w:r>
              <w:rPr>
                <w:rFonts w:hint="eastAsia" w:ascii="仿宋_GB2312" w:hAnsi="仿宋_GB2312" w:eastAsia="仿宋_GB2312" w:cs="仿宋_GB2312"/>
                <w:kern w:val="0"/>
                <w:sz w:val="24"/>
                <w:highlight w:val="none"/>
                <w:lang w:bidi="ar"/>
              </w:rPr>
              <w:t>等</w:t>
            </w:r>
            <w:r>
              <w:rPr>
                <w:rFonts w:ascii="仿宋_GB2312" w:hAnsi="仿宋_GB2312" w:eastAsia="仿宋_GB2312" w:cs="仿宋_GB2312"/>
                <w:kern w:val="0"/>
                <w:sz w:val="24"/>
                <w:highlight w:val="none"/>
                <w:lang w:bidi="ar"/>
              </w:rPr>
              <w:t>;区(省)内输变电工程,</w:t>
            </w:r>
            <w:r>
              <w:rPr>
                <w:rFonts w:hint="eastAsia" w:ascii="仿宋_GB2312" w:hAnsi="仿宋_GB2312" w:eastAsia="仿宋_GB2312" w:cs="仿宋_GB2312"/>
                <w:kern w:val="0"/>
                <w:sz w:val="24"/>
                <w:highlight w:val="none"/>
                <w:lang w:bidi="ar"/>
              </w:rPr>
              <w:t>包括</w:t>
            </w:r>
            <w:r>
              <w:rPr>
                <w:rFonts w:ascii="仿宋_GB2312" w:hAnsi="仿宋_GB2312" w:eastAsia="仿宋_GB2312" w:cs="仿宋_GB2312"/>
                <w:kern w:val="0"/>
                <w:sz w:val="24"/>
                <w:highlight w:val="none"/>
                <w:lang w:bidi="ar"/>
              </w:rPr>
              <w:t>计算增供电量、断面输电能力或系统稳定水平提高、降损电量</w:t>
            </w:r>
            <w:r>
              <w:rPr>
                <w:rFonts w:hint="eastAsia" w:ascii="仿宋_GB2312" w:hAnsi="仿宋_GB2312" w:eastAsia="仿宋_GB2312" w:cs="仿宋_GB2312"/>
                <w:kern w:val="0"/>
                <w:sz w:val="24"/>
                <w:highlight w:val="none"/>
                <w:lang w:bidi="ar"/>
              </w:rPr>
              <w:t>等。</w:t>
            </w:r>
            <w:r>
              <w:rPr>
                <w:rFonts w:hint="eastAsia" w:ascii="仿宋_GB2312" w:hAnsi="仿宋_GB2312" w:eastAsia="仿宋_GB2312" w:cs="仿宋_GB2312"/>
                <w:kern w:val="0"/>
                <w:sz w:val="24"/>
                <w:highlight w:val="none"/>
                <w:lang w:val="en-US" w:eastAsia="zh-CN" w:bidi="ar"/>
              </w:rPr>
              <w:t>改造工程</w:t>
            </w:r>
            <w:r>
              <w:rPr>
                <w:rFonts w:hint="eastAsia" w:ascii="仿宋_GB2312" w:hAnsi="仿宋_GB2312" w:eastAsia="仿宋_GB2312" w:cs="仿宋_GB2312"/>
                <w:kern w:val="0"/>
                <w:sz w:val="24"/>
                <w:highlight w:val="none"/>
                <w:lang w:bidi="ar"/>
              </w:rPr>
              <w:t>，应重点分析改造设备投产运行后，在提升输电能力、设备利用率、可靠性水平、节能环保水平和供电经济性以及适应电网发展等方面的效果，结合相关效能指标变化进行深入评价。</w:t>
            </w:r>
          </w:p>
        </w:tc>
      </w:tr>
    </w:tbl>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对项目投产后关键运行效果指标发展情况进行分析评价。对照可研、投资决策的关键技术边界条件，分析评价项目功能目标是否实现，对比分析设计、实际运行指标情况。对实际运行关键指标与可研、决策边界差距较大的，系统分析原因，给出措施建议。</w:t>
      </w:r>
    </w:p>
    <w:p>
      <w:p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六</w:t>
      </w:r>
      <w:r>
        <w:rPr>
          <w:rFonts w:hint="eastAsia" w:ascii="黑体" w:hAnsi="黑体" w:eastAsia="黑体" w:cs="黑体"/>
          <w:sz w:val="32"/>
          <w:szCs w:val="32"/>
          <w:highlight w:val="none"/>
        </w:rPr>
        <w:t>、战略支撑和社会</w:t>
      </w:r>
      <w:r>
        <w:rPr>
          <w:rFonts w:hint="eastAsia" w:ascii="黑体" w:hAnsi="黑体" w:eastAsia="黑体" w:cs="黑体"/>
          <w:sz w:val="32"/>
          <w:szCs w:val="32"/>
          <w:highlight w:val="none"/>
          <w:lang w:val="en-US" w:eastAsia="zh-CN"/>
        </w:rPr>
        <w:t>效益</w:t>
      </w:r>
      <w:r>
        <w:rPr>
          <w:rFonts w:hint="eastAsia" w:ascii="黑体" w:hAnsi="黑体" w:eastAsia="黑体" w:cs="黑体"/>
          <w:sz w:val="32"/>
          <w:szCs w:val="32"/>
          <w:highlight w:val="none"/>
        </w:rPr>
        <w:t>评价</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分析本项目投资是否符合国家法律法规、有关规划和产业政策，是否符合公司发展战略、产业布局及管理要求，是否有利于公司</w:t>
      </w:r>
      <w:r>
        <w:rPr>
          <w:rFonts w:hint="eastAsia" w:ascii="仿宋_GB2312" w:hAnsi="仿宋_GB2312" w:eastAsia="仿宋_GB2312" w:cs="仿宋_GB2312"/>
          <w:sz w:val="32"/>
          <w:szCs w:val="32"/>
          <w:highlight w:val="none"/>
          <w:lang w:eastAsia="zh-CN"/>
        </w:rPr>
        <w:t>增强核心功能和</w:t>
      </w:r>
      <w:r>
        <w:rPr>
          <w:rFonts w:hint="eastAsia" w:ascii="仿宋_GB2312" w:hAnsi="仿宋_GB2312" w:eastAsia="仿宋_GB2312" w:cs="仿宋_GB2312"/>
          <w:sz w:val="32"/>
          <w:szCs w:val="32"/>
          <w:highlight w:val="none"/>
        </w:rPr>
        <w:t>提高核心竞争力，实现国有资产保值增值等。</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分析本项目投资对国民经济、区域经济、社会发展和就业、环境等的社会影响。</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根据调查情况，对照投资决策边界条件，给出结论。</w:t>
      </w:r>
    </w:p>
    <w:p>
      <w:pPr>
        <w:spacing w:line="560" w:lineRule="exact"/>
        <w:ind w:firstLine="640" w:firstLineChars="200"/>
        <w:rPr>
          <w:rFonts w:hint="eastAsia" w:ascii="仿宋_GB2312" w:hAnsi="仿宋_GB2312" w:eastAsia="仿宋_GB2312" w:cs="仿宋_GB2312"/>
          <w:sz w:val="32"/>
          <w:szCs w:val="32"/>
          <w:highlight w:val="none"/>
          <w:lang w:eastAsia="zh-CN"/>
        </w:rPr>
      </w:pPr>
    </w:p>
    <w:p>
      <w:p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七</w:t>
      </w:r>
      <w:r>
        <w:rPr>
          <w:rFonts w:hint="eastAsia" w:ascii="黑体" w:hAnsi="黑体" w:eastAsia="黑体" w:cs="黑体"/>
          <w:sz w:val="32"/>
          <w:szCs w:val="32"/>
          <w:highlight w:val="none"/>
        </w:rPr>
        <w:t>、财务</w:t>
      </w:r>
      <w:r>
        <w:rPr>
          <w:rFonts w:hint="eastAsia" w:ascii="黑体" w:hAnsi="黑体" w:eastAsia="黑体" w:cs="黑体"/>
          <w:sz w:val="32"/>
          <w:szCs w:val="32"/>
          <w:highlight w:val="none"/>
          <w:lang w:val="en-US" w:eastAsia="zh-CN"/>
        </w:rPr>
        <w:t>及经济</w:t>
      </w:r>
      <w:r>
        <w:rPr>
          <w:rFonts w:hint="eastAsia" w:ascii="黑体" w:hAnsi="黑体" w:eastAsia="黑体" w:cs="黑体"/>
          <w:sz w:val="32"/>
          <w:szCs w:val="32"/>
          <w:highlight w:val="none"/>
        </w:rPr>
        <w:t>效益和项目持续性评价</w:t>
      </w:r>
    </w:p>
    <w:p>
      <w:pPr>
        <w:spacing w:line="560" w:lineRule="exact"/>
        <w:ind w:firstLine="640" w:firstLineChars="200"/>
        <w:outlineLvl w:val="1"/>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rPr>
        <w:t>（一）财务</w:t>
      </w:r>
      <w:r>
        <w:rPr>
          <w:rFonts w:hint="eastAsia" w:ascii="楷体_GB2312" w:hAnsi="楷体_GB2312" w:eastAsia="楷体_GB2312" w:cs="楷体_GB2312"/>
          <w:sz w:val="32"/>
          <w:szCs w:val="32"/>
          <w:highlight w:val="none"/>
          <w:lang w:val="en-US" w:eastAsia="zh-CN"/>
        </w:rPr>
        <w:t>及经济</w:t>
      </w:r>
      <w:r>
        <w:rPr>
          <w:rFonts w:hint="eastAsia" w:ascii="楷体_GB2312" w:hAnsi="楷体_GB2312" w:eastAsia="楷体_GB2312" w:cs="楷体_GB2312"/>
          <w:sz w:val="32"/>
          <w:szCs w:val="32"/>
          <w:highlight w:val="none"/>
        </w:rPr>
        <w:t>效益评价</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表格内容形式可调整）</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对于独立核算的项目，</w:t>
      </w:r>
      <w:r>
        <w:rPr>
          <w:rFonts w:hint="eastAsia" w:ascii="仿宋_GB2312" w:hAnsi="仿宋_GB2312" w:eastAsia="仿宋_GB2312" w:cs="仿宋_GB2312"/>
          <w:sz w:val="32"/>
          <w:szCs w:val="32"/>
          <w:highlight w:val="none"/>
        </w:rPr>
        <w:t>分析项目实际投资、收入、成本、利润等指标是否达到投资决策预期。与决策预期存在差异的，需逐一分析原因。</w:t>
      </w:r>
    </w:p>
    <w:p>
      <w:pPr>
        <w:pStyle w:val="5"/>
        <w:ind w:firstLine="0"/>
        <w:rPr>
          <w:rFonts w:ascii="Times New Roman" w:hAnsi="Times New Roman"/>
          <w:sz w:val="28"/>
          <w:szCs w:val="24"/>
          <w:highlight w:val="none"/>
        </w:rPr>
      </w:pPr>
      <w:r>
        <w:rPr>
          <w:rFonts w:hint="eastAsia" w:ascii="Times New Roman" w:hAnsi="Times New Roman"/>
          <w:sz w:val="28"/>
          <w:szCs w:val="24"/>
          <w:highlight w:val="none"/>
        </w:rPr>
        <w:t>表5  财务效益和投资收益表</w:t>
      </w:r>
    </w:p>
    <w:tbl>
      <w:tblPr>
        <w:tblStyle w:val="1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84"/>
        <w:gridCol w:w="2665"/>
        <w:gridCol w:w="1711"/>
        <w:gridCol w:w="671"/>
        <w:gridCol w:w="671"/>
        <w:gridCol w:w="81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atLeast"/>
          <w:tblHeader/>
          <w:jc w:val="center"/>
        </w:trPr>
        <w:tc>
          <w:tcPr>
            <w:tcW w:w="2191" w:type="pct"/>
            <w:gridSpan w:val="2"/>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年  度</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投资实施</w:t>
            </w:r>
          </w:p>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第一年</w:t>
            </w:r>
          </w:p>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（请填写年份）</w:t>
            </w: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w:t>
            </w: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w:t>
            </w: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2022年</w:t>
            </w: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宋体" w:hAnsi="宋体" w:cs="宋体"/>
                <w:b/>
                <w:kern w:val="0"/>
                <w:sz w:val="24"/>
                <w:highlight w:val="none"/>
                <w:lang w:bidi="ar"/>
              </w:rPr>
            </w:pPr>
            <w:r>
              <w:rPr>
                <w:rFonts w:hint="eastAsia" w:ascii="宋体" w:hAnsi="宋体" w:cs="宋体"/>
                <w:b/>
                <w:kern w:val="0"/>
                <w:sz w:val="24"/>
                <w:highlight w:val="none"/>
                <w:lang w:bidi="ar"/>
              </w:rPr>
              <w:t>2023年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投资额</w:t>
            </w:r>
          </w:p>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营业收入</w:t>
            </w:r>
          </w:p>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营业成本</w:t>
            </w:r>
          </w:p>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净利润</w:t>
            </w:r>
          </w:p>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pPr>
              <w:widowControl/>
              <w:jc w:val="center"/>
              <w:textAlignment w:val="center"/>
              <w:rPr>
                <w:rFonts w:ascii="仿宋_GB2312" w:hAnsi="仿宋_GB2312" w:eastAsia="仿宋_GB2312" w:cs="仿宋_GB2312"/>
                <w:kern w:val="0"/>
                <w:sz w:val="24"/>
                <w:highlight w:val="none"/>
                <w:lang w:bidi="ar"/>
              </w:rPr>
            </w:pPr>
          </w:p>
        </w:tc>
      </w:tr>
    </w:tbl>
    <w:p>
      <w:pPr>
        <w:spacing w:line="560" w:lineRule="exact"/>
        <w:ind w:firstLine="480" w:firstLineChars="200"/>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注：本表可以根据可研和决策时的财务指标，对投资额等分析对象据实调整。</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2.对于独立核算的项目，根据项目实际运营状况，对</w:t>
      </w:r>
      <w:r>
        <w:rPr>
          <w:rFonts w:hint="eastAsia" w:ascii="仿宋_GB2312" w:hAnsi="仿宋_GB2312" w:eastAsia="仿宋_GB2312" w:cs="仿宋_GB2312"/>
          <w:b/>
          <w:sz w:val="32"/>
          <w:szCs w:val="32"/>
          <w:highlight w:val="none"/>
        </w:rPr>
        <w:t>项目全生命周期财务内部收益率（IRR）</w:t>
      </w:r>
      <w:r>
        <w:rPr>
          <w:rFonts w:hint="eastAsia" w:ascii="仿宋_GB2312" w:hAnsi="仿宋_GB2312" w:eastAsia="仿宋_GB2312" w:cs="仿宋_GB2312"/>
          <w:sz w:val="32"/>
          <w:szCs w:val="32"/>
          <w:highlight w:val="none"/>
        </w:rPr>
        <w:t>进行复核。与决策预期存在差异的，需分析原因。提出强化项目运营的具体举措。</w:t>
      </w:r>
    </w:p>
    <w:p>
      <w:pPr>
        <w:pStyle w:val="5"/>
        <w:ind w:firstLine="0"/>
        <w:rPr>
          <w:rFonts w:ascii="Times New Roman" w:hAnsi="Times New Roman"/>
          <w:sz w:val="28"/>
          <w:szCs w:val="24"/>
          <w:highlight w:val="none"/>
        </w:rPr>
      </w:pPr>
      <w:r>
        <w:rPr>
          <w:rFonts w:hint="eastAsia" w:ascii="Times New Roman" w:hAnsi="Times New Roman"/>
          <w:sz w:val="28"/>
          <w:szCs w:val="24"/>
          <w:highlight w:val="none"/>
        </w:rPr>
        <w:t>表6  财务指标对比表</w:t>
      </w:r>
    </w:p>
    <w:tbl>
      <w:tblPr>
        <w:tblStyle w:val="12"/>
        <w:tblW w:w="8336" w:type="dxa"/>
        <w:tblInd w:w="0" w:type="dxa"/>
        <w:tblLayout w:type="fixed"/>
        <w:tblCellMar>
          <w:top w:w="15" w:type="dxa"/>
          <w:left w:w="15" w:type="dxa"/>
          <w:bottom w:w="15" w:type="dxa"/>
          <w:right w:w="15" w:type="dxa"/>
        </w:tblCellMar>
      </w:tblPr>
      <w:tblGrid>
        <w:gridCol w:w="622"/>
        <w:gridCol w:w="1479"/>
        <w:gridCol w:w="1700"/>
        <w:gridCol w:w="1512"/>
        <w:gridCol w:w="1511"/>
        <w:gridCol w:w="1512"/>
      </w:tblGrid>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序号</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类别</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可研测算值</w:t>
            </w: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投资决策值</w:t>
            </w: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后评价计算值</w:t>
            </w: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前后变化率</w:t>
            </w:r>
          </w:p>
        </w:tc>
      </w:tr>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全投资财务内部收益率*（%）</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2</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全投资财务净现值（</w:t>
            </w:r>
            <w:r>
              <w:rPr>
                <w:rFonts w:hint="eastAsia" w:ascii="Times New Roman" w:hAnsi="Times New Roman" w:eastAsia="宋体"/>
                <w:highlight w:val="none"/>
                <w:lang w:val="en-US" w:eastAsia="zh-CN" w:bidi="ar"/>
              </w:rPr>
              <w:t>万元</w:t>
            </w:r>
            <w:r>
              <w:rPr>
                <w:rFonts w:ascii="Times New Roman" w:hAnsi="Times New Roman" w:eastAsia="宋体"/>
                <w:highlight w:val="none"/>
                <w:lang w:val="en-US" w:bidi="ar"/>
              </w:rPr>
              <w:t>）</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Times New Roman"/>
                <w:highlight w:val="none"/>
                <w:lang w:val="en-US" w:bidi="ar"/>
              </w:rPr>
            </w:pPr>
            <w:r>
              <w:rPr>
                <w:rFonts w:ascii="Times New Roman" w:hAnsi="Times New Roman" w:eastAsia="宋体"/>
                <w:highlight w:val="none"/>
                <w:lang w:val="en-US" w:bidi="ar"/>
              </w:rPr>
              <w:t>3</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全投资回收期（年）</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4</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资本金财务内部收益率（%）</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5</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其它</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pPr>
              <w:pStyle w:val="16"/>
              <w:jc w:val="left"/>
              <w:rPr>
                <w:rFonts w:hint="default" w:ascii="Times New Roman" w:hAnsi="Times New Roman" w:eastAsia="宋体"/>
                <w:highlight w:val="none"/>
                <w:lang w:val="en-US" w:bidi="ar"/>
              </w:rPr>
            </w:pPr>
          </w:p>
        </w:tc>
      </w:tr>
    </w:tbl>
    <w:p>
      <w:pPr>
        <w:spacing w:line="560" w:lineRule="exact"/>
        <w:ind w:firstLine="640" w:firstLineChars="200"/>
        <w:outlineLvl w:val="1"/>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w:t>
      </w:r>
      <w:r>
        <w:rPr>
          <w:rFonts w:hint="eastAsia" w:ascii="楷体_GB2312" w:hAnsi="楷体_GB2312" w:eastAsia="楷体_GB2312" w:cs="楷体_GB2312"/>
          <w:b w:val="0"/>
          <w:bCs w:val="0"/>
          <w:sz w:val="32"/>
          <w:szCs w:val="32"/>
          <w:highlight w:val="none"/>
          <w:lang w:val="en-US" w:eastAsia="zh-CN"/>
        </w:rPr>
        <w:t>项目目标及</w:t>
      </w:r>
      <w:r>
        <w:rPr>
          <w:rFonts w:hint="eastAsia" w:ascii="楷体_GB2312" w:hAnsi="楷体_GB2312" w:eastAsia="楷体_GB2312" w:cs="楷体_GB2312"/>
          <w:sz w:val="32"/>
          <w:szCs w:val="32"/>
          <w:highlight w:val="none"/>
        </w:rPr>
        <w:t>可持续发展评价</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目标实现程度及其差距和原因、项目可持续性等。</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项目延续性评价根据项目内外部因素及条件,预测项目的市场竞争力,综合评价项目整体的持续发展能力，主要包括环境功能持续性评价、经济增长持续性评价和项目效果持续性评价。</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项目可重复性评价是根据项目本身条件和外部环境，从同类工程可重复建设角度,评价该项目为续建工程创造的条件和对后续工程建设的借鉴性作用。</w:t>
      </w:r>
    </w:p>
    <w:p>
      <w:pPr>
        <w:spacing w:line="560" w:lineRule="exact"/>
        <w:ind w:firstLine="640" w:firstLineChars="200"/>
        <w:outlineLvl w:val="9"/>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八</w:t>
      </w:r>
      <w:r>
        <w:rPr>
          <w:rFonts w:hint="eastAsia" w:ascii="黑体" w:hAnsi="黑体" w:eastAsia="黑体" w:cs="黑体"/>
          <w:sz w:val="32"/>
          <w:szCs w:val="32"/>
          <w:highlight w:val="none"/>
        </w:rPr>
        <w:t>、风险控制评价</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分析项目投资及运营过程中，潜在的政策风险、法律风险、市场风险、财务风险等，是否采取相应的风险管控举措，实施效果如何。</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重点对照前期及投资决策阶段风险识别情况，逐项分析风险管控情况。对于风险识别表中各项措施是否落实到位进行评价。对于未在前期和决策阶段风险识别出，但在实际中出现的风险，系统分析原因。</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项目风险评价结论。根据调查情况，给出项目风险管控结论。</w:t>
      </w:r>
    </w:p>
    <w:p>
      <w:pPr>
        <w:spacing w:line="560" w:lineRule="exact"/>
        <w:ind w:firstLine="640" w:firstLineChars="200"/>
        <w:outlineLvl w:val="0"/>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九</w:t>
      </w:r>
      <w:r>
        <w:rPr>
          <w:rFonts w:hint="eastAsia" w:ascii="黑体" w:hAnsi="黑体" w:eastAsia="黑体" w:cs="黑体"/>
          <w:sz w:val="32"/>
          <w:szCs w:val="32"/>
          <w:highlight w:val="none"/>
        </w:rPr>
        <w:t>、主要结论及相关建议</w:t>
      </w:r>
    </w:p>
    <w:p>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对照规划、可研的目标情况，对项目在建设规模、技术方案、造价控制、运行效果、其它综合目标等实现情况进行</w:t>
      </w:r>
      <w:r>
        <w:rPr>
          <w:rFonts w:hint="eastAsia" w:ascii="仿宋_GB2312" w:hAnsi="仿宋_GB2312" w:eastAsia="仿宋_GB2312" w:cs="仿宋_GB2312"/>
          <w:b/>
          <w:sz w:val="32"/>
          <w:szCs w:val="32"/>
          <w:highlight w:val="none"/>
        </w:rPr>
        <w:t>系统总结</w:t>
      </w:r>
      <w:r>
        <w:rPr>
          <w:rFonts w:hint="eastAsia" w:ascii="仿宋_GB2312" w:hAnsi="仿宋_GB2312" w:eastAsia="仿宋_GB2312" w:cs="仿宋_GB2312"/>
          <w:sz w:val="32"/>
          <w:szCs w:val="32"/>
          <w:highlight w:val="none"/>
        </w:rPr>
        <w:t>。对本项目在投资过程、项目实施、项目运行、战略支撑和社会影响、财务效益和目标实现、风险管理等方面作出评价，给出</w:t>
      </w:r>
      <w:r>
        <w:rPr>
          <w:rFonts w:hint="eastAsia" w:ascii="仿宋_GB2312" w:hAnsi="仿宋_GB2312" w:eastAsia="仿宋_GB2312" w:cs="仿宋_GB2312"/>
          <w:b/>
          <w:sz w:val="32"/>
          <w:szCs w:val="32"/>
          <w:highlight w:val="none"/>
        </w:rPr>
        <w:t>战略目标、业务目标、财务目标</w:t>
      </w:r>
      <w:r>
        <w:rPr>
          <w:rFonts w:hint="eastAsia" w:ascii="仿宋_GB2312" w:hAnsi="仿宋_GB2312" w:eastAsia="仿宋_GB2312" w:cs="仿宋_GB2312"/>
          <w:sz w:val="32"/>
          <w:szCs w:val="32"/>
          <w:highlight w:val="none"/>
        </w:rPr>
        <w:t>预期实现情况的评价结论</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针对可研预期目标与实际运行效果情况对比分析，剖析存在问题并提出下阶段工作建议。</w:t>
      </w:r>
    </w:p>
    <w:p>
      <w:pPr>
        <w:pStyle w:val="5"/>
        <w:ind w:firstLine="0"/>
        <w:rPr>
          <w:rFonts w:ascii="Times New Roman" w:hAnsi="Times New Roman"/>
          <w:sz w:val="28"/>
          <w:szCs w:val="24"/>
          <w:highlight w:val="none"/>
        </w:rPr>
      </w:pPr>
      <w:r>
        <w:rPr>
          <w:rFonts w:hint="eastAsia" w:ascii="Times New Roman" w:hAnsi="Times New Roman"/>
          <w:sz w:val="28"/>
          <w:szCs w:val="24"/>
          <w:highlight w:val="none"/>
        </w:rPr>
        <w:t>表7 项目成功度评价表</w:t>
      </w:r>
    </w:p>
    <w:tbl>
      <w:tblPr>
        <w:tblStyle w:val="12"/>
        <w:tblW w:w="4998" w:type="pct"/>
        <w:tblInd w:w="0" w:type="dxa"/>
        <w:tblLayout w:type="autofit"/>
        <w:tblCellMar>
          <w:top w:w="15" w:type="dxa"/>
          <w:left w:w="15" w:type="dxa"/>
          <w:bottom w:w="15" w:type="dxa"/>
          <w:right w:w="15" w:type="dxa"/>
        </w:tblCellMar>
      </w:tblPr>
      <w:tblGrid>
        <w:gridCol w:w="757"/>
        <w:gridCol w:w="1906"/>
        <w:gridCol w:w="1977"/>
        <w:gridCol w:w="1847"/>
        <w:gridCol w:w="1846"/>
      </w:tblGrid>
      <w:tr>
        <w:tblPrEx>
          <w:tblCellMar>
            <w:top w:w="15" w:type="dxa"/>
            <w:left w:w="15" w:type="dxa"/>
            <w:bottom w:w="15" w:type="dxa"/>
            <w:right w:w="15" w:type="dxa"/>
          </w:tblCellMar>
        </w:tblPrEx>
        <w:trPr>
          <w:trHeight w:val="454" w:hRule="atLeast"/>
          <w:tblHeader/>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序号</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评定项目指标</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相关重要性</w:t>
            </w: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评定等级</w:t>
            </w: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widowControl/>
              <w:adjustRightInd w:val="0"/>
              <w:snapToGrid w:val="0"/>
              <w:jc w:val="center"/>
              <w:rPr>
                <w:rFonts w:ascii="Times New Roman" w:hAnsi="Times New Roman"/>
                <w:b/>
                <w:kern w:val="0"/>
                <w:szCs w:val="21"/>
                <w:highlight w:val="none"/>
              </w:rPr>
            </w:pPr>
            <w:r>
              <w:rPr>
                <w:rFonts w:hint="eastAsia" w:ascii="Times New Roman" w:hAnsi="Times New Roman"/>
                <w:b/>
                <w:kern w:val="0"/>
                <w:szCs w:val="21"/>
                <w:highlight w:val="none"/>
              </w:rPr>
              <w:t>备注</w:t>
            </w: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宏观目标和产业政策</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2</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项目前期工作及质量*</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3</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决策及其程序*</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Times New Roman"/>
                <w:highlight w:val="none"/>
                <w:lang w:val="en-US" w:bidi="ar"/>
              </w:rPr>
            </w:pPr>
            <w:r>
              <w:rPr>
                <w:rFonts w:ascii="Times New Roman" w:hAnsi="Times New Roman" w:eastAsia="宋体"/>
                <w:highlight w:val="none"/>
                <w:lang w:val="en-US" w:bidi="ar"/>
              </w:rPr>
              <w:t>4</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布局与规模</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5</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项目目标及市场</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6</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设计与装备技术水平</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7</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资源和建设条件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8</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资金来源和融资*</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eastAsia="zh-CN" w:bidi="ar"/>
              </w:rPr>
            </w:pPr>
            <w:r>
              <w:rPr>
                <w:rFonts w:hint="eastAsia" w:ascii="Times New Roman" w:hAnsi="Times New Roman" w:eastAsia="宋体"/>
                <w:highlight w:val="none"/>
                <w:lang w:val="en-US" w:eastAsia="zh-CN" w:bidi="ar"/>
              </w:rPr>
              <w:t>管制业务不需评价</w:t>
            </w: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9</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项目进度及其控制*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10</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项目质量及其控制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11</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项目造价及其控制*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12</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项目经营</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13</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机构和管理</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vMerge w:val="restart"/>
            <w:tcBorders>
              <w:top w:val="single" w:color="000000" w:sz="4" w:space="0"/>
              <w:left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14</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eastAsia="zh-CN" w:bidi="ar"/>
              </w:rPr>
            </w:pPr>
            <w:r>
              <w:rPr>
                <w:rFonts w:hint="eastAsia" w:ascii="Times New Roman" w:hAnsi="Times New Roman" w:eastAsia="宋体"/>
                <w:highlight w:val="none"/>
                <w:lang w:val="en-US" w:eastAsia="zh-CN" w:bidi="ar"/>
              </w:rPr>
              <w:t>目标实现情况</w:t>
            </w:r>
            <w:r>
              <w:rPr>
                <w:rFonts w:ascii="Times New Roman" w:hAnsi="Times New Roman" w:eastAsia="宋体"/>
                <w:highlight w:val="none"/>
                <w:lang w:val="en-US" w:bidi="ar"/>
              </w:rPr>
              <w:t>*</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eastAsia="zh-CN" w:bidi="ar"/>
              </w:rPr>
            </w:pPr>
            <w:r>
              <w:rPr>
                <w:rFonts w:hint="eastAsia" w:ascii="Times New Roman" w:hAnsi="Times New Roman" w:eastAsia="宋体"/>
                <w:highlight w:val="none"/>
                <w:lang w:val="en-US" w:eastAsia="zh-CN" w:bidi="ar"/>
              </w:rPr>
              <w:t>管制业务及独立核价的输变电工程</w:t>
            </w:r>
          </w:p>
        </w:tc>
      </w:tr>
      <w:tr>
        <w:tblPrEx>
          <w:tblCellMar>
            <w:top w:w="15" w:type="dxa"/>
            <w:left w:w="15" w:type="dxa"/>
            <w:bottom w:w="15" w:type="dxa"/>
            <w:right w:w="15" w:type="dxa"/>
          </w:tblCellMar>
        </w:tblPrEx>
        <w:trPr>
          <w:trHeight w:val="454" w:hRule="atLeast"/>
        </w:trPr>
        <w:tc>
          <w:tcPr>
            <w:tcW w:w="454" w:type="pct"/>
            <w:vMerge w:val="continue"/>
            <w:tcBorders>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项目财务效益*</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eastAsia="zh-CN" w:bidi="ar"/>
              </w:rPr>
            </w:pPr>
            <w:r>
              <w:rPr>
                <w:rFonts w:hint="eastAsia" w:ascii="Times New Roman" w:hAnsi="Times New Roman" w:eastAsia="宋体"/>
                <w:highlight w:val="none"/>
                <w:lang w:val="en-US" w:eastAsia="zh-CN" w:bidi="ar"/>
              </w:rPr>
              <w:t>非管制业务及独立核价的输变电工程</w:t>
            </w: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15</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项目社会效益</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16</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项目可持续性*</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r>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17</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r>
              <w:rPr>
                <w:rFonts w:ascii="Times New Roman" w:hAnsi="Times New Roman" w:eastAsia="宋体"/>
                <w:highlight w:val="none"/>
                <w:lang w:val="en-US" w:bidi="ar"/>
              </w:rPr>
              <w:t>项目综合评价*</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pPr>
              <w:pStyle w:val="16"/>
              <w:rPr>
                <w:rFonts w:hint="default" w:ascii="Times New Roman" w:hAnsi="Times New Roman" w:eastAsia="宋体"/>
                <w:highlight w:val="none"/>
                <w:lang w:val="en-US" w:bidi="ar"/>
              </w:rPr>
            </w:pPr>
          </w:p>
        </w:tc>
      </w:tr>
    </w:tbl>
    <w:p>
      <w:pPr>
        <w:ind w:firstLine="420" w:firstLineChars="200"/>
        <w:rPr>
          <w:highlight w:val="none"/>
        </w:rPr>
      </w:pPr>
      <w:r>
        <w:rPr>
          <w:rFonts w:hint="eastAsia"/>
          <w:highlight w:val="none"/>
        </w:rPr>
        <w:t>注：1.表*的为必评价项，其他项根据项目实际情况选评。</w:t>
      </w:r>
    </w:p>
    <w:p>
      <w:pPr>
        <w:ind w:firstLine="420" w:firstLineChars="200"/>
        <w:rPr>
          <w:highlight w:val="none"/>
        </w:rPr>
      </w:pPr>
      <w:r>
        <w:rPr>
          <w:rFonts w:hint="eastAsia"/>
          <w:highlight w:val="none"/>
        </w:rPr>
        <w:t>2.项目成功度可分为以下四个等级：</w:t>
      </w:r>
    </w:p>
    <w:p>
      <w:pPr>
        <w:ind w:firstLine="420" w:firstLineChars="200"/>
        <w:rPr>
          <w:highlight w:val="none"/>
        </w:rPr>
      </w:pPr>
      <w:r>
        <w:rPr>
          <w:rFonts w:hint="eastAsia"/>
          <w:highlight w:val="none"/>
        </w:rPr>
        <w:t>成功的（A）：项目前期工作质量高，在产出、成本和时间进度上实现了决策确定的大部分目标，按投入成本计算，项目获得了重大的经济效益，对社会发展有良好的影响。项目造价、进度控制良好。</w:t>
      </w:r>
    </w:p>
    <w:p>
      <w:pPr>
        <w:rPr>
          <w:highlight w:val="none"/>
        </w:rPr>
      </w:pPr>
      <w:r>
        <w:rPr>
          <w:rFonts w:hint="eastAsia"/>
          <w:highlight w:val="none"/>
        </w:rPr>
        <w:t xml:space="preserve">   部分成功的（B）：项目前期工作质量较高，在产出、成本和时间进度上实现了决策确定的一部分目标，按投入成本计算，项目获得了部分经济效益，对社会发展影响积极。项目造价超支或结余过多，或时间进度延误过长。</w:t>
      </w:r>
    </w:p>
    <w:p>
      <w:pPr>
        <w:ind w:firstLine="420" w:firstLineChars="200"/>
        <w:rPr>
          <w:highlight w:val="none"/>
        </w:rPr>
      </w:pPr>
      <w:r>
        <w:rPr>
          <w:rFonts w:hint="eastAsia"/>
          <w:highlight w:val="none"/>
        </w:rPr>
        <w:t>不成功的（C）：项目在产出、成本和时间进度上只能实现了决策确定的少部分目标，按投入成本计算，项目效益很小或难以确定。</w:t>
      </w:r>
    </w:p>
    <w:p>
      <w:pPr>
        <w:ind w:firstLine="420" w:firstLineChars="200"/>
        <w:rPr>
          <w:highlight w:val="none"/>
        </w:rPr>
      </w:pPr>
      <w:r>
        <w:rPr>
          <w:rFonts w:hint="eastAsia"/>
          <w:highlight w:val="none"/>
        </w:rPr>
        <w:t>失败的（</w:t>
      </w:r>
      <w:r>
        <w:rPr>
          <w:rFonts w:hint="eastAsia"/>
          <w:highlight w:val="none"/>
          <w:lang w:val="en-US" w:eastAsia="zh-CN"/>
        </w:rPr>
        <w:t>D</w:t>
      </w:r>
      <w:r>
        <w:rPr>
          <w:rFonts w:hint="eastAsia"/>
          <w:highlight w:val="none"/>
        </w:rPr>
        <w:t>）：项目原定的各项目标基本都没有实现，或项目被撤销、终止等。</w:t>
      </w:r>
    </w:p>
    <w:p>
      <w:pPr>
        <w:ind w:firstLine="420" w:firstLineChars="200"/>
        <w:rPr>
          <w:rFonts w:hint="eastAsia" w:ascii="Calibri" w:hAnsi="Calibri" w:eastAsia="宋体" w:cs="Times New Roman"/>
          <w:sz w:val="21"/>
          <w:szCs w:val="24"/>
          <w:highlight w:val="none"/>
          <w:lang w:val="en-US" w:eastAsia="zh-CN"/>
        </w:rPr>
      </w:pPr>
      <w:r>
        <w:rPr>
          <w:rFonts w:hint="eastAsia" w:ascii="Calibri" w:hAnsi="Calibri" w:eastAsia="宋体" w:cs="Times New Roman"/>
          <w:sz w:val="21"/>
          <w:szCs w:val="24"/>
          <w:highlight w:val="none"/>
          <w:lang w:val="en-US" w:eastAsia="zh-CN"/>
        </w:rPr>
        <w:t>在评价具体项目的成功度时，评价人员首先要根据具体项目的类型和特点，确定表中指标与项目相关的程度，把它们分为“重要”、“次重要”、“不重要”三类，在表中的第二栏里填注。对各项指标采用打分制，及按成功度评价的四类标准分别用A、B、C、D表示。通过指标重要性分析和单相成功度的综合，可得到整个项目的成功度指标，也用A、B、C、D表示，填在最后一行的评定等级栏内。</w:t>
      </w:r>
    </w:p>
    <w:p>
      <w:pPr>
        <w:spacing w:line="240" w:lineRule="auto"/>
        <w:ind w:firstLine="420" w:firstLineChars="200"/>
        <w:rPr>
          <w:rFonts w:hint="default" w:ascii="Calibri" w:hAnsi="Calibri" w:eastAsia="宋体"/>
          <w:sz w:val="21"/>
          <w:highlight w:val="none"/>
          <w:lang w:val="en-US" w:eastAsia="zh-CN"/>
        </w:rPr>
      </w:pPr>
      <w:r>
        <w:rPr>
          <w:rFonts w:hint="eastAsia" w:cs="Times New Roman"/>
          <w:sz w:val="21"/>
          <w:szCs w:val="24"/>
          <w:highlight w:val="none"/>
          <w:lang w:val="en-US" w:eastAsia="zh-CN"/>
        </w:rPr>
        <w:t>3.目标实现情况（管制业务）：包括</w:t>
      </w:r>
      <w:r>
        <w:rPr>
          <w:rFonts w:hint="eastAsia" w:ascii="Calibri" w:hAnsi="Calibri"/>
          <w:sz w:val="21"/>
          <w:highlight w:val="none"/>
        </w:rPr>
        <w:t>（1）电力需求预测偏差评价。将可研报告中预测的区域电力需求数据逐一与项目投运后至后评价时点历年的实际数据对比，分析评价电力需求预测偏差。相关数据包括区域负荷、电量及其增长率、容载比等。（2）电力系统效益评价。将可研报告中从电力系统角度论证项目建设必要性（包括改善网架结构、提供供电可靠性、满足电力需求等）与后评价时点的电力系统状况进行对比分析。分析过程应采用必要的系统计算，量化分析目标实现情况。</w:t>
      </w:r>
      <w:r>
        <w:rPr>
          <w:rFonts w:hint="eastAsia"/>
          <w:sz w:val="21"/>
          <w:highlight w:val="none"/>
          <w:lang w:eastAsia="zh-CN"/>
        </w:rPr>
        <w:t>（</w:t>
      </w:r>
      <w:r>
        <w:rPr>
          <w:rFonts w:hint="eastAsia"/>
          <w:sz w:val="21"/>
          <w:highlight w:val="none"/>
          <w:lang w:val="en-US" w:eastAsia="zh-CN"/>
        </w:rPr>
        <w:t>3</w:t>
      </w:r>
      <w:r>
        <w:rPr>
          <w:rFonts w:hint="eastAsia"/>
          <w:sz w:val="21"/>
          <w:highlight w:val="none"/>
          <w:lang w:eastAsia="zh-CN"/>
        </w:rPr>
        <w:t>）</w:t>
      </w:r>
      <w:r>
        <w:rPr>
          <w:rFonts w:hint="eastAsia" w:ascii="Calibri" w:hAnsi="Calibri"/>
          <w:sz w:val="21"/>
          <w:highlight w:val="none"/>
        </w:rPr>
        <w:t>对于联网工程，应就跨区送电、错峰运行、互供备用和事故支援等方面进行计算；对于区（省）内电网工程，应计算增供电力（量）、母线电压合格率、稳定限额等，反映是否满足电力需求、提高供电可靠性；对于送电工程，应主要计算线路输电能力和实际的最大负荷利用小时，评价其利用水平。</w:t>
      </w:r>
      <w:r>
        <w:rPr>
          <w:rFonts w:hint="eastAsia"/>
          <w:sz w:val="21"/>
          <w:highlight w:val="none"/>
          <w:lang w:eastAsia="zh-CN"/>
        </w:rPr>
        <w:t>（</w:t>
      </w:r>
      <w:r>
        <w:rPr>
          <w:rFonts w:hint="eastAsia"/>
          <w:sz w:val="21"/>
          <w:highlight w:val="none"/>
          <w:lang w:val="en-US" w:eastAsia="zh-CN"/>
        </w:rPr>
        <w:t>4</w:t>
      </w:r>
      <w:r>
        <w:rPr>
          <w:rFonts w:hint="eastAsia"/>
          <w:sz w:val="21"/>
          <w:highlight w:val="none"/>
          <w:lang w:eastAsia="zh-CN"/>
        </w:rPr>
        <w:t>）</w:t>
      </w:r>
      <w:r>
        <w:rPr>
          <w:rFonts w:hint="eastAsia"/>
          <w:sz w:val="21"/>
          <w:highlight w:val="none"/>
          <w:lang w:val="en-US" w:eastAsia="zh-CN"/>
        </w:rPr>
        <w:t>技改、科技、数字化等其他项目，主要对照可研报告中确定的目标，计算判断实现情况。</w:t>
      </w:r>
    </w:p>
    <w:p>
      <w:pPr>
        <w:ind w:firstLine="420" w:firstLineChars="200"/>
        <w:rPr>
          <w:rFonts w:hint="default" w:ascii="Calibri" w:hAnsi="Calibri" w:eastAsia="宋体" w:cs="Times New Roman"/>
          <w:sz w:val="21"/>
          <w:szCs w:val="24"/>
          <w:highlight w:val="none"/>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85529711"/>
      <w:docPartObj>
        <w:docPartGallery w:val="autotext"/>
      </w:docPartObj>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F8C17"/>
    <w:multiLevelType w:val="multilevel"/>
    <w:tmpl w:val="ADFF8C17"/>
    <w:lvl w:ilvl="0" w:tentative="0">
      <w:start w:val="1"/>
      <w:numFmt w:val="decimal"/>
      <w:suff w:val="nothing"/>
      <w:lvlText w:val="%1 "/>
      <w:lvlJc w:val="left"/>
      <w:pPr>
        <w:ind w:left="0" w:firstLine="0"/>
      </w:pPr>
      <w:rPr>
        <w:rFonts w:hint="eastAsia" w:ascii="黑体" w:hAnsi="Times New Roman" w:eastAsia="黑体" w:cs="Times New Roman"/>
        <w:b/>
        <w:sz w:val="30"/>
        <w:u w:val="none"/>
      </w:rPr>
    </w:lvl>
    <w:lvl w:ilvl="1" w:tentative="0">
      <w:start w:val="1"/>
      <w:numFmt w:val="decimal"/>
      <w:pStyle w:val="4"/>
      <w:isLgl/>
      <w:suff w:val="nothing"/>
      <w:lvlText w:val="%1.%2 "/>
      <w:lvlJc w:val="left"/>
      <w:pPr>
        <w:ind w:left="0" w:firstLine="0"/>
      </w:pPr>
      <w:rPr>
        <w:rFonts w:hint="eastAsia" w:ascii="黑体" w:hAnsi="Times New Roman" w:eastAsia="黑体" w:cs="Times New Roman"/>
        <w:b/>
        <w:sz w:val="28"/>
        <w:u w:val="none"/>
      </w:rPr>
    </w:lvl>
    <w:lvl w:ilvl="2" w:tentative="0">
      <w:start w:val="1"/>
      <w:numFmt w:val="decimal"/>
      <w:isLgl/>
      <w:suff w:val="nothing"/>
      <w:lvlText w:val="%1.%2.%3 "/>
      <w:lvlJc w:val="left"/>
      <w:pPr>
        <w:ind w:left="0" w:firstLine="0"/>
      </w:pPr>
      <w:rPr>
        <w:rFonts w:hint="eastAsia" w:ascii="黑体" w:hAnsi="宋体" w:eastAsia="黑体" w:cs="宋体"/>
        <w:b/>
        <w:sz w:val="24"/>
        <w:u w:val="none"/>
      </w:rPr>
    </w:lvl>
    <w:lvl w:ilvl="3" w:tentative="0">
      <w:start w:val="1"/>
      <w:numFmt w:val="decimal"/>
      <w:isLgl/>
      <w:lvlText w:val="%1.%2.%3.%4 "/>
      <w:lvlJc w:val="left"/>
      <w:pPr>
        <w:ind w:left="0" w:firstLine="0"/>
      </w:pPr>
      <w:rPr>
        <w:rFonts w:hint="eastAsia" w:ascii="Times New Roman" w:hAnsi="Times New Roman" w:eastAsia="黑体"/>
        <w:b/>
        <w:sz w:val="24"/>
        <w:u w:val="none"/>
      </w:rPr>
    </w:lvl>
    <w:lvl w:ilvl="4" w:tentative="0">
      <w:start w:val="1"/>
      <w:numFmt w:val="decimal"/>
      <w:isLgl/>
      <w:suff w:val="nothing"/>
      <w:lvlText w:val="（%5） "/>
      <w:lvlJc w:val="left"/>
      <w:pPr>
        <w:ind w:left="0" w:firstLine="0"/>
      </w:pPr>
      <w:rPr>
        <w:rFonts w:hint="eastAsia" w:ascii="仿宋" w:hAnsi="Times New Roman" w:eastAsia="仿宋"/>
        <w:sz w:val="24"/>
        <w:u w:val="none"/>
        <w:lang w:val="en-US"/>
      </w:rPr>
    </w:lvl>
    <w:lvl w:ilvl="5" w:tentative="0">
      <w:start w:val="1"/>
      <w:numFmt w:val="decimal"/>
      <w:isLgl/>
      <w:lvlText w:val="%1.%2.%3.%4.%5.%6"/>
      <w:lvlJc w:val="left"/>
      <w:pPr>
        <w:ind w:left="0" w:firstLine="0"/>
      </w:pPr>
      <w:rPr>
        <w:rFonts w:hint="default"/>
        <w:u w:val="none"/>
      </w:rPr>
    </w:lvl>
    <w:lvl w:ilvl="6" w:tentative="0">
      <w:start w:val="1"/>
      <w:numFmt w:val="decimal"/>
      <w:isLgl/>
      <w:lvlText w:val="%1.%2.%3.%4.%5.%6.%7"/>
      <w:lvlJc w:val="left"/>
      <w:pPr>
        <w:ind w:left="0" w:firstLine="0"/>
      </w:pPr>
      <w:rPr>
        <w:rFonts w:hint="default"/>
        <w:u w:val="none"/>
      </w:rPr>
    </w:lvl>
    <w:lvl w:ilvl="7" w:tentative="0">
      <w:start w:val="1"/>
      <w:numFmt w:val="decimal"/>
      <w:isLgl/>
      <w:lvlText w:val="%1.%2.%3.%4.%5.%6.%7.%8"/>
      <w:lvlJc w:val="left"/>
      <w:pPr>
        <w:ind w:left="0" w:firstLine="0"/>
      </w:pPr>
      <w:rPr>
        <w:rFonts w:hint="default"/>
        <w:u w:val="none"/>
      </w:rPr>
    </w:lvl>
    <w:lvl w:ilvl="8" w:tentative="0">
      <w:start w:val="1"/>
      <w:numFmt w:val="decimal"/>
      <w:isLgl/>
      <w:lvlText w:val="%1.%2.%3.%4.%5.%6.%7.%8.%9"/>
      <w:lvlJc w:val="left"/>
      <w:pPr>
        <w:ind w:left="0" w:firstLine="0"/>
      </w:pPr>
      <w:rPr>
        <w:rFonts w:hint="default"/>
        <w:u w:val="none"/>
      </w:rPr>
    </w:lvl>
  </w:abstractNum>
  <w:abstractNum w:abstractNumId="1">
    <w:nsid w:val="F822F932"/>
    <w:multiLevelType w:val="singleLevel"/>
    <w:tmpl w:val="F822F932"/>
    <w:lvl w:ilvl="0" w:tentative="0">
      <w:start w:val="2"/>
      <w:numFmt w:val="chineseCounting"/>
      <w:suff w:val="nothing"/>
      <w:lvlText w:val="（%1）"/>
      <w:lvlJc w:val="left"/>
      <w:rPr>
        <w:rFonts w:hint="eastAsia"/>
      </w:rPr>
    </w:lvl>
  </w:abstractNum>
  <w:abstractNum w:abstractNumId="2">
    <w:nsid w:val="1A31BA2C"/>
    <w:multiLevelType w:val="singleLevel"/>
    <w:tmpl w:val="1A31BA2C"/>
    <w:lvl w:ilvl="0" w:tentative="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hlYjEyOWJjZWY4NjRiN2UwZWUxODc5ZGJkZWQ4NDYifQ=="/>
    <w:docVar w:name="KSO_WPS_MARK_KEY" w:val="d1a72228-ef47-404c-bba7-9e71ca0aed07"/>
  </w:docVars>
  <w:rsids>
    <w:rsidRoot w:val="00172A27"/>
    <w:rsid w:val="00110868"/>
    <w:rsid w:val="00125BBE"/>
    <w:rsid w:val="00126E2F"/>
    <w:rsid w:val="00127B94"/>
    <w:rsid w:val="001547E7"/>
    <w:rsid w:val="00163B49"/>
    <w:rsid w:val="00172A27"/>
    <w:rsid w:val="001A6D0F"/>
    <w:rsid w:val="001B396F"/>
    <w:rsid w:val="001E0C81"/>
    <w:rsid w:val="00240B48"/>
    <w:rsid w:val="00263084"/>
    <w:rsid w:val="002856BB"/>
    <w:rsid w:val="00367AC3"/>
    <w:rsid w:val="00477201"/>
    <w:rsid w:val="00486A57"/>
    <w:rsid w:val="00580FD9"/>
    <w:rsid w:val="00667D17"/>
    <w:rsid w:val="006C4F5F"/>
    <w:rsid w:val="007C3ABE"/>
    <w:rsid w:val="009167D3"/>
    <w:rsid w:val="009D74A0"/>
    <w:rsid w:val="009E634B"/>
    <w:rsid w:val="00A45FA4"/>
    <w:rsid w:val="00AA229B"/>
    <w:rsid w:val="00B577F3"/>
    <w:rsid w:val="00BC1A09"/>
    <w:rsid w:val="00BC66D2"/>
    <w:rsid w:val="00CD58C6"/>
    <w:rsid w:val="00D259E7"/>
    <w:rsid w:val="00DC348E"/>
    <w:rsid w:val="00DC7480"/>
    <w:rsid w:val="00E02059"/>
    <w:rsid w:val="00E152CC"/>
    <w:rsid w:val="00E43F22"/>
    <w:rsid w:val="00E54045"/>
    <w:rsid w:val="00EA2B47"/>
    <w:rsid w:val="00EF56AE"/>
    <w:rsid w:val="00F61FB0"/>
    <w:rsid w:val="01127316"/>
    <w:rsid w:val="01160E54"/>
    <w:rsid w:val="019D3505"/>
    <w:rsid w:val="02255503"/>
    <w:rsid w:val="023E79BD"/>
    <w:rsid w:val="028B18FB"/>
    <w:rsid w:val="029B44D3"/>
    <w:rsid w:val="02A5248D"/>
    <w:rsid w:val="02F165CB"/>
    <w:rsid w:val="057977D0"/>
    <w:rsid w:val="05BA78F4"/>
    <w:rsid w:val="05FB19DB"/>
    <w:rsid w:val="06051FFD"/>
    <w:rsid w:val="06AD1827"/>
    <w:rsid w:val="06AF147F"/>
    <w:rsid w:val="07287718"/>
    <w:rsid w:val="0734248F"/>
    <w:rsid w:val="07C42FF4"/>
    <w:rsid w:val="087516E3"/>
    <w:rsid w:val="087F5E7D"/>
    <w:rsid w:val="08965AA3"/>
    <w:rsid w:val="08E61E86"/>
    <w:rsid w:val="09D04526"/>
    <w:rsid w:val="0A0744DD"/>
    <w:rsid w:val="0AB82071"/>
    <w:rsid w:val="0BA05CB2"/>
    <w:rsid w:val="0BD26275"/>
    <w:rsid w:val="0CC808C2"/>
    <w:rsid w:val="0CD65E68"/>
    <w:rsid w:val="0CE64501"/>
    <w:rsid w:val="0D093B48"/>
    <w:rsid w:val="0D7F4B57"/>
    <w:rsid w:val="0E347B3C"/>
    <w:rsid w:val="0E937A1A"/>
    <w:rsid w:val="0F135AA9"/>
    <w:rsid w:val="104B26C9"/>
    <w:rsid w:val="10963299"/>
    <w:rsid w:val="10E10415"/>
    <w:rsid w:val="112812B5"/>
    <w:rsid w:val="11721D3B"/>
    <w:rsid w:val="11B37630"/>
    <w:rsid w:val="12627D38"/>
    <w:rsid w:val="12DC3AAD"/>
    <w:rsid w:val="13405DEA"/>
    <w:rsid w:val="1393060F"/>
    <w:rsid w:val="13A51648"/>
    <w:rsid w:val="1425541A"/>
    <w:rsid w:val="158323EB"/>
    <w:rsid w:val="17443A81"/>
    <w:rsid w:val="17543053"/>
    <w:rsid w:val="176D47EC"/>
    <w:rsid w:val="17C152EA"/>
    <w:rsid w:val="17DE346F"/>
    <w:rsid w:val="18583BD5"/>
    <w:rsid w:val="187D601B"/>
    <w:rsid w:val="197D71E0"/>
    <w:rsid w:val="1988508C"/>
    <w:rsid w:val="19F266FB"/>
    <w:rsid w:val="1A8019F3"/>
    <w:rsid w:val="1AB836E5"/>
    <w:rsid w:val="1AC112FB"/>
    <w:rsid w:val="1B5003E0"/>
    <w:rsid w:val="1BA82527"/>
    <w:rsid w:val="1D330575"/>
    <w:rsid w:val="1E640753"/>
    <w:rsid w:val="1F7D2643"/>
    <w:rsid w:val="20860227"/>
    <w:rsid w:val="20CA3913"/>
    <w:rsid w:val="21604585"/>
    <w:rsid w:val="22CF3D2A"/>
    <w:rsid w:val="22DF6543"/>
    <w:rsid w:val="23B02B18"/>
    <w:rsid w:val="23D435D7"/>
    <w:rsid w:val="241F2752"/>
    <w:rsid w:val="24393B66"/>
    <w:rsid w:val="24507744"/>
    <w:rsid w:val="24ED0821"/>
    <w:rsid w:val="25575CD2"/>
    <w:rsid w:val="25674343"/>
    <w:rsid w:val="258C3E08"/>
    <w:rsid w:val="25C14ADA"/>
    <w:rsid w:val="26590270"/>
    <w:rsid w:val="26E541B6"/>
    <w:rsid w:val="26E92BE5"/>
    <w:rsid w:val="27162708"/>
    <w:rsid w:val="275D7058"/>
    <w:rsid w:val="284304EB"/>
    <w:rsid w:val="28B45FED"/>
    <w:rsid w:val="29457E68"/>
    <w:rsid w:val="29534671"/>
    <w:rsid w:val="29702E89"/>
    <w:rsid w:val="2A0C1188"/>
    <w:rsid w:val="2A173E9D"/>
    <w:rsid w:val="2B4B7916"/>
    <w:rsid w:val="2B647427"/>
    <w:rsid w:val="2B733710"/>
    <w:rsid w:val="2BA11574"/>
    <w:rsid w:val="2BA33517"/>
    <w:rsid w:val="2BDA792D"/>
    <w:rsid w:val="2C2523B5"/>
    <w:rsid w:val="2D30379B"/>
    <w:rsid w:val="2D620BE2"/>
    <w:rsid w:val="2D9F6AE6"/>
    <w:rsid w:val="2DD34A08"/>
    <w:rsid w:val="2E006CBE"/>
    <w:rsid w:val="2E061705"/>
    <w:rsid w:val="2EA94A1A"/>
    <w:rsid w:val="2EE00777"/>
    <w:rsid w:val="2EF54E99"/>
    <w:rsid w:val="2FB27C17"/>
    <w:rsid w:val="2FC028C6"/>
    <w:rsid w:val="2FCF2577"/>
    <w:rsid w:val="30AD41EB"/>
    <w:rsid w:val="30C227C4"/>
    <w:rsid w:val="31627B59"/>
    <w:rsid w:val="31C732AF"/>
    <w:rsid w:val="31DB42BF"/>
    <w:rsid w:val="33FE7D0C"/>
    <w:rsid w:val="355500D1"/>
    <w:rsid w:val="356D6CB9"/>
    <w:rsid w:val="35C65A78"/>
    <w:rsid w:val="3610178B"/>
    <w:rsid w:val="36D80507"/>
    <w:rsid w:val="37250C2A"/>
    <w:rsid w:val="37265173"/>
    <w:rsid w:val="37A96661"/>
    <w:rsid w:val="37C56E8B"/>
    <w:rsid w:val="37D16521"/>
    <w:rsid w:val="381E7F36"/>
    <w:rsid w:val="38417ADA"/>
    <w:rsid w:val="38705434"/>
    <w:rsid w:val="3875702F"/>
    <w:rsid w:val="38BB589A"/>
    <w:rsid w:val="3AC32C4B"/>
    <w:rsid w:val="3B4277CA"/>
    <w:rsid w:val="3D4D0DA4"/>
    <w:rsid w:val="3E0C556B"/>
    <w:rsid w:val="3F127E08"/>
    <w:rsid w:val="3F55221F"/>
    <w:rsid w:val="3F832CF8"/>
    <w:rsid w:val="3FC027B2"/>
    <w:rsid w:val="40B557B9"/>
    <w:rsid w:val="40C90D85"/>
    <w:rsid w:val="41742765"/>
    <w:rsid w:val="41803496"/>
    <w:rsid w:val="422745B4"/>
    <w:rsid w:val="42662DE6"/>
    <w:rsid w:val="43206AAB"/>
    <w:rsid w:val="43C04259"/>
    <w:rsid w:val="440C5FB1"/>
    <w:rsid w:val="440D5887"/>
    <w:rsid w:val="4458568A"/>
    <w:rsid w:val="447750A2"/>
    <w:rsid w:val="44930905"/>
    <w:rsid w:val="44AF17A6"/>
    <w:rsid w:val="450B4C32"/>
    <w:rsid w:val="451019DC"/>
    <w:rsid w:val="452B502F"/>
    <w:rsid w:val="45DA52A8"/>
    <w:rsid w:val="46147311"/>
    <w:rsid w:val="46267925"/>
    <w:rsid w:val="46410AC4"/>
    <w:rsid w:val="46973BB1"/>
    <w:rsid w:val="46C61A2D"/>
    <w:rsid w:val="46DD762E"/>
    <w:rsid w:val="47060B1D"/>
    <w:rsid w:val="47392CA0"/>
    <w:rsid w:val="474F068C"/>
    <w:rsid w:val="47C5573F"/>
    <w:rsid w:val="480F5247"/>
    <w:rsid w:val="481D1468"/>
    <w:rsid w:val="48A31586"/>
    <w:rsid w:val="48A61527"/>
    <w:rsid w:val="49EF34AE"/>
    <w:rsid w:val="49FC20A6"/>
    <w:rsid w:val="4A2B7253"/>
    <w:rsid w:val="4A9B332A"/>
    <w:rsid w:val="4B84749F"/>
    <w:rsid w:val="4BFE3B1C"/>
    <w:rsid w:val="4CA42510"/>
    <w:rsid w:val="4D055B0F"/>
    <w:rsid w:val="4D6B4B8A"/>
    <w:rsid w:val="4D892A45"/>
    <w:rsid w:val="4DB30006"/>
    <w:rsid w:val="4DB47FEC"/>
    <w:rsid w:val="4DCD1038"/>
    <w:rsid w:val="4DD053B8"/>
    <w:rsid w:val="4E66332D"/>
    <w:rsid w:val="4F0C238C"/>
    <w:rsid w:val="500741A4"/>
    <w:rsid w:val="501E2A33"/>
    <w:rsid w:val="503B71FE"/>
    <w:rsid w:val="509046C2"/>
    <w:rsid w:val="5113444C"/>
    <w:rsid w:val="511976F1"/>
    <w:rsid w:val="52AB0AAE"/>
    <w:rsid w:val="52D70679"/>
    <w:rsid w:val="53266C5F"/>
    <w:rsid w:val="535769C9"/>
    <w:rsid w:val="5359794D"/>
    <w:rsid w:val="53731D00"/>
    <w:rsid w:val="554F203C"/>
    <w:rsid w:val="56267140"/>
    <w:rsid w:val="564E1B99"/>
    <w:rsid w:val="564F1F29"/>
    <w:rsid w:val="56966425"/>
    <w:rsid w:val="579473C0"/>
    <w:rsid w:val="57E57A41"/>
    <w:rsid w:val="57F8000E"/>
    <w:rsid w:val="588A01CF"/>
    <w:rsid w:val="58AA4389"/>
    <w:rsid w:val="59296DD4"/>
    <w:rsid w:val="5A261308"/>
    <w:rsid w:val="5ACA018A"/>
    <w:rsid w:val="5AD54F18"/>
    <w:rsid w:val="5B092532"/>
    <w:rsid w:val="5B704B72"/>
    <w:rsid w:val="5BB62C85"/>
    <w:rsid w:val="5BDC2EC5"/>
    <w:rsid w:val="5D0064FA"/>
    <w:rsid w:val="5DF20031"/>
    <w:rsid w:val="5DFE1BBB"/>
    <w:rsid w:val="5E253D03"/>
    <w:rsid w:val="5E865803"/>
    <w:rsid w:val="5EB62677"/>
    <w:rsid w:val="5EE16635"/>
    <w:rsid w:val="5EFF032B"/>
    <w:rsid w:val="5F354226"/>
    <w:rsid w:val="5FB818AC"/>
    <w:rsid w:val="603D5029"/>
    <w:rsid w:val="608B4D11"/>
    <w:rsid w:val="6093187E"/>
    <w:rsid w:val="60A5089F"/>
    <w:rsid w:val="60F53965"/>
    <w:rsid w:val="610C1548"/>
    <w:rsid w:val="615920DB"/>
    <w:rsid w:val="61E93024"/>
    <w:rsid w:val="61F2611F"/>
    <w:rsid w:val="626C6B4D"/>
    <w:rsid w:val="636D6A22"/>
    <w:rsid w:val="6383145D"/>
    <w:rsid w:val="63BD3AF7"/>
    <w:rsid w:val="63BF670A"/>
    <w:rsid w:val="64287E9D"/>
    <w:rsid w:val="65D13497"/>
    <w:rsid w:val="66082BF5"/>
    <w:rsid w:val="67375865"/>
    <w:rsid w:val="676B3410"/>
    <w:rsid w:val="67A40418"/>
    <w:rsid w:val="67D83C18"/>
    <w:rsid w:val="67DD1876"/>
    <w:rsid w:val="67F80798"/>
    <w:rsid w:val="680E2045"/>
    <w:rsid w:val="68344058"/>
    <w:rsid w:val="6874449C"/>
    <w:rsid w:val="68790CF7"/>
    <w:rsid w:val="68AB6EB0"/>
    <w:rsid w:val="68B24209"/>
    <w:rsid w:val="69187F79"/>
    <w:rsid w:val="69FF49F3"/>
    <w:rsid w:val="6ACB3360"/>
    <w:rsid w:val="6B4C4771"/>
    <w:rsid w:val="6BC7335C"/>
    <w:rsid w:val="6BEE37AA"/>
    <w:rsid w:val="6CAB7576"/>
    <w:rsid w:val="6CB674EB"/>
    <w:rsid w:val="6D6655C2"/>
    <w:rsid w:val="6DD840B5"/>
    <w:rsid w:val="6E771DEE"/>
    <w:rsid w:val="6E9D76AE"/>
    <w:rsid w:val="6F5E47A3"/>
    <w:rsid w:val="6FCB0CF7"/>
    <w:rsid w:val="70100167"/>
    <w:rsid w:val="70C55D91"/>
    <w:rsid w:val="70F277F6"/>
    <w:rsid w:val="71740516"/>
    <w:rsid w:val="718A7390"/>
    <w:rsid w:val="71B7759E"/>
    <w:rsid w:val="72631983"/>
    <w:rsid w:val="726376B6"/>
    <w:rsid w:val="732F1389"/>
    <w:rsid w:val="73530690"/>
    <w:rsid w:val="739C2851"/>
    <w:rsid w:val="73EA1ABC"/>
    <w:rsid w:val="74702E1F"/>
    <w:rsid w:val="7515156A"/>
    <w:rsid w:val="753D1FB4"/>
    <w:rsid w:val="75630D65"/>
    <w:rsid w:val="756B27AE"/>
    <w:rsid w:val="7591465A"/>
    <w:rsid w:val="75FC1ED7"/>
    <w:rsid w:val="77FE622B"/>
    <w:rsid w:val="78FB5D9C"/>
    <w:rsid w:val="799A648F"/>
    <w:rsid w:val="79F76829"/>
    <w:rsid w:val="7A2A5D7E"/>
    <w:rsid w:val="7A586489"/>
    <w:rsid w:val="7AA84B88"/>
    <w:rsid w:val="7B716095"/>
    <w:rsid w:val="7BAB570C"/>
    <w:rsid w:val="7BE81FC4"/>
    <w:rsid w:val="7BEE6720"/>
    <w:rsid w:val="7BF55BAC"/>
    <w:rsid w:val="7C846E57"/>
    <w:rsid w:val="7C896C8A"/>
    <w:rsid w:val="7CD178D7"/>
    <w:rsid w:val="7CD66EC6"/>
    <w:rsid w:val="7DF176A6"/>
    <w:rsid w:val="7E273515"/>
    <w:rsid w:val="7E2E6CE4"/>
    <w:rsid w:val="7E9339F2"/>
    <w:rsid w:val="7EB96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4"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unhideWhenUsed/>
    <w:qFormat/>
    <w:uiPriority w:val="4"/>
    <w:pPr>
      <w:keepNext/>
      <w:keepLines/>
      <w:numPr>
        <w:ilvl w:val="1"/>
        <w:numId w:val="1"/>
      </w:numPr>
      <w:spacing w:before="120" w:after="120"/>
      <w:outlineLvl w:val="1"/>
    </w:pPr>
    <w:rPr>
      <w:rFonts w:hint="eastAsia" w:ascii="Times New Roman" w:hAnsi="Times New Roman" w:eastAsia="Times New Roman"/>
      <w:b/>
      <w:sz w:val="28"/>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next w:val="1"/>
    <w:unhideWhenUsed/>
    <w:qFormat/>
    <w:uiPriority w:val="0"/>
    <w:pPr>
      <w:spacing w:before="240" w:after="60"/>
      <w:jc w:val="center"/>
      <w:outlineLvl w:val="0"/>
    </w:pPr>
    <w:rPr>
      <w:rFonts w:ascii="Arial" w:hAnsi="Arial" w:eastAsia="华文中宋" w:cs="Arial"/>
      <w:b/>
      <w:color w:val="FF0000"/>
      <w:sz w:val="116"/>
      <w:szCs w:val="32"/>
    </w:rPr>
  </w:style>
  <w:style w:type="paragraph" w:styleId="5">
    <w:name w:val="caption"/>
    <w:basedOn w:val="1"/>
    <w:next w:val="1"/>
    <w:qFormat/>
    <w:uiPriority w:val="35"/>
    <w:pPr>
      <w:keepNext/>
      <w:ind w:firstLine="420"/>
      <w:jc w:val="center"/>
    </w:pPr>
    <w:rPr>
      <w:rFonts w:ascii="Cambria" w:hAnsi="Cambria" w:eastAsia="黑体"/>
      <w:bCs/>
      <w:szCs w:val="20"/>
    </w:rPr>
  </w:style>
  <w:style w:type="paragraph" w:styleId="6">
    <w:name w:val="annotation text"/>
    <w:basedOn w:val="1"/>
    <w:link w:val="18"/>
    <w:qFormat/>
    <w:uiPriority w:val="0"/>
    <w:pPr>
      <w:jc w:val="left"/>
    </w:pPr>
  </w:style>
  <w:style w:type="paragraph" w:styleId="7">
    <w:name w:val="Balloon Text"/>
    <w:basedOn w:val="1"/>
    <w:link w:val="20"/>
    <w:qFormat/>
    <w:uiPriority w:val="0"/>
    <w:rPr>
      <w:sz w:val="18"/>
      <w:szCs w:val="18"/>
    </w:rPr>
  </w:style>
  <w:style w:type="paragraph" w:styleId="8">
    <w:name w:val="footer"/>
    <w:basedOn w:val="1"/>
    <w:link w:val="22"/>
    <w:unhideWhenUsed/>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annotation subject"/>
    <w:basedOn w:val="6"/>
    <w:next w:val="6"/>
    <w:link w:val="19"/>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qFormat/>
    <w:uiPriority w:val="0"/>
    <w:rPr>
      <w:sz w:val="21"/>
      <w:szCs w:val="21"/>
    </w:rPr>
  </w:style>
  <w:style w:type="paragraph" w:styleId="16">
    <w:name w:val="No Spacing"/>
    <w:unhideWhenUsed/>
    <w:qFormat/>
    <w:uiPriority w:val="1"/>
    <w:pPr>
      <w:widowControl w:val="0"/>
      <w:jc w:val="center"/>
    </w:pPr>
    <w:rPr>
      <w:rFonts w:hint="eastAsia" w:ascii="仿宋" w:hAnsi="仿宋" w:eastAsia="仿宋" w:cs="Times New Roman"/>
      <w:kern w:val="2"/>
      <w:sz w:val="21"/>
      <w:szCs w:val="18"/>
      <w:lang w:val="zh-CN" w:eastAsia="zh-CN" w:bidi="ar-SA"/>
    </w:rPr>
  </w:style>
  <w:style w:type="paragraph" w:customStyle="1" w:styleId="17">
    <w:name w:val="石墨文档正文"/>
    <w:qFormat/>
    <w:uiPriority w:val="0"/>
    <w:rPr>
      <w:rFonts w:ascii="微软雅黑" w:hAnsi="微软雅黑" w:eastAsia="微软雅黑" w:cs="微软雅黑"/>
      <w:sz w:val="22"/>
      <w:szCs w:val="22"/>
      <w:lang w:val="en-US" w:eastAsia="zh-CN" w:bidi="ar-SA"/>
    </w:rPr>
  </w:style>
  <w:style w:type="character" w:customStyle="1" w:styleId="18">
    <w:name w:val="批注文字 字符"/>
    <w:basedOn w:val="14"/>
    <w:link w:val="6"/>
    <w:qFormat/>
    <w:uiPriority w:val="0"/>
    <w:rPr>
      <w:rFonts w:ascii="Calibri" w:hAnsi="Calibri" w:eastAsia="宋体" w:cs="Times New Roman"/>
      <w:kern w:val="2"/>
      <w:sz w:val="21"/>
      <w:szCs w:val="24"/>
    </w:rPr>
  </w:style>
  <w:style w:type="character" w:customStyle="1" w:styleId="19">
    <w:name w:val="批注主题 字符"/>
    <w:basedOn w:val="18"/>
    <w:link w:val="11"/>
    <w:qFormat/>
    <w:uiPriority w:val="0"/>
    <w:rPr>
      <w:rFonts w:ascii="Calibri" w:hAnsi="Calibri" w:eastAsia="宋体" w:cs="Times New Roman"/>
      <w:b/>
      <w:bCs/>
      <w:kern w:val="2"/>
      <w:sz w:val="21"/>
      <w:szCs w:val="24"/>
    </w:rPr>
  </w:style>
  <w:style w:type="character" w:customStyle="1" w:styleId="20">
    <w:name w:val="批注框文本 字符"/>
    <w:basedOn w:val="14"/>
    <w:link w:val="7"/>
    <w:qFormat/>
    <w:uiPriority w:val="0"/>
    <w:rPr>
      <w:rFonts w:ascii="Calibri" w:hAnsi="Calibri" w:eastAsia="宋体" w:cs="Times New Roman"/>
      <w:kern w:val="2"/>
      <w:sz w:val="18"/>
      <w:szCs w:val="18"/>
    </w:rPr>
  </w:style>
  <w:style w:type="paragraph" w:customStyle="1" w:styleId="21">
    <w:name w:val="Revision"/>
    <w:hidden/>
    <w:semiHidden/>
    <w:qFormat/>
    <w:uiPriority w:val="99"/>
    <w:rPr>
      <w:rFonts w:ascii="Calibri" w:hAnsi="Calibri" w:eastAsia="宋体" w:cs="Times New Roman"/>
      <w:kern w:val="2"/>
      <w:sz w:val="21"/>
      <w:szCs w:val="24"/>
      <w:lang w:val="en-US" w:eastAsia="zh-CN" w:bidi="ar-SA"/>
    </w:rPr>
  </w:style>
  <w:style w:type="character" w:customStyle="1" w:styleId="22">
    <w:name w:val="页脚 字符"/>
    <w:basedOn w:val="14"/>
    <w:link w:val="8"/>
    <w:qFormat/>
    <w:uiPriority w:val="99"/>
    <w:rPr>
      <w:rFonts w:ascii="Calibri" w:hAnsi="Calibri" w:eastAsia="宋体" w:cs="Times New Roman"/>
      <w:kern w:val="2"/>
      <w:sz w:val="1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5168</Words>
  <Characters>5198</Characters>
  <Lines>53</Lines>
  <Paragraphs>15</Paragraphs>
  <TotalTime>1</TotalTime>
  <ScaleCrop>false</ScaleCrop>
  <LinksUpToDate>false</LinksUpToDate>
  <CharactersWithSpaces>5222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2024-03-12T01:07:00Z</dcterms:created>
  <dcterms:modified xsi:type="dcterms:W3CDTF">2026-03-12T07:25:20Z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6C3DC40F8E77449D9B984E6C87713602</vt:lpwstr>
  </property>
</Properties>
</file>