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880" w:firstLineChars="200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常年法律顾问评分细则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（一）律师事务所资格条件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依法设立，持有有效《律师事务所执业许可证》；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成立时间≥3年，当地执业律师≥10人（规模证明文件）；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近三年通过司法行政机关年检；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近三年无司法行政机关行政处罚记录。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（二）承办律师资格条件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持有有效《律师执业证》；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执业年限≥3年；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熟悉保险法、公司法等与企业经营相关的法律法规；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近三年无因损害当事人利益被处罚的记录。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二、评分标准及权重（总分100分）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（一）评分项目汇总表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762"/>
        <w:gridCol w:w="2775"/>
        <w:gridCol w:w="2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权重占比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律师事务所综合实力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35分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承办律师素质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30分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服务价格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30分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特殊需求响应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合计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100分</w:t>
            </w:r>
          </w:p>
        </w:tc>
        <w:tc>
          <w:tcPr>
            <w:tcW w:w="312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100%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（二）律师事务所综合实力（35分）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  <w:t>1.信誉与规模（10分）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成立年限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成立满5年（含）以上：得5分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成立满3年（含）至5年：得3分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成立满1年（含）至3年：得1分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成立不足1年：得0分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（以律师事务所执业许可证载明的成立日期为准）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规模等级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全国性律所（分所≥5家且执业律师≥100人）：得5分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区域性大型律所（分所≥3家或执业律师≥50人）：得4分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区域性中型律所（执业律师≥20人）：得3分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区域性小型律所（执业律师≥10人）：得2分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其他：得1分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  <w:t>2.专业能力匹配度（15分）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业务领域匹配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8分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设有保险、公司治理、合规等专门业务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近3年在保险/金融领域有突出业绩（省级以上荣誉或典型案例）：得4分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有相关业务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但业绩一般：得2-3分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无专门业务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团队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：得0分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成功案例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7分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近3年同类法律顾问服务案例≥10个：得7分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近3年同类法律顾问服务案例7-9个：得5分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近3年同类法律顾问服务案例4-6个：得3分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近3年同类法律顾问服务案例1-3个：得1分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无同类案例：得0分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（需提供合同摘要或服务证明材料）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  <w:t>3. 服务方案完整性（10分）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6"/>
        <w:gridCol w:w="2076"/>
        <w:gridCol w:w="4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服务内容覆盖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6分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服务方案完整覆盖以下全部内容：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①日常法律咨询；②合同审查与起草；③诉讼/仲裁代理；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④合规审查与风险提示；⑤法律培训；⑥出具法律意见书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全部覆盖：得6分；每缺少一项扣1分，扣完为止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服务响应机制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4分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明确响应时间≤12小时：得2分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明确响应时间≤24小时：得1分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未明确响应时间：得0分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提供7×24小时紧急联系渠道：加1分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建立定期走访/汇报机制：加1分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562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4A5548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（三）承办律师素质（30分）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  <w:t>1.专业能力（15分）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执业年限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8分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执业满15年（含）以上：得8分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执业满10年（含）至15年：得6分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执业满5年（含）至10年：得4分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执业满3年（含）至5年：得2分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执业不足3年：得1分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专业资质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7分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具有公司法、保险法等相关专业领域认证或培训证书：得3分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担任仲裁机构仲裁员：得2分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担任行业协会专业委员会委员：得1分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具有高级律师职称：得1分</w:t>
            </w:r>
          </w:p>
          <w:p>
            <w:pPr>
              <w:spacing w:before="40" w:after="40"/>
              <w:ind w:left="120"/>
              <w:jc w:val="left"/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具有其他体现律师能力水平的资质：得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（可累计，最高7分）</w:t>
            </w:r>
          </w:p>
        </w:tc>
      </w:tr>
    </w:tbl>
    <w:p>
      <w:pPr>
        <w:spacing w:before="200" w:after="100"/>
        <w:rPr>
          <w:rFonts w:hint="eastAsia" w:ascii="仿宋_GB2312" w:hAnsi="仿宋_GB2312" w:eastAsia="仿宋_GB2312" w:cs="仿宋_GB2312"/>
          <w:kern w:val="0"/>
          <w:szCs w:val="21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  <w:t>2.服务经验（10分）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2"/>
        <w:gridCol w:w="2073"/>
        <w:gridCol w:w="4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行业服务经验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服务过3家（含）以上保险/金融行业客户：得5分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服务过2家保险/金融行业客户：得3分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服务过1家保险/金融行业客户：得2分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无相关行业服务经验：得0分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（需提供服务合同或客户证明）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典型案例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5分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提供5个以上代表性案例（含诉讼/非诉）：得5分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提供3-4个代表性案例：得3分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提供1-2个代表性案例：得1分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未提供案例：得0分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（案例需体现专业能力和处理复杂问题的能力）</w:t>
            </w:r>
          </w:p>
        </w:tc>
      </w:tr>
    </w:tbl>
    <w:p>
      <w:pPr>
        <w:spacing w:before="200" w:after="100"/>
        <w:rPr>
          <w:rFonts w:hint="eastAsia" w:ascii="仿宋_GB2312" w:hAnsi="仿宋_GB2312" w:eastAsia="仿宋_GB2312" w:cs="仿宋_GB2312"/>
          <w:kern w:val="0"/>
          <w:szCs w:val="21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3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2D3329"/>
          <w:sz w:val="32"/>
          <w:szCs w:val="32"/>
        </w:rPr>
        <w:t>3.沟通与责任心（5分）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9"/>
        <w:gridCol w:w="2079"/>
        <w:gridCol w:w="4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客户评价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提供过往客户推荐信或评价材料：得2分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推荐信/评价内容积极正面、具体详实：加1分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未提供相关材料：得0分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服务承诺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2分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服务方案中明确服务质量保障措施：得1分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提供不满意退款或服务补救承诺：得1分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未提供相关承诺：得0分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562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4A5548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（四）服务价格（30分）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9"/>
        <w:gridCol w:w="2080"/>
        <w:gridCol w:w="4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4" w:hRule="atLeast"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价格得分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30分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采用低价优先法计算：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价格得分=30×（最低报价÷投标报价）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说明：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最低报价者得满分30分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其他投标人按公式计算得分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报价越高，得分越低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计算结果保留小数点后两位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/>
              <w:jc w:val="left"/>
              <w:textAlignment w:val="auto"/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为防止极端低价影响评分公平性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eastAsia="zh-CN"/>
              </w:rPr>
              <w:t>，当报价偏离所有有效投标报价的算术平均值的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val="en-US" w:eastAsia="zh-CN"/>
              </w:rPr>
              <w:t>25%时，报价无效，该项得0分。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（五）特殊需求响应（5分）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9"/>
        <w:gridCol w:w="2079"/>
        <w:gridCol w:w="41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blHeader/>
        </w:trPr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评分项目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分值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1"/>
                <w:szCs w:val="21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专项服务方案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3分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针对追偿追损案件提出专项服务方案：得1分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针对应收账款清理提出专项服务方案：得1分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针对其他特殊需求提出专项服务方案：得1分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（方案需具有可操作性和针对性）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应急预案</w:t>
            </w:r>
          </w:p>
        </w:tc>
        <w:tc>
          <w:tcPr>
            <w:tcW w:w="234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1"/>
                <w:szCs w:val="21"/>
              </w:rPr>
              <w:t>2分</w:t>
            </w:r>
          </w:p>
        </w:tc>
        <w:tc>
          <w:tcPr>
            <w:tcW w:w="4680" w:type="dxa"/>
            <w:tcBorders>
              <w:top w:val="single" w:color="94A3B8" w:sz="8" w:space="0"/>
              <w:left w:val="single" w:color="94A3B8" w:sz="8" w:space="0"/>
              <w:bottom w:val="single" w:color="94A3B8" w:sz="8" w:space="0"/>
              <w:right w:val="single" w:color="94A3B8" w:sz="8" w:space="0"/>
            </w:tcBorders>
            <w:shd w:val="clear" w:color="auto" w:fill="auto"/>
            <w:vAlign w:val="top"/>
          </w:tcPr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提供完善的风险预警机制：得1分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提供危机处理流程方案：得1分</w:t>
            </w:r>
          </w:p>
          <w:p>
            <w:pPr>
              <w:spacing w:before="40" w:after="40"/>
              <w:ind w:left="120"/>
              <w:jc w:val="left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未提供相关方案：得0分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三、附则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评分结果保留小数点后两位，第三位四舍五入。总分相同时，以价格得分高者优先；价格得分仍相同的，以承办律师专业能力得分高者优先。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FE151D"/>
    <w:rsid w:val="0FF23EFE"/>
    <w:rsid w:val="12276499"/>
    <w:rsid w:val="18783D97"/>
    <w:rsid w:val="29AE4672"/>
    <w:rsid w:val="2ADF27E6"/>
    <w:rsid w:val="2E7510C8"/>
    <w:rsid w:val="2FF56FE3"/>
    <w:rsid w:val="38EB6C6E"/>
    <w:rsid w:val="3E027FCA"/>
    <w:rsid w:val="4138071D"/>
    <w:rsid w:val="432F79C6"/>
    <w:rsid w:val="4E5164E1"/>
    <w:rsid w:val="512841B5"/>
    <w:rsid w:val="667E5B82"/>
    <w:rsid w:val="68FE151D"/>
    <w:rsid w:val="77B650A1"/>
    <w:rsid w:val="7907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qFormat/>
    <w:uiPriority w:val="0"/>
    <w:rPr>
      <w:rFonts w:ascii="宋体" w:hAnsi="宋体" w:eastAsia="宋体" w:cs="宋体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yc.EDHIC\AppData\Roaming\kingsoft\office6\templates\wps\zh_CN\GW.do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GW.dotm</Template>
  <Pages>5</Pages>
  <Words>768</Words>
  <Characters>802</Characters>
  <Lines>0</Lines>
  <Paragraphs>0</Paragraphs>
  <TotalTime>58</TotalTime>
  <ScaleCrop>false</ScaleCrop>
  <LinksUpToDate>false</LinksUpToDate>
  <CharactersWithSpaces>802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2025-02-06T09:31:00Z</dcterms:created>
  <dc:creator>李杨琛</dc:creator>
  <cp:lastModifiedBy>钱俊</cp:lastModifiedBy>
  <dcterms:modified xsi:type="dcterms:W3CDTF">2026-03-05T08:43:40Z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32D7C1B0370C4A519099222AF7E2753B_11</vt:lpwstr>
  </property>
  <property fmtid="{D5CDD505-2E9C-101B-9397-08002B2CF9AE}" pid="4" name="KSOTemplateDocerSaveRecord">
    <vt:lpwstr>eyJoZGlkIjoiZGEzMzQ5ZTczNGMwMzNhMGExNWRhYzg5MjliMGU3MDEiLCJ1c2VySWQiOiI5NDgzMDU5NDgifQ==</vt:lpwstr>
  </property>
</Properties>
</file>