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</w:pPr>
      <w:r>
        <w:rPr>
          <w:rFonts w:hint="eastAsia"/>
          <w:highlight w:val="none"/>
          <w:lang w:val="en-US" w:eastAsia="zh-CN"/>
        </w:rPr>
        <w:t>云南十里阳光发展</w:t>
      </w:r>
      <w:r>
        <w:rPr>
          <w:rFonts w:hint="eastAsia"/>
          <w:highlight w:val="none"/>
        </w:rPr>
        <w:t>有限公司</w:t>
      </w:r>
      <w:bookmarkStart w:id="0" w:name="OLE_LINK2"/>
      <w:bookmarkStart w:id="1" w:name="OLE_LINK1"/>
      <w:r>
        <w:rPr>
          <w:rFonts w:hint="eastAsia"/>
          <w:highlight w:val="none"/>
          <w:lang w:val="en-US" w:eastAsia="zh-CN"/>
        </w:rPr>
        <w:t>2025年</w:t>
      </w:r>
      <w:r>
        <w:rPr>
          <w:rFonts w:hint="eastAsia"/>
          <w:lang w:val="en-US" w:eastAsia="zh-CN"/>
        </w:rPr>
        <w:t>企业所得税汇算清缴</w:t>
      </w:r>
      <w:bookmarkEnd w:id="0"/>
      <w:r>
        <w:rPr>
          <w:rFonts w:hint="eastAsia"/>
          <w:lang w:val="en-US" w:eastAsia="zh-CN"/>
        </w:rPr>
        <w:t xml:space="preserve">         鉴证服务</w:t>
      </w:r>
      <w:r>
        <w:rPr>
          <w:rFonts w:hint="eastAsia"/>
        </w:rPr>
        <w:t>零星采购技术规范书</w:t>
      </w:r>
    </w:p>
    <w:bookmarkEnd w:id="1"/>
    <w:p>
      <w:pPr>
        <w:spacing w:line="360" w:lineRule="auto"/>
        <w:rPr>
          <w:rFonts w:hint="eastAsia" w:ascii="仿宋" w:hAnsi="仿宋" w:eastAsia="仿宋" w:cs="仿宋"/>
          <w:b/>
          <w:bCs/>
          <w:szCs w:val="21"/>
          <w:highlight w:val="none"/>
        </w:rPr>
      </w:pPr>
      <w:bookmarkStart w:id="2" w:name="_Toc441159752"/>
      <w:bookmarkEnd w:id="2"/>
      <w:r>
        <w:rPr>
          <w:rFonts w:hint="eastAsia" w:ascii="仿宋" w:hAnsi="仿宋" w:eastAsia="仿宋" w:cs="仿宋"/>
          <w:b/>
          <w:bCs/>
          <w:szCs w:val="21"/>
        </w:rPr>
        <w:t>一.项目概要</w:t>
      </w:r>
    </w:p>
    <w:p>
      <w:pPr>
        <w:pStyle w:val="12"/>
        <w:adjustRightInd w:val="0"/>
        <w:snapToGrid w:val="0"/>
        <w:spacing w:after="0" w:line="360" w:lineRule="auto"/>
        <w:ind w:firstLine="420" w:firstLineChars="200"/>
        <w:rPr>
          <w:rFonts w:hint="default" w:ascii="仿宋" w:hAnsi="仿宋" w:eastAsia="仿宋" w:cs="仿宋"/>
          <w:szCs w:val="21"/>
          <w:highlight w:val="none"/>
          <w:lang w:val="en-US" w:eastAsia="zh-CN"/>
        </w:rPr>
      </w:pPr>
      <w:bookmarkStart w:id="3" w:name="OLE_LINK10"/>
      <w:r>
        <w:rPr>
          <w:rFonts w:hint="eastAsia" w:ascii="仿宋" w:hAnsi="仿宋" w:eastAsia="仿宋" w:cs="仿宋"/>
          <w:szCs w:val="21"/>
          <w:highlight w:val="none"/>
        </w:rPr>
        <w:t>为规范企业所得税汇算清缴，</w:t>
      </w:r>
      <w:r>
        <w:rPr>
          <w:rFonts w:hint="eastAsia" w:ascii="仿宋" w:hAnsi="仿宋" w:eastAsia="仿宋" w:cs="仿宋"/>
          <w:szCs w:val="21"/>
          <w:highlight w:val="none"/>
          <w:lang w:val="en-US" w:eastAsia="zh-CN"/>
        </w:rPr>
        <w:t>亟</w:t>
      </w:r>
      <w:r>
        <w:rPr>
          <w:rFonts w:hint="eastAsia" w:ascii="仿宋" w:hAnsi="仿宋" w:eastAsia="仿宋" w:cs="仿宋"/>
          <w:szCs w:val="21"/>
          <w:highlight w:val="none"/>
        </w:rPr>
        <w:t>需引入第三方</w:t>
      </w:r>
      <w:r>
        <w:rPr>
          <w:rFonts w:hint="eastAsia" w:ascii="仿宋" w:hAnsi="仿宋" w:eastAsia="仿宋" w:cs="仿宋"/>
          <w:szCs w:val="21"/>
          <w:highlight w:val="none"/>
          <w:lang w:val="en-US" w:eastAsia="zh-CN"/>
        </w:rPr>
        <w:t>机构开展税务鉴证</w:t>
      </w:r>
      <w:r>
        <w:rPr>
          <w:rFonts w:hint="eastAsia" w:ascii="仿宋" w:hAnsi="仿宋" w:eastAsia="仿宋" w:cs="仿宋"/>
          <w:szCs w:val="21"/>
          <w:highlight w:val="none"/>
        </w:rPr>
        <w:t>，以</w:t>
      </w:r>
      <w:r>
        <w:rPr>
          <w:rFonts w:hint="eastAsia" w:ascii="仿宋" w:hAnsi="仿宋" w:eastAsia="仿宋" w:cs="仿宋"/>
          <w:szCs w:val="21"/>
          <w:highlight w:val="none"/>
          <w:lang w:val="en-US" w:eastAsia="zh-CN"/>
        </w:rPr>
        <w:t>降低企业所得税汇算风险。</w:t>
      </w:r>
    </w:p>
    <w:bookmarkEnd w:id="3"/>
    <w:p>
      <w:pPr>
        <w:numPr>
          <w:ilvl w:val="0"/>
          <w:numId w:val="1"/>
        </w:numPr>
        <w:spacing w:line="360" w:lineRule="auto"/>
        <w:rPr>
          <w:rFonts w:hint="eastAsia" w:ascii="仿宋" w:hAnsi="仿宋" w:eastAsia="仿宋" w:cs="仿宋"/>
          <w:b/>
          <w:bCs/>
          <w:szCs w:val="21"/>
          <w:highlight w:val="none"/>
        </w:rPr>
      </w:pPr>
      <w:r>
        <w:rPr>
          <w:rFonts w:hint="eastAsia" w:ascii="仿宋" w:hAnsi="仿宋" w:eastAsia="仿宋" w:cs="仿宋"/>
          <w:b/>
          <w:bCs/>
          <w:szCs w:val="21"/>
          <w:highlight w:val="none"/>
        </w:rPr>
        <w:t>项目范围</w:t>
      </w:r>
    </w:p>
    <w:p>
      <w:pPr>
        <w:pStyle w:val="14"/>
        <w:spacing w:line="360" w:lineRule="auto"/>
        <w:ind w:firstLine="420"/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本项目拟采购</w:t>
      </w:r>
      <w:bookmarkStart w:id="4" w:name="OLE_LINK3"/>
      <w:r>
        <w:rPr>
          <w:rFonts w:hint="eastAsia" w:ascii="仿宋" w:hAnsi="仿宋" w:eastAsia="仿宋" w:cs="仿宋"/>
          <w:sz w:val="21"/>
          <w:szCs w:val="21"/>
          <w:highlight w:val="none"/>
        </w:rPr>
        <w:t>企业所得税汇算清缴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鉴证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服务</w:t>
      </w:r>
      <w:bookmarkEnd w:id="4"/>
      <w:r>
        <w:rPr>
          <w:rFonts w:hint="eastAsia" w:ascii="仿宋" w:hAnsi="仿宋" w:eastAsia="仿宋" w:cs="仿宋"/>
          <w:sz w:val="21"/>
          <w:szCs w:val="21"/>
          <w:highlight w:val="none"/>
        </w:rPr>
        <w:t>，主要包括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汇算清缴审核服务，税收优惠政策适用审核，关联交易及特别纳税调整审核，申报表填报审核等。</w:t>
      </w:r>
    </w:p>
    <w:p>
      <w:pPr>
        <w:spacing w:line="360" w:lineRule="auto"/>
        <w:rPr>
          <w:rFonts w:hint="eastAsia" w:ascii="仿宋" w:hAnsi="仿宋" w:eastAsia="仿宋" w:cs="仿宋"/>
          <w:b/>
          <w:bCs/>
          <w:szCs w:val="21"/>
        </w:rPr>
      </w:pPr>
      <w:r>
        <w:rPr>
          <w:rFonts w:hint="eastAsia" w:ascii="仿宋" w:hAnsi="仿宋" w:eastAsia="仿宋" w:cs="仿宋"/>
          <w:b/>
          <w:bCs/>
          <w:szCs w:val="21"/>
        </w:rPr>
        <w:t>三.项目技术要求</w:t>
      </w:r>
    </w:p>
    <w:p>
      <w:pPr>
        <w:pStyle w:val="13"/>
        <w:numPr>
          <w:ilvl w:val="0"/>
          <w:numId w:val="2"/>
        </w:numPr>
        <w:spacing w:after="0" w:line="360" w:lineRule="auto"/>
        <w:ind w:leftChars="0" w:firstLineChars="0"/>
        <w:rPr>
          <w:rFonts w:hint="eastAsia" w:ascii="仿宋" w:hAnsi="仿宋" w:eastAsia="仿宋" w:cs="仿宋"/>
          <w:szCs w:val="21"/>
        </w:rPr>
      </w:pPr>
      <w:r>
        <w:rPr>
          <w:rFonts w:hint="eastAsia" w:ascii="仿宋" w:hAnsi="仿宋" w:eastAsia="仿宋" w:cs="仿宋"/>
          <w:szCs w:val="21"/>
        </w:rPr>
        <w:t>报价人应满足采购人要求，提供客观、公正的服务或专业服务意见，提供相应交付物。</w:t>
      </w:r>
    </w:p>
    <w:p>
      <w:pPr>
        <w:pStyle w:val="13"/>
        <w:numPr>
          <w:ilvl w:val="0"/>
          <w:numId w:val="2"/>
        </w:numPr>
        <w:spacing w:after="0" w:line="360" w:lineRule="auto"/>
        <w:ind w:leftChars="0" w:firstLineChars="0"/>
        <w:rPr>
          <w:rFonts w:hint="eastAsia" w:ascii="仿宋" w:hAnsi="仿宋" w:eastAsia="仿宋" w:cs="仿宋"/>
          <w:szCs w:val="21"/>
        </w:rPr>
      </w:pPr>
      <w:r>
        <w:rPr>
          <w:rFonts w:hint="eastAsia" w:ascii="仿宋" w:hAnsi="仿宋" w:eastAsia="仿宋" w:cs="仿宋"/>
          <w:szCs w:val="21"/>
        </w:rPr>
        <w:t>报价人应按各项工作时间要求提交相应交付物，延迟交付则按技术规范书相应条款处理。</w:t>
      </w:r>
    </w:p>
    <w:p>
      <w:pPr>
        <w:pStyle w:val="13"/>
        <w:numPr>
          <w:ilvl w:val="0"/>
          <w:numId w:val="2"/>
        </w:numPr>
        <w:spacing w:after="0" w:line="360" w:lineRule="auto"/>
        <w:ind w:leftChars="0" w:firstLineChars="0"/>
        <w:rPr>
          <w:rFonts w:hint="eastAsia" w:ascii="仿宋" w:hAnsi="仿宋" w:eastAsia="仿宋" w:cs="仿宋"/>
          <w:szCs w:val="21"/>
        </w:rPr>
      </w:pPr>
      <w:r>
        <w:rPr>
          <w:rFonts w:hint="eastAsia" w:ascii="仿宋" w:hAnsi="仿宋" w:eastAsia="仿宋" w:cs="仿宋"/>
          <w:szCs w:val="21"/>
        </w:rPr>
        <w:t>报价人应保证工作质量，因报价人疏忽、错漏重新出具的交付物不重复计算工作量，出现工作质量问题，报价人承担相应责任。</w:t>
      </w:r>
    </w:p>
    <w:p>
      <w:pPr>
        <w:pStyle w:val="13"/>
        <w:numPr>
          <w:ilvl w:val="0"/>
          <w:numId w:val="2"/>
        </w:numPr>
        <w:spacing w:after="0" w:line="360" w:lineRule="auto"/>
        <w:ind w:leftChars="0" w:firstLineChars="0"/>
        <w:rPr>
          <w:rFonts w:hint="eastAsia" w:ascii="仿宋" w:hAnsi="仿宋" w:eastAsia="仿宋" w:cs="仿宋"/>
          <w:szCs w:val="21"/>
        </w:rPr>
      </w:pPr>
      <w:r>
        <w:rPr>
          <w:rFonts w:hint="eastAsia" w:ascii="仿宋" w:hAnsi="仿宋" w:eastAsia="仿宋" w:cs="仿宋"/>
          <w:szCs w:val="21"/>
        </w:rPr>
        <w:t>采购服务工作依据包括但不限于</w:t>
      </w:r>
      <w:bookmarkStart w:id="5" w:name="OLE_LINK5"/>
      <w:r>
        <w:rPr>
          <w:rFonts w:hint="eastAsia" w:ascii="仿宋" w:hAnsi="仿宋" w:eastAsia="仿宋" w:cs="仿宋"/>
          <w:szCs w:val="21"/>
        </w:rPr>
        <w:t>《中华人民共和国企业所得税法》</w:t>
      </w:r>
      <w:bookmarkEnd w:id="5"/>
      <w:r>
        <w:rPr>
          <w:rFonts w:hint="eastAsia" w:ascii="仿宋" w:hAnsi="仿宋" w:eastAsia="仿宋" w:cs="仿宋"/>
          <w:szCs w:val="21"/>
        </w:rPr>
        <w:t>及《中华人民共和国企业所得税法</w:t>
      </w:r>
      <w:r>
        <w:rPr>
          <w:rFonts w:hint="eastAsia" w:ascii="仿宋" w:hAnsi="仿宋" w:eastAsia="仿宋" w:cs="仿宋"/>
          <w:szCs w:val="21"/>
          <w:lang w:val="en-US" w:eastAsia="zh-CN"/>
        </w:rPr>
        <w:t>实施条例</w:t>
      </w:r>
      <w:r>
        <w:rPr>
          <w:rFonts w:hint="eastAsia" w:ascii="仿宋" w:hAnsi="仿宋" w:eastAsia="仿宋" w:cs="仿宋"/>
          <w:szCs w:val="21"/>
        </w:rPr>
        <w:t>》、</w:t>
      </w:r>
      <w:bookmarkStart w:id="6" w:name="OLE_LINK6"/>
      <w:r>
        <w:rPr>
          <w:rFonts w:hint="eastAsia" w:ascii="仿宋" w:hAnsi="仿宋" w:eastAsia="仿宋" w:cs="仿宋"/>
          <w:szCs w:val="21"/>
        </w:rPr>
        <w:t>《中华人民共和国税收征收管理法》</w:t>
      </w:r>
      <w:bookmarkEnd w:id="6"/>
      <w:r>
        <w:rPr>
          <w:rFonts w:hint="eastAsia" w:ascii="仿宋" w:hAnsi="仿宋" w:eastAsia="仿宋" w:cs="仿宋"/>
          <w:szCs w:val="21"/>
        </w:rPr>
        <w:t>及《中华人民共和国税收征收管理法</w:t>
      </w:r>
      <w:r>
        <w:rPr>
          <w:rFonts w:hint="eastAsia" w:ascii="仿宋" w:hAnsi="仿宋" w:eastAsia="仿宋" w:cs="仿宋"/>
          <w:szCs w:val="21"/>
          <w:lang w:val="en-US" w:eastAsia="zh-CN"/>
        </w:rPr>
        <w:t>实施细则</w:t>
      </w:r>
      <w:r>
        <w:rPr>
          <w:rFonts w:hint="eastAsia" w:ascii="仿宋" w:hAnsi="仿宋" w:eastAsia="仿宋" w:cs="仿宋"/>
          <w:szCs w:val="21"/>
        </w:rPr>
        <w:t>》</w:t>
      </w:r>
      <w:r>
        <w:rPr>
          <w:rFonts w:hint="eastAsia" w:ascii="仿宋" w:hAnsi="仿宋" w:eastAsia="仿宋" w:cs="仿宋"/>
          <w:szCs w:val="21"/>
          <w:lang w:eastAsia="zh-CN"/>
        </w:rPr>
        <w:t>、国家税务总局公告（特别是汇算清缴相关公告）</w:t>
      </w:r>
      <w:r>
        <w:rPr>
          <w:rFonts w:hint="eastAsia" w:ascii="仿宋" w:hAnsi="仿宋" w:eastAsia="仿宋" w:cs="仿宋"/>
          <w:szCs w:val="21"/>
        </w:rPr>
        <w:t>。</w:t>
      </w:r>
    </w:p>
    <w:p>
      <w:pPr>
        <w:pStyle w:val="13"/>
        <w:spacing w:line="360" w:lineRule="auto"/>
        <w:ind w:left="0" w:leftChars="0" w:firstLine="0" w:firstLineChars="0"/>
        <w:rPr>
          <w:rFonts w:hint="eastAsia" w:ascii="仿宋" w:hAnsi="仿宋" w:eastAsia="仿宋" w:cs="仿宋"/>
          <w:b/>
          <w:bCs/>
          <w:szCs w:val="21"/>
        </w:rPr>
      </w:pPr>
      <w:r>
        <w:rPr>
          <w:rFonts w:hint="eastAsia" w:ascii="仿宋" w:hAnsi="仿宋" w:eastAsia="仿宋" w:cs="仿宋"/>
          <w:b/>
          <w:bCs/>
          <w:szCs w:val="21"/>
        </w:rPr>
        <w:t>3.2项目进度要求</w:t>
      </w:r>
    </w:p>
    <w:tbl>
      <w:tblPr>
        <w:tblStyle w:val="15"/>
        <w:tblW w:w="877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11"/>
        <w:gridCol w:w="466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4111" w:type="dxa"/>
            <w:shd w:val="clear" w:color="auto" w:fill="D9D9D9"/>
            <w:vAlign w:val="center"/>
          </w:tcPr>
          <w:p>
            <w:pPr>
              <w:pStyle w:val="20"/>
              <w:adjustRightInd/>
              <w:snapToGrid/>
              <w:spacing w:line="360" w:lineRule="auto"/>
              <w:ind w:firstLine="0" w:firstLineChars="0"/>
              <w:jc w:val="center"/>
              <w:rPr>
                <w:rFonts w:hint="eastAsia" w:ascii="仿宋" w:hAnsi="仿宋" w:eastAsia="仿宋" w:cs="仿宋"/>
                <w:b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szCs w:val="21"/>
              </w:rPr>
              <w:t>时间</w:t>
            </w:r>
          </w:p>
        </w:tc>
        <w:tc>
          <w:tcPr>
            <w:tcW w:w="4664" w:type="dxa"/>
            <w:shd w:val="clear" w:color="auto" w:fill="D9D9D9"/>
            <w:vAlign w:val="center"/>
          </w:tcPr>
          <w:p>
            <w:pPr>
              <w:pStyle w:val="20"/>
              <w:adjustRightInd/>
              <w:snapToGrid/>
              <w:spacing w:line="360" w:lineRule="auto"/>
              <w:ind w:firstLine="0" w:firstLineChars="0"/>
              <w:jc w:val="center"/>
              <w:rPr>
                <w:rFonts w:hint="eastAsia" w:ascii="仿宋" w:hAnsi="仿宋" w:eastAsia="仿宋" w:cs="仿宋"/>
                <w:b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szCs w:val="21"/>
              </w:rPr>
              <w:t>主要工作内容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4111" w:type="dxa"/>
            <w:vAlign w:val="center"/>
          </w:tcPr>
          <w:p>
            <w:pPr>
              <w:pStyle w:val="20"/>
              <w:adjustRightInd/>
              <w:snapToGrid/>
              <w:spacing w:line="360" w:lineRule="auto"/>
              <w:ind w:firstLine="0" w:firstLineChars="0"/>
              <w:jc w:val="center"/>
              <w:rPr>
                <w:rFonts w:hint="eastAsia"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中标通知书发布之日</w:t>
            </w:r>
            <w:r>
              <w:rPr>
                <w:rFonts w:hint="eastAsia" w:ascii="仿宋" w:hAnsi="仿宋" w:eastAsia="仿宋" w:cs="仿宋"/>
                <w:szCs w:val="21"/>
              </w:rPr>
              <w:t>起至</w:t>
            </w:r>
            <w:bookmarkStart w:id="7" w:name="OLE_LINK4"/>
            <w:r>
              <w:rPr>
                <w:rFonts w:hint="eastAsia" w:ascii="仿宋" w:hAnsi="仿宋" w:eastAsia="仿宋" w:cs="仿宋"/>
                <w:sz w:val="21"/>
                <w:szCs w:val="21"/>
              </w:rPr>
              <w:t>企业所得税汇算清缴</w:t>
            </w:r>
            <w:bookmarkEnd w:id="7"/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鉴证</w:t>
            </w:r>
            <w:r>
              <w:rPr>
                <w:rFonts w:hint="eastAsia" w:ascii="仿宋" w:hAnsi="仿宋" w:eastAsia="仿宋" w:cs="仿宋"/>
                <w:szCs w:val="21"/>
              </w:rPr>
              <w:t>结算完成止</w:t>
            </w:r>
          </w:p>
        </w:tc>
        <w:tc>
          <w:tcPr>
            <w:tcW w:w="4664" w:type="dxa"/>
            <w:vAlign w:val="center"/>
          </w:tcPr>
          <w:p>
            <w:pPr>
              <w:pStyle w:val="20"/>
              <w:numPr>
                <w:ilvl w:val="0"/>
                <w:numId w:val="0"/>
              </w:numPr>
              <w:adjustRightInd/>
              <w:snapToGrid/>
              <w:spacing w:line="360" w:lineRule="auto"/>
              <w:jc w:val="left"/>
              <w:rPr>
                <w:rFonts w:hint="default" w:ascii="仿宋" w:hAnsi="仿宋" w:eastAsia="仿宋" w:cs="仿宋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1.汇算清缴审核服务</w:t>
            </w:r>
          </w:p>
          <w:p>
            <w:pPr>
              <w:pStyle w:val="20"/>
              <w:numPr>
                <w:ilvl w:val="0"/>
                <w:numId w:val="0"/>
              </w:numPr>
              <w:adjustRightInd/>
              <w:snapToGrid/>
              <w:spacing w:line="360" w:lineRule="auto"/>
              <w:ind w:leftChars="0"/>
              <w:jc w:val="left"/>
              <w:rPr>
                <w:rFonts w:hint="eastAsia" w:ascii="仿宋" w:hAnsi="仿宋" w:eastAsia="仿宋" w:cs="仿宋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szCs w:val="21"/>
                <w:lang w:eastAsia="zh-CN"/>
              </w:rPr>
              <w:t>收入审核：核查企业各类收入（销售收入、劳务收入、利息收入、租金收入</w:t>
            </w: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等</w:t>
            </w:r>
            <w:r>
              <w:rPr>
                <w:rFonts w:hint="eastAsia" w:ascii="仿宋" w:hAnsi="仿宋" w:eastAsia="仿宋" w:cs="仿宋"/>
                <w:szCs w:val="21"/>
                <w:lang w:eastAsia="zh-CN"/>
              </w:rPr>
              <w:t>）的完整性、准确性及确认时点合规性。</w:t>
            </w:r>
          </w:p>
          <w:p>
            <w:pPr>
              <w:pStyle w:val="20"/>
              <w:adjustRightInd/>
              <w:snapToGrid/>
              <w:spacing w:line="360" w:lineRule="auto"/>
              <w:ind w:firstLine="0" w:firstLineChars="0"/>
              <w:jc w:val="left"/>
              <w:rPr>
                <w:rFonts w:hint="eastAsia" w:ascii="仿宋" w:hAnsi="仿宋" w:eastAsia="仿宋" w:cs="仿宋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szCs w:val="21"/>
                <w:lang w:eastAsia="zh-CN"/>
              </w:rPr>
              <w:t>成本费用审核：审查成本结转方法、费用归集与分配的合理性，重点关注限额扣除项目（业务招待费、职工福利费、工会经费、职工教育经费等）。</w:t>
            </w:r>
          </w:p>
          <w:p>
            <w:pPr>
              <w:pStyle w:val="20"/>
              <w:adjustRightInd/>
              <w:snapToGrid/>
              <w:spacing w:line="360" w:lineRule="auto"/>
              <w:ind w:firstLine="0" w:firstLineChars="0"/>
              <w:jc w:val="left"/>
              <w:rPr>
                <w:rFonts w:hint="eastAsia" w:ascii="仿宋" w:hAnsi="仿宋" w:eastAsia="仿宋" w:cs="仿宋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szCs w:val="21"/>
                <w:lang w:eastAsia="zh-CN"/>
              </w:rPr>
              <w:t>资产税务处理审核：审核固定资产折旧、无形资产摊销、资产损失税前扣除的合规性。</w:t>
            </w:r>
          </w:p>
          <w:p>
            <w:pPr>
              <w:pStyle w:val="20"/>
              <w:adjustRightInd/>
              <w:snapToGrid/>
              <w:spacing w:line="360" w:lineRule="auto"/>
              <w:ind w:firstLine="0" w:firstLineChars="0"/>
              <w:jc w:val="left"/>
              <w:rPr>
                <w:rFonts w:hint="eastAsia" w:ascii="仿宋" w:hAnsi="仿宋" w:eastAsia="仿宋" w:cs="仿宋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szCs w:val="21"/>
                <w:lang w:eastAsia="zh-CN"/>
              </w:rPr>
              <w:t>纳税调整事项审核：对会计与税法差异进行识别、计算及调整（视同销售、不征税收入、免税收入、减计收入等）。</w:t>
            </w:r>
          </w:p>
          <w:p>
            <w:pPr>
              <w:pStyle w:val="20"/>
              <w:adjustRightInd/>
              <w:snapToGrid/>
              <w:spacing w:line="360" w:lineRule="auto"/>
              <w:ind w:firstLine="0" w:firstLineChars="0"/>
              <w:jc w:val="left"/>
              <w:rPr>
                <w:rFonts w:hint="eastAsia" w:ascii="仿宋" w:hAnsi="仿宋" w:eastAsia="仿宋" w:cs="仿宋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2.</w:t>
            </w:r>
            <w:r>
              <w:rPr>
                <w:rFonts w:hint="eastAsia" w:ascii="仿宋" w:hAnsi="仿宋" w:eastAsia="仿宋" w:cs="仿宋"/>
                <w:szCs w:val="21"/>
                <w:lang w:eastAsia="zh-CN"/>
              </w:rPr>
              <w:t xml:space="preserve"> 关联交易及特别纳税调整审核</w:t>
            </w:r>
          </w:p>
          <w:p>
            <w:pPr>
              <w:pStyle w:val="20"/>
              <w:adjustRightInd/>
              <w:snapToGrid/>
              <w:spacing w:line="360" w:lineRule="auto"/>
              <w:ind w:firstLine="0" w:firstLineChars="0"/>
              <w:jc w:val="left"/>
              <w:rPr>
                <w:rFonts w:hint="eastAsia" w:ascii="仿宋" w:hAnsi="仿宋" w:eastAsia="仿宋" w:cs="仿宋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Cs w:val="21"/>
                <w:lang w:eastAsia="zh-CN"/>
              </w:rPr>
              <w:t xml:space="preserve"> 识别企业关联交易类型及金额，审核关联申报表（G100000-G114010系列）填报准确性。</w:t>
            </w:r>
          </w:p>
          <w:p>
            <w:pPr>
              <w:pStyle w:val="20"/>
              <w:adjustRightInd/>
              <w:snapToGrid/>
              <w:spacing w:line="360" w:lineRule="auto"/>
              <w:ind w:firstLine="0" w:firstLineChars="0"/>
              <w:jc w:val="left"/>
              <w:rPr>
                <w:rFonts w:hint="eastAsia" w:ascii="仿宋" w:hAnsi="仿宋" w:eastAsia="仿宋" w:cs="仿宋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3.</w:t>
            </w:r>
            <w:r>
              <w:rPr>
                <w:rFonts w:hint="eastAsia" w:ascii="仿宋" w:hAnsi="仿宋" w:eastAsia="仿宋" w:cs="仿宋"/>
                <w:szCs w:val="21"/>
                <w:lang w:eastAsia="zh-CN"/>
              </w:rPr>
              <w:t>申报表填报审核</w:t>
            </w:r>
          </w:p>
          <w:p>
            <w:pPr>
              <w:pStyle w:val="20"/>
              <w:numPr>
                <w:ilvl w:val="0"/>
                <w:numId w:val="0"/>
              </w:numPr>
              <w:adjustRightInd/>
              <w:snapToGrid/>
              <w:spacing w:line="360" w:lineRule="auto"/>
              <w:ind w:leftChars="0"/>
              <w:jc w:val="left"/>
              <w:rPr>
                <w:rFonts w:hint="eastAsia" w:ascii="仿宋" w:hAnsi="仿宋" w:eastAsia="仿宋" w:cs="仿宋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szCs w:val="21"/>
                <w:lang w:eastAsia="zh-CN"/>
              </w:rPr>
              <w:t>审核《企业所得税年度纳税申报表（A类）》及其附表填报逻辑性、数据勾稽关系；校验主表与附表、财务报表之间的数据一致性；检查申报表特殊事项填报的合规性。</w:t>
            </w:r>
          </w:p>
          <w:p>
            <w:pPr>
              <w:pStyle w:val="20"/>
              <w:numPr>
                <w:ilvl w:val="0"/>
                <w:numId w:val="0"/>
              </w:numPr>
              <w:adjustRightInd/>
              <w:snapToGrid/>
              <w:spacing w:line="360" w:lineRule="auto"/>
              <w:ind w:leftChars="0"/>
              <w:jc w:val="left"/>
              <w:rPr>
                <w:rFonts w:hint="eastAsia" w:ascii="仿宋" w:hAnsi="仿宋" w:eastAsia="仿宋" w:cs="仿宋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4.配套服务</w:t>
            </w:r>
          </w:p>
          <w:p>
            <w:pPr>
              <w:pStyle w:val="20"/>
              <w:numPr>
                <w:ilvl w:val="0"/>
                <w:numId w:val="0"/>
              </w:numPr>
              <w:adjustRightInd/>
              <w:snapToGrid/>
              <w:spacing w:line="360" w:lineRule="auto"/>
              <w:ind w:leftChars="0" w:firstLine="210" w:firstLineChars="100"/>
              <w:jc w:val="left"/>
              <w:rPr>
                <w:rFonts w:hint="default" w:ascii="仿宋" w:hAnsi="仿宋" w:eastAsia="仿宋" w:cs="仿宋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提供涉税咨询，税务争议应对协助等服务。</w:t>
            </w:r>
          </w:p>
        </w:tc>
      </w:tr>
    </w:tbl>
    <w:p>
      <w:pPr>
        <w:spacing w:line="360" w:lineRule="auto"/>
        <w:rPr>
          <w:rFonts w:hint="eastAsia" w:ascii="仿宋" w:hAnsi="仿宋" w:eastAsia="仿宋" w:cs="仿宋"/>
          <w:b/>
          <w:bCs/>
          <w:szCs w:val="21"/>
        </w:rPr>
      </w:pPr>
      <w:r>
        <w:rPr>
          <w:rFonts w:hint="eastAsia" w:ascii="仿宋" w:hAnsi="仿宋" w:eastAsia="仿宋" w:cs="仿宋"/>
          <w:b/>
          <w:bCs/>
          <w:szCs w:val="21"/>
        </w:rPr>
        <w:t>四.服务要求</w:t>
      </w:r>
    </w:p>
    <w:p>
      <w:pPr>
        <w:widowControl/>
        <w:adjustRightInd w:val="0"/>
        <w:snapToGrid w:val="0"/>
        <w:spacing w:line="360" w:lineRule="auto"/>
        <w:jc w:val="left"/>
        <w:rPr>
          <w:rFonts w:hint="eastAsia" w:ascii="仿宋" w:hAnsi="仿宋" w:eastAsia="仿宋" w:cs="仿宋"/>
          <w:kern w:val="0"/>
          <w:szCs w:val="21"/>
        </w:rPr>
      </w:pPr>
      <w:r>
        <w:rPr>
          <w:rFonts w:hint="eastAsia" w:ascii="仿宋" w:hAnsi="仿宋" w:eastAsia="仿宋" w:cs="仿宋"/>
          <w:b/>
          <w:bCs/>
          <w:kern w:val="0"/>
          <w:szCs w:val="21"/>
        </w:rPr>
        <w:t>4.1 质量要求：</w:t>
      </w:r>
    </w:p>
    <w:p>
      <w:pPr>
        <w:widowControl/>
        <w:numPr>
          <w:ilvl w:val="0"/>
          <w:numId w:val="3"/>
        </w:numPr>
        <w:adjustRightInd w:val="0"/>
        <w:snapToGrid w:val="0"/>
        <w:spacing w:line="360" w:lineRule="auto"/>
        <w:jc w:val="left"/>
        <w:rPr>
          <w:rFonts w:hint="eastAsia" w:ascii="仿宋" w:hAnsi="仿宋" w:eastAsia="仿宋" w:cs="仿宋"/>
          <w:kern w:val="0"/>
          <w:szCs w:val="21"/>
        </w:rPr>
      </w:pPr>
      <w:r>
        <w:rPr>
          <w:rFonts w:hint="eastAsia" w:ascii="仿宋" w:hAnsi="仿宋" w:eastAsia="仿宋" w:cs="仿宋"/>
          <w:kern w:val="0"/>
          <w:szCs w:val="21"/>
        </w:rPr>
        <w:t>报价人需严格按照采购人要求实施质量管理。</w:t>
      </w:r>
    </w:p>
    <w:p>
      <w:pPr>
        <w:widowControl/>
        <w:numPr>
          <w:ilvl w:val="0"/>
          <w:numId w:val="3"/>
        </w:numPr>
        <w:adjustRightInd w:val="0"/>
        <w:snapToGrid w:val="0"/>
        <w:spacing w:line="360" w:lineRule="auto"/>
        <w:jc w:val="left"/>
        <w:rPr>
          <w:rFonts w:hint="eastAsia" w:ascii="仿宋" w:hAnsi="仿宋" w:eastAsia="仿宋" w:cs="仿宋"/>
          <w:kern w:val="0"/>
          <w:szCs w:val="21"/>
        </w:rPr>
      </w:pPr>
      <w:r>
        <w:rPr>
          <w:rFonts w:hint="eastAsia" w:ascii="仿宋" w:hAnsi="仿宋" w:eastAsia="仿宋" w:cs="仿宋"/>
          <w:kern w:val="0"/>
          <w:szCs w:val="21"/>
        </w:rPr>
        <w:t>报价人需要有独立的质量保证人员来配合采购人开展工作，从而保证工作过程和项目的质量。</w:t>
      </w:r>
    </w:p>
    <w:p>
      <w:pPr>
        <w:widowControl/>
        <w:numPr>
          <w:ilvl w:val="0"/>
          <w:numId w:val="3"/>
        </w:numPr>
        <w:adjustRightInd w:val="0"/>
        <w:snapToGrid w:val="0"/>
        <w:spacing w:line="360" w:lineRule="auto"/>
        <w:jc w:val="left"/>
        <w:rPr>
          <w:rFonts w:hint="eastAsia" w:ascii="仿宋" w:hAnsi="仿宋" w:eastAsia="仿宋" w:cs="仿宋"/>
          <w:kern w:val="0"/>
          <w:szCs w:val="21"/>
        </w:rPr>
      </w:pPr>
      <w:r>
        <w:rPr>
          <w:rFonts w:hint="eastAsia" w:ascii="仿宋" w:hAnsi="仿宋" w:eastAsia="仿宋" w:cs="仿宋"/>
          <w:kern w:val="0"/>
          <w:szCs w:val="21"/>
        </w:rPr>
        <w:t>报价人须配合采购人进行质量监测和关键点的质量评估。</w:t>
      </w:r>
    </w:p>
    <w:p>
      <w:pPr>
        <w:widowControl/>
        <w:numPr>
          <w:ilvl w:val="0"/>
          <w:numId w:val="3"/>
        </w:numPr>
        <w:adjustRightInd w:val="0"/>
        <w:snapToGrid w:val="0"/>
        <w:spacing w:line="360" w:lineRule="auto"/>
        <w:jc w:val="left"/>
        <w:rPr>
          <w:rFonts w:hint="eastAsia" w:ascii="仿宋" w:hAnsi="仿宋" w:eastAsia="仿宋" w:cs="仿宋"/>
          <w:kern w:val="0"/>
          <w:szCs w:val="21"/>
        </w:rPr>
      </w:pPr>
      <w:r>
        <w:rPr>
          <w:rFonts w:hint="eastAsia" w:ascii="仿宋" w:hAnsi="仿宋" w:eastAsia="仿宋" w:cs="仿宋"/>
          <w:kern w:val="0"/>
          <w:szCs w:val="21"/>
        </w:rPr>
        <w:t>报价人团队在项目实施过程中应给出具体的风险管控措施，识别项目风险。</w:t>
      </w:r>
    </w:p>
    <w:p>
      <w:pPr>
        <w:widowControl/>
        <w:adjustRightInd w:val="0"/>
        <w:snapToGrid w:val="0"/>
        <w:spacing w:line="360" w:lineRule="auto"/>
        <w:jc w:val="left"/>
        <w:rPr>
          <w:rFonts w:hint="eastAsia" w:ascii="仿宋" w:hAnsi="仿宋" w:eastAsia="仿宋" w:cs="仿宋"/>
          <w:b/>
          <w:bCs/>
          <w:kern w:val="0"/>
          <w:szCs w:val="21"/>
        </w:rPr>
      </w:pPr>
      <w:r>
        <w:rPr>
          <w:rFonts w:hint="eastAsia" w:ascii="仿宋" w:hAnsi="仿宋" w:eastAsia="仿宋" w:cs="仿宋"/>
          <w:b/>
          <w:bCs/>
          <w:kern w:val="0"/>
          <w:szCs w:val="21"/>
        </w:rPr>
        <w:t>4.2 进度要求：</w:t>
      </w:r>
    </w:p>
    <w:p>
      <w:pPr>
        <w:widowControl/>
        <w:numPr>
          <w:ilvl w:val="0"/>
          <w:numId w:val="4"/>
        </w:numPr>
        <w:adjustRightInd w:val="0"/>
        <w:snapToGrid w:val="0"/>
        <w:spacing w:line="360" w:lineRule="auto"/>
        <w:jc w:val="left"/>
        <w:rPr>
          <w:rFonts w:hint="eastAsia" w:ascii="仿宋" w:hAnsi="仿宋" w:eastAsia="仿宋" w:cs="仿宋"/>
          <w:kern w:val="0"/>
          <w:szCs w:val="21"/>
        </w:rPr>
      </w:pPr>
      <w:r>
        <w:rPr>
          <w:rFonts w:hint="eastAsia" w:ascii="仿宋" w:hAnsi="仿宋" w:eastAsia="仿宋" w:cs="仿宋"/>
          <w:kern w:val="0"/>
          <w:szCs w:val="21"/>
        </w:rPr>
        <w:t>报价人须严格按照</w:t>
      </w:r>
      <w:r>
        <w:rPr>
          <w:rFonts w:hint="eastAsia" w:ascii="仿宋" w:hAnsi="仿宋" w:eastAsia="仿宋" w:cs="仿宋"/>
          <w:szCs w:val="21"/>
        </w:rPr>
        <w:t>项目</w:t>
      </w:r>
      <w:r>
        <w:rPr>
          <w:rFonts w:hint="eastAsia" w:ascii="仿宋" w:hAnsi="仿宋" w:eastAsia="仿宋" w:cs="仿宋"/>
          <w:kern w:val="0"/>
          <w:szCs w:val="21"/>
        </w:rPr>
        <w:t>工期要求开展相关工作并提供详细进度计划表。</w:t>
      </w:r>
    </w:p>
    <w:p>
      <w:pPr>
        <w:widowControl/>
        <w:numPr>
          <w:ilvl w:val="0"/>
          <w:numId w:val="4"/>
        </w:numPr>
        <w:adjustRightInd w:val="0"/>
        <w:snapToGrid w:val="0"/>
        <w:spacing w:line="360" w:lineRule="auto"/>
        <w:jc w:val="left"/>
        <w:rPr>
          <w:rFonts w:hint="eastAsia" w:ascii="仿宋" w:hAnsi="仿宋" w:eastAsia="仿宋" w:cs="仿宋"/>
          <w:kern w:val="0"/>
          <w:szCs w:val="21"/>
        </w:rPr>
      </w:pPr>
      <w:r>
        <w:rPr>
          <w:rFonts w:hint="eastAsia" w:ascii="仿宋" w:hAnsi="仿宋" w:eastAsia="仿宋" w:cs="仿宋"/>
          <w:kern w:val="0"/>
          <w:szCs w:val="21"/>
        </w:rPr>
        <w:t>报价人须严格按照项目里程碑开展工作。采购人将根据里程碑和里程碑产出物审核报价人工作。</w:t>
      </w:r>
    </w:p>
    <w:p>
      <w:pPr>
        <w:widowControl/>
        <w:numPr>
          <w:ilvl w:val="0"/>
          <w:numId w:val="4"/>
        </w:numPr>
        <w:adjustRightInd w:val="0"/>
        <w:snapToGrid w:val="0"/>
        <w:spacing w:line="360" w:lineRule="auto"/>
        <w:jc w:val="left"/>
        <w:rPr>
          <w:rFonts w:hint="eastAsia" w:ascii="仿宋" w:hAnsi="仿宋" w:eastAsia="仿宋" w:cs="仿宋"/>
          <w:kern w:val="0"/>
          <w:szCs w:val="21"/>
        </w:rPr>
      </w:pPr>
      <w:r>
        <w:rPr>
          <w:rFonts w:hint="eastAsia" w:ascii="仿宋" w:hAnsi="仿宋" w:eastAsia="仿宋" w:cs="仿宋"/>
          <w:kern w:val="0"/>
          <w:szCs w:val="21"/>
        </w:rPr>
        <w:t>若由于报价人自身原因导致项目进度滞后于项目里程碑计划，采购人可追究报价人责任，每逾期一日，应向采购人支付总中标金额的</w:t>
      </w:r>
      <w:r>
        <w:rPr>
          <w:rFonts w:hint="eastAsia" w:ascii="仿宋" w:hAnsi="仿宋" w:eastAsia="仿宋" w:cs="仿宋"/>
          <w:kern w:val="0"/>
          <w:szCs w:val="21"/>
          <w:u w:val="single"/>
        </w:rPr>
        <w:t xml:space="preserve"> 0.5 </w:t>
      </w:r>
      <w:r>
        <w:rPr>
          <w:rFonts w:hint="eastAsia" w:ascii="仿宋" w:hAnsi="仿宋" w:eastAsia="仿宋" w:cs="仿宋"/>
          <w:kern w:val="0"/>
          <w:szCs w:val="21"/>
        </w:rPr>
        <w:t>‰违约金。</w:t>
      </w:r>
    </w:p>
    <w:p>
      <w:pPr>
        <w:widowControl/>
        <w:adjustRightInd w:val="0"/>
        <w:snapToGrid w:val="0"/>
        <w:spacing w:line="360" w:lineRule="auto"/>
        <w:jc w:val="left"/>
        <w:rPr>
          <w:rFonts w:hint="eastAsia" w:ascii="仿宋" w:hAnsi="仿宋" w:eastAsia="仿宋" w:cs="仿宋"/>
          <w:kern w:val="0"/>
          <w:szCs w:val="21"/>
        </w:rPr>
      </w:pPr>
      <w:r>
        <w:rPr>
          <w:rFonts w:hint="eastAsia" w:ascii="仿宋" w:hAnsi="仿宋" w:eastAsia="仿宋" w:cs="仿宋"/>
          <w:b/>
          <w:bCs/>
          <w:kern w:val="0"/>
          <w:szCs w:val="21"/>
        </w:rPr>
        <w:t>4.</w:t>
      </w:r>
      <w:r>
        <w:rPr>
          <w:rFonts w:hint="eastAsia" w:ascii="仿宋" w:hAnsi="仿宋" w:eastAsia="仿宋" w:cs="仿宋"/>
          <w:b/>
          <w:bCs/>
          <w:kern w:val="0"/>
          <w:szCs w:val="21"/>
          <w:lang w:val="en-US" w:eastAsia="zh-CN"/>
        </w:rPr>
        <w:t>3</w:t>
      </w:r>
      <w:r>
        <w:rPr>
          <w:rFonts w:hint="eastAsia" w:ascii="仿宋" w:hAnsi="仿宋" w:eastAsia="仿宋" w:cs="仿宋"/>
          <w:b/>
          <w:bCs/>
          <w:kern w:val="0"/>
          <w:szCs w:val="21"/>
        </w:rPr>
        <w:t>标的物交付时间：</w:t>
      </w:r>
    </w:p>
    <w:p>
      <w:pPr>
        <w:widowControl/>
        <w:numPr>
          <w:ilvl w:val="0"/>
          <w:numId w:val="5"/>
        </w:numPr>
        <w:adjustRightInd w:val="0"/>
        <w:snapToGrid w:val="0"/>
        <w:spacing w:line="360" w:lineRule="auto"/>
        <w:jc w:val="left"/>
        <w:rPr>
          <w:rFonts w:hint="eastAsia" w:ascii="仿宋" w:hAnsi="仿宋" w:eastAsia="仿宋" w:cs="仿宋"/>
          <w:kern w:val="0"/>
          <w:szCs w:val="21"/>
        </w:rPr>
      </w:pPr>
      <w:r>
        <w:rPr>
          <w:rFonts w:hint="eastAsia" w:ascii="仿宋" w:hAnsi="仿宋" w:eastAsia="仿宋" w:cs="仿宋"/>
          <w:kern w:val="0"/>
          <w:szCs w:val="21"/>
        </w:rPr>
        <w:t>服务期限：中标通知书发布之日</w:t>
      </w:r>
      <w:r>
        <w:rPr>
          <w:rFonts w:hint="eastAsia" w:ascii="仿宋" w:hAnsi="仿宋" w:eastAsia="仿宋" w:cs="仿宋"/>
          <w:szCs w:val="21"/>
        </w:rPr>
        <w:t>起至</w:t>
      </w:r>
      <w:r>
        <w:rPr>
          <w:rFonts w:hint="eastAsia" w:ascii="仿宋" w:hAnsi="仿宋" w:eastAsia="仿宋" w:cs="仿宋"/>
          <w:sz w:val="21"/>
          <w:szCs w:val="21"/>
        </w:rPr>
        <w:t>企业所得税汇算清缴</w:t>
      </w:r>
      <w:r>
        <w:rPr>
          <w:rFonts w:hint="eastAsia" w:ascii="仿宋" w:hAnsi="仿宋" w:eastAsia="仿宋" w:cs="仿宋"/>
          <w:sz w:val="21"/>
          <w:szCs w:val="21"/>
          <w:lang w:val="en-US" w:eastAsia="zh-CN"/>
        </w:rPr>
        <w:t>鉴证</w:t>
      </w:r>
      <w:r>
        <w:rPr>
          <w:rFonts w:hint="eastAsia" w:ascii="仿宋" w:hAnsi="仿宋" w:eastAsia="仿宋" w:cs="仿宋"/>
          <w:szCs w:val="21"/>
        </w:rPr>
        <w:t>结算完成止</w:t>
      </w:r>
      <w:r>
        <w:rPr>
          <w:rFonts w:hint="eastAsia" w:ascii="仿宋" w:hAnsi="仿宋" w:eastAsia="仿宋" w:cs="仿宋"/>
          <w:kern w:val="0"/>
          <w:szCs w:val="21"/>
        </w:rPr>
        <w:t>。</w:t>
      </w:r>
    </w:p>
    <w:p>
      <w:pPr>
        <w:widowControl/>
        <w:numPr>
          <w:ilvl w:val="0"/>
          <w:numId w:val="5"/>
        </w:numPr>
        <w:adjustRightInd w:val="0"/>
        <w:snapToGrid w:val="0"/>
        <w:spacing w:line="360" w:lineRule="auto"/>
        <w:jc w:val="left"/>
        <w:rPr>
          <w:rFonts w:hint="eastAsia" w:ascii="仿宋" w:hAnsi="仿宋" w:eastAsia="仿宋" w:cs="仿宋"/>
          <w:kern w:val="0"/>
          <w:szCs w:val="21"/>
        </w:rPr>
      </w:pPr>
      <w:r>
        <w:rPr>
          <w:rFonts w:hint="eastAsia" w:ascii="仿宋" w:hAnsi="仿宋" w:eastAsia="仿宋" w:cs="仿宋"/>
          <w:kern w:val="0"/>
          <w:szCs w:val="21"/>
        </w:rPr>
        <w:t>如中标人逾期提供交付物，取消中标人中标资格，并依法追究其法律责任。</w:t>
      </w:r>
    </w:p>
    <w:p>
      <w:pPr>
        <w:spacing w:line="360" w:lineRule="auto"/>
        <w:rPr>
          <w:rFonts w:hint="eastAsia" w:ascii="仿宋" w:hAnsi="仿宋" w:eastAsia="仿宋" w:cs="仿宋"/>
          <w:b/>
          <w:bCs/>
          <w:kern w:val="0"/>
          <w:szCs w:val="21"/>
        </w:rPr>
      </w:pPr>
      <w:r>
        <w:rPr>
          <w:rFonts w:hint="eastAsia" w:ascii="仿宋" w:hAnsi="仿宋" w:eastAsia="仿宋" w:cs="仿宋"/>
          <w:b/>
          <w:bCs/>
          <w:kern w:val="0"/>
          <w:szCs w:val="21"/>
        </w:rPr>
        <w:t>4.</w:t>
      </w:r>
      <w:r>
        <w:rPr>
          <w:rFonts w:hint="eastAsia" w:ascii="仿宋" w:hAnsi="仿宋" w:eastAsia="仿宋" w:cs="仿宋"/>
          <w:b/>
          <w:bCs/>
          <w:kern w:val="0"/>
          <w:szCs w:val="21"/>
          <w:lang w:val="en-US" w:eastAsia="zh-CN"/>
        </w:rPr>
        <w:t>4</w:t>
      </w:r>
      <w:r>
        <w:rPr>
          <w:rFonts w:hint="eastAsia" w:ascii="仿宋" w:hAnsi="仿宋" w:eastAsia="仿宋" w:cs="仿宋"/>
          <w:b/>
          <w:bCs/>
          <w:kern w:val="0"/>
          <w:szCs w:val="21"/>
        </w:rPr>
        <w:t xml:space="preserve"> 验收地点：</w:t>
      </w:r>
    </w:p>
    <w:p>
      <w:pPr>
        <w:widowControl/>
        <w:adjustRightInd w:val="0"/>
        <w:snapToGrid w:val="0"/>
        <w:spacing w:line="360" w:lineRule="auto"/>
        <w:ind w:firstLine="420" w:firstLineChars="200"/>
        <w:jc w:val="left"/>
        <w:rPr>
          <w:rFonts w:hint="eastAsia" w:ascii="仿宋" w:hAnsi="仿宋" w:eastAsia="仿宋" w:cs="仿宋"/>
          <w:kern w:val="0"/>
          <w:szCs w:val="21"/>
        </w:rPr>
      </w:pPr>
      <w:r>
        <w:rPr>
          <w:rFonts w:hint="eastAsia" w:ascii="仿宋" w:hAnsi="仿宋" w:eastAsia="仿宋" w:cs="仿宋"/>
          <w:kern w:val="0"/>
          <w:szCs w:val="21"/>
        </w:rPr>
        <w:t xml:space="preserve">采购人指定地点。 </w:t>
      </w:r>
    </w:p>
    <w:p>
      <w:pPr>
        <w:widowControl/>
        <w:adjustRightInd w:val="0"/>
        <w:snapToGrid w:val="0"/>
        <w:spacing w:line="360" w:lineRule="auto"/>
        <w:jc w:val="left"/>
        <w:rPr>
          <w:rFonts w:hint="eastAsia" w:ascii="仿宋" w:hAnsi="仿宋" w:eastAsia="仿宋" w:cs="仿宋"/>
          <w:b/>
          <w:bCs/>
          <w:kern w:val="0"/>
          <w:szCs w:val="21"/>
        </w:rPr>
      </w:pPr>
      <w:r>
        <w:rPr>
          <w:rFonts w:hint="eastAsia" w:ascii="仿宋" w:hAnsi="仿宋" w:eastAsia="仿宋" w:cs="仿宋"/>
          <w:b/>
          <w:bCs/>
          <w:kern w:val="0"/>
          <w:szCs w:val="21"/>
        </w:rPr>
        <w:t>4.</w:t>
      </w:r>
      <w:r>
        <w:rPr>
          <w:rFonts w:hint="eastAsia" w:ascii="仿宋" w:hAnsi="仿宋" w:eastAsia="仿宋" w:cs="仿宋"/>
          <w:b/>
          <w:bCs/>
          <w:kern w:val="0"/>
          <w:szCs w:val="21"/>
          <w:lang w:val="en-US" w:eastAsia="zh-CN"/>
        </w:rPr>
        <w:t>5</w:t>
      </w:r>
      <w:r>
        <w:rPr>
          <w:rFonts w:hint="eastAsia" w:ascii="仿宋" w:hAnsi="仿宋" w:eastAsia="仿宋" w:cs="仿宋"/>
          <w:b/>
          <w:bCs/>
          <w:kern w:val="0"/>
          <w:szCs w:val="21"/>
        </w:rPr>
        <w:t xml:space="preserve"> 售后服务承诺：</w:t>
      </w:r>
    </w:p>
    <w:p>
      <w:pPr>
        <w:widowControl/>
        <w:numPr>
          <w:ilvl w:val="0"/>
          <w:numId w:val="6"/>
        </w:numPr>
        <w:adjustRightInd w:val="0"/>
        <w:snapToGrid w:val="0"/>
        <w:spacing w:line="360" w:lineRule="auto"/>
        <w:jc w:val="left"/>
        <w:rPr>
          <w:rFonts w:hint="eastAsia" w:ascii="仿宋" w:hAnsi="仿宋" w:eastAsia="仿宋" w:cs="仿宋"/>
          <w:kern w:val="0"/>
          <w:szCs w:val="21"/>
        </w:rPr>
      </w:pPr>
      <w:r>
        <w:rPr>
          <w:rFonts w:hint="eastAsia" w:ascii="仿宋" w:hAnsi="仿宋" w:eastAsia="仿宋" w:cs="仿宋"/>
          <w:kern w:val="0"/>
          <w:szCs w:val="21"/>
        </w:rPr>
        <w:t>报价人在接到采购人工作安排通知后的</w:t>
      </w:r>
      <w:r>
        <w:rPr>
          <w:rFonts w:hint="eastAsia" w:ascii="仿宋" w:hAnsi="仿宋" w:eastAsia="仿宋" w:cs="仿宋"/>
          <w:kern w:val="0"/>
          <w:szCs w:val="21"/>
          <w:u w:val="single"/>
        </w:rPr>
        <w:t xml:space="preserve"> 24 </w:t>
      </w:r>
      <w:r>
        <w:rPr>
          <w:rFonts w:hint="eastAsia" w:ascii="仿宋" w:hAnsi="仿宋" w:eastAsia="仿宋" w:cs="仿宋"/>
          <w:kern w:val="0"/>
          <w:szCs w:val="21"/>
        </w:rPr>
        <w:t>小时内答复并处理问题。</w:t>
      </w:r>
    </w:p>
    <w:p>
      <w:pPr>
        <w:widowControl/>
        <w:numPr>
          <w:ilvl w:val="0"/>
          <w:numId w:val="6"/>
        </w:numPr>
        <w:adjustRightInd w:val="0"/>
        <w:snapToGrid w:val="0"/>
        <w:spacing w:line="360" w:lineRule="auto"/>
        <w:jc w:val="left"/>
        <w:rPr>
          <w:rFonts w:hint="eastAsia" w:ascii="仿宋" w:hAnsi="仿宋" w:eastAsia="仿宋" w:cs="仿宋"/>
          <w:kern w:val="0"/>
          <w:szCs w:val="21"/>
        </w:rPr>
      </w:pPr>
      <w:r>
        <w:rPr>
          <w:rFonts w:hint="eastAsia" w:ascii="仿宋" w:hAnsi="仿宋" w:eastAsia="仿宋" w:cs="仿宋"/>
          <w:kern w:val="0"/>
          <w:szCs w:val="21"/>
        </w:rPr>
        <w:t>报价人应及时提供与本技术规范书有关的服务。</w:t>
      </w:r>
    </w:p>
    <w:p>
      <w:pPr>
        <w:spacing w:line="360" w:lineRule="auto"/>
        <w:rPr>
          <w:rFonts w:hint="eastAsia" w:ascii="仿宋" w:hAnsi="仿宋" w:eastAsia="仿宋" w:cs="仿宋"/>
          <w:b/>
          <w:bCs/>
          <w:szCs w:val="21"/>
        </w:rPr>
      </w:pPr>
      <w:r>
        <w:rPr>
          <w:rFonts w:hint="eastAsia" w:ascii="仿宋" w:hAnsi="仿宋" w:eastAsia="仿宋" w:cs="仿宋"/>
          <w:b/>
          <w:bCs/>
          <w:szCs w:val="21"/>
        </w:rPr>
        <w:t>4.</w:t>
      </w:r>
      <w:r>
        <w:rPr>
          <w:rFonts w:hint="eastAsia" w:ascii="仿宋" w:hAnsi="仿宋" w:eastAsia="仿宋" w:cs="仿宋"/>
          <w:b/>
          <w:bCs/>
          <w:szCs w:val="21"/>
          <w:lang w:val="en-US" w:eastAsia="zh-CN"/>
        </w:rPr>
        <w:t>6</w:t>
      </w:r>
      <w:r>
        <w:rPr>
          <w:rFonts w:hint="eastAsia" w:ascii="仿宋" w:hAnsi="仿宋" w:eastAsia="仿宋" w:cs="仿宋"/>
          <w:b/>
          <w:bCs/>
          <w:szCs w:val="21"/>
        </w:rPr>
        <w:t>交付成果、验收</w:t>
      </w:r>
    </w:p>
    <w:p>
      <w:pPr>
        <w:widowControl/>
        <w:adjustRightInd w:val="0"/>
        <w:snapToGrid w:val="0"/>
        <w:spacing w:line="360" w:lineRule="auto"/>
        <w:ind w:firstLine="420" w:firstLineChars="200"/>
        <w:jc w:val="left"/>
      </w:pPr>
      <w:r>
        <w:rPr>
          <w:rFonts w:hint="eastAsia" w:ascii="仿宋" w:hAnsi="仿宋" w:eastAsia="仿宋" w:cs="仿宋"/>
          <w:szCs w:val="21"/>
        </w:rPr>
        <w:t>报价人按采购人要求完成项目</w:t>
      </w:r>
      <w:r>
        <w:rPr>
          <w:rFonts w:hint="eastAsia" w:ascii="仿宋" w:hAnsi="仿宋" w:eastAsia="仿宋" w:cs="仿宋"/>
          <w:szCs w:val="21"/>
          <w:lang w:val="en-US" w:eastAsia="zh-CN"/>
        </w:rPr>
        <w:t>出具报告</w:t>
      </w:r>
      <w:r>
        <w:rPr>
          <w:rFonts w:hint="eastAsia" w:ascii="仿宋" w:hAnsi="仿宋" w:eastAsia="仿宋" w:cs="仿宋"/>
          <w:szCs w:val="21"/>
        </w:rPr>
        <w:t>即达到验收条件，</w:t>
      </w:r>
      <w:r>
        <w:rPr>
          <w:rFonts w:hint="eastAsia" w:ascii="仿宋" w:hAnsi="仿宋" w:eastAsia="仿宋" w:cs="仿宋"/>
          <w:kern w:val="0"/>
          <w:szCs w:val="21"/>
        </w:rPr>
        <w:t>项目验收为技术规范书所要求的交付物提交给采购人完成。</w:t>
      </w:r>
    </w:p>
    <w:p>
      <w:pPr>
        <w:widowControl/>
        <w:adjustRightInd w:val="0"/>
        <w:snapToGrid w:val="0"/>
        <w:spacing w:line="360" w:lineRule="auto"/>
        <w:jc w:val="left"/>
        <w:rPr>
          <w:rFonts w:hint="eastAsia"/>
        </w:rPr>
      </w:pPr>
      <w:r>
        <w:rPr>
          <w:rFonts w:hint="eastAsia" w:ascii="仿宋" w:hAnsi="仿宋" w:eastAsia="仿宋" w:cs="仿宋"/>
          <w:b/>
          <w:bCs/>
          <w:kern w:val="0"/>
          <w:szCs w:val="21"/>
        </w:rPr>
        <w:t>4.</w:t>
      </w:r>
      <w:r>
        <w:rPr>
          <w:rFonts w:hint="eastAsia" w:ascii="仿宋" w:hAnsi="仿宋" w:eastAsia="仿宋" w:cs="仿宋"/>
          <w:b/>
          <w:bCs/>
          <w:kern w:val="0"/>
          <w:szCs w:val="21"/>
          <w:lang w:val="en-US" w:eastAsia="zh-CN"/>
        </w:rPr>
        <w:t>7</w:t>
      </w:r>
      <w:r>
        <w:rPr>
          <w:rFonts w:hint="eastAsia" w:ascii="仿宋" w:hAnsi="仿宋" w:eastAsia="仿宋" w:cs="仿宋"/>
          <w:b/>
          <w:bCs/>
          <w:kern w:val="0"/>
          <w:szCs w:val="21"/>
        </w:rPr>
        <w:t xml:space="preserve"> 采购清册及权重</w:t>
      </w:r>
    </w:p>
    <w:p>
      <w:pPr>
        <w:widowControl/>
        <w:adjustRightInd w:val="0"/>
        <w:snapToGrid w:val="0"/>
        <w:spacing w:line="360" w:lineRule="auto"/>
        <w:ind w:firstLine="361" w:firstLineChars="200"/>
        <w:jc w:val="center"/>
        <w:rPr>
          <w:rFonts w:hint="eastAsia" w:ascii="仿宋" w:hAnsi="仿宋" w:eastAsia="仿宋" w:cs="仿宋"/>
          <w:b/>
          <w:bCs/>
          <w:sz w:val="18"/>
          <w:szCs w:val="18"/>
        </w:rPr>
      </w:pPr>
      <w:r>
        <w:rPr>
          <w:rFonts w:hint="eastAsia" w:ascii="仿宋" w:hAnsi="仿宋" w:eastAsia="仿宋" w:cs="仿宋"/>
          <w:b/>
          <w:bCs/>
          <w:kern w:val="0"/>
          <w:sz w:val="18"/>
          <w:szCs w:val="18"/>
        </w:rPr>
        <w:t>服务采购清册</w:t>
      </w:r>
    </w:p>
    <w:tbl>
      <w:tblPr>
        <w:tblStyle w:val="15"/>
        <w:tblW w:w="852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36" w:type="dxa"/>
          <w:bottom w:w="0" w:type="dxa"/>
          <w:right w:w="36" w:type="dxa"/>
        </w:tblCellMar>
      </w:tblPr>
      <w:tblGrid>
        <w:gridCol w:w="630"/>
        <w:gridCol w:w="2273"/>
        <w:gridCol w:w="1547"/>
        <w:gridCol w:w="497"/>
        <w:gridCol w:w="935"/>
        <w:gridCol w:w="1596"/>
        <w:gridCol w:w="104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36" w:type="dxa"/>
            <w:bottom w:w="0" w:type="dxa"/>
            <w:right w:w="36" w:type="dxa"/>
          </w:tblCellMar>
        </w:tblPrEx>
        <w:trPr>
          <w:trHeight w:val="734" w:hRule="exact"/>
          <w:jc w:val="center"/>
        </w:trPr>
        <w:tc>
          <w:tcPr>
            <w:tcW w:w="630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hint="eastAsia" w:ascii="仿宋" w:hAnsi="仿宋" w:eastAsia="仿宋" w:cs="仿宋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kern w:val="0"/>
                <w:sz w:val="18"/>
                <w:szCs w:val="18"/>
              </w:rPr>
              <w:t>序号</w:t>
            </w:r>
          </w:p>
        </w:tc>
        <w:tc>
          <w:tcPr>
            <w:tcW w:w="2273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hint="eastAsia" w:ascii="仿宋" w:hAnsi="仿宋" w:eastAsia="仿宋" w:cs="仿宋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kern w:val="0"/>
                <w:sz w:val="18"/>
                <w:szCs w:val="18"/>
              </w:rPr>
              <w:t>名称</w:t>
            </w:r>
          </w:p>
        </w:tc>
        <w:tc>
          <w:tcPr>
            <w:tcW w:w="1547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hint="eastAsia" w:ascii="仿宋" w:hAnsi="仿宋" w:eastAsia="仿宋" w:cs="仿宋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kern w:val="0"/>
                <w:sz w:val="18"/>
                <w:szCs w:val="18"/>
              </w:rPr>
              <w:t>规格</w:t>
            </w:r>
          </w:p>
        </w:tc>
        <w:tc>
          <w:tcPr>
            <w:tcW w:w="497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hint="eastAsia" w:ascii="仿宋" w:hAnsi="仿宋" w:eastAsia="仿宋" w:cs="仿宋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kern w:val="0"/>
                <w:sz w:val="18"/>
                <w:szCs w:val="18"/>
              </w:rPr>
              <w:t>数量</w:t>
            </w:r>
          </w:p>
        </w:tc>
        <w:tc>
          <w:tcPr>
            <w:tcW w:w="935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hint="eastAsia" w:ascii="仿宋" w:hAnsi="仿宋" w:eastAsia="仿宋" w:cs="仿宋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kern w:val="0"/>
                <w:sz w:val="18"/>
                <w:szCs w:val="18"/>
              </w:rPr>
              <w:t>单位</w:t>
            </w:r>
          </w:p>
        </w:tc>
        <w:tc>
          <w:tcPr>
            <w:tcW w:w="1596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hint="eastAsia" w:ascii="仿宋" w:hAnsi="仿宋" w:eastAsia="仿宋" w:cs="仿宋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kern w:val="0"/>
                <w:sz w:val="18"/>
                <w:szCs w:val="18"/>
              </w:rPr>
              <w:t>最高限价（元）</w:t>
            </w:r>
          </w:p>
        </w:tc>
        <w:tc>
          <w:tcPr>
            <w:tcW w:w="1042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hint="eastAsia" w:ascii="仿宋" w:hAnsi="仿宋" w:eastAsia="仿宋" w:cs="仿宋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kern w:val="0"/>
                <w:sz w:val="18"/>
                <w:szCs w:val="18"/>
              </w:rPr>
              <w:t>备   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36" w:type="dxa"/>
            <w:bottom w:w="0" w:type="dxa"/>
            <w:right w:w="36" w:type="dxa"/>
          </w:tblCellMar>
        </w:tblPrEx>
        <w:trPr>
          <w:trHeight w:val="609" w:hRule="atLeast"/>
          <w:jc w:val="center"/>
        </w:trPr>
        <w:tc>
          <w:tcPr>
            <w:tcW w:w="630" w:type="dxa"/>
            <w:vAlign w:val="center"/>
          </w:tcPr>
          <w:p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hint="eastAsia" w:ascii="仿宋" w:hAnsi="仿宋" w:eastAsia="仿宋" w:cs="仿宋"/>
                <w:kern w:val="0"/>
                <w:sz w:val="18"/>
                <w:szCs w:val="18"/>
              </w:rPr>
            </w:pPr>
          </w:p>
        </w:tc>
        <w:tc>
          <w:tcPr>
            <w:tcW w:w="2273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hint="eastAsia" w:ascii="仿宋" w:hAnsi="仿宋" w:eastAsia="仿宋" w:cs="仿宋"/>
                <w:sz w:val="21"/>
                <w:szCs w:val="21"/>
              </w:rPr>
            </w:pPr>
            <w:bookmarkStart w:id="8" w:name="OLE_LINK8"/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2025年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企业所得税</w:t>
            </w:r>
          </w:p>
          <w:p>
            <w:pPr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hint="eastAsia" w:ascii="仿宋" w:hAnsi="仿宋" w:eastAsia="仿宋" w:cs="仿宋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汇算清缴</w:t>
            </w: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鉴证</w:t>
            </w:r>
            <w:bookmarkEnd w:id="8"/>
          </w:p>
        </w:tc>
        <w:tc>
          <w:tcPr>
            <w:tcW w:w="1547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hint="eastAsia" w:ascii="仿宋" w:hAnsi="仿宋" w:eastAsia="仿宋" w:cs="仿宋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sz w:val="18"/>
                <w:szCs w:val="18"/>
              </w:rPr>
              <w:t>/</w:t>
            </w:r>
          </w:p>
        </w:tc>
        <w:tc>
          <w:tcPr>
            <w:tcW w:w="497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hint="eastAsia" w:ascii="仿宋" w:hAnsi="仿宋" w:eastAsia="仿宋" w:cs="仿宋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kern w:val="0"/>
                <w:sz w:val="18"/>
                <w:szCs w:val="18"/>
              </w:rPr>
              <w:t>1</w:t>
            </w:r>
          </w:p>
        </w:tc>
        <w:tc>
          <w:tcPr>
            <w:tcW w:w="935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hint="eastAsia" w:ascii="仿宋" w:hAnsi="仿宋" w:eastAsia="仿宋" w:cs="仿宋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kern w:val="0"/>
                <w:sz w:val="18"/>
                <w:szCs w:val="18"/>
              </w:rPr>
              <w:t>项</w:t>
            </w:r>
          </w:p>
        </w:tc>
        <w:tc>
          <w:tcPr>
            <w:tcW w:w="1596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hint="default" w:ascii="仿宋" w:hAnsi="仿宋" w:eastAsia="仿宋" w:cs="仿宋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18"/>
                <w:szCs w:val="18"/>
                <w:lang w:val="en-US" w:eastAsia="zh-CN"/>
              </w:rPr>
              <w:t>19000.00</w:t>
            </w:r>
          </w:p>
        </w:tc>
        <w:tc>
          <w:tcPr>
            <w:tcW w:w="1042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hint="eastAsia" w:ascii="仿宋" w:hAnsi="仿宋" w:eastAsia="仿宋" w:cs="仿宋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kern w:val="0"/>
                <w:sz w:val="18"/>
                <w:szCs w:val="18"/>
              </w:rPr>
              <w:t>/</w:t>
            </w:r>
          </w:p>
        </w:tc>
      </w:tr>
    </w:tbl>
    <w:p>
      <w:pPr>
        <w:widowControl/>
        <w:adjustRightInd w:val="0"/>
        <w:snapToGrid w:val="0"/>
        <w:spacing w:line="360" w:lineRule="auto"/>
        <w:jc w:val="left"/>
        <w:rPr>
          <w:rFonts w:hint="eastAsia" w:ascii="仿宋" w:hAnsi="仿宋" w:eastAsia="仿宋" w:cs="仿宋"/>
          <w:b/>
          <w:bCs/>
          <w:kern w:val="0"/>
          <w:szCs w:val="21"/>
          <w:highlight w:val="none"/>
        </w:rPr>
      </w:pPr>
    </w:p>
    <w:p>
      <w:pPr>
        <w:widowControl/>
        <w:adjustRightInd w:val="0"/>
        <w:snapToGrid w:val="0"/>
        <w:spacing w:line="360" w:lineRule="auto"/>
        <w:jc w:val="left"/>
        <w:rPr>
          <w:rFonts w:hint="eastAsia" w:ascii="仿宋" w:hAnsi="仿宋" w:eastAsia="仿宋" w:cs="仿宋"/>
          <w:b/>
          <w:bCs/>
          <w:kern w:val="0"/>
          <w:szCs w:val="21"/>
          <w:highlight w:val="none"/>
        </w:rPr>
      </w:pPr>
      <w:r>
        <w:rPr>
          <w:rFonts w:hint="eastAsia" w:ascii="仿宋" w:hAnsi="仿宋" w:eastAsia="仿宋" w:cs="仿宋"/>
          <w:b/>
          <w:bCs/>
          <w:kern w:val="0"/>
          <w:szCs w:val="21"/>
          <w:highlight w:val="none"/>
          <w:lang w:val="en-US" w:eastAsia="zh-CN"/>
        </w:rPr>
        <w:t>五</w:t>
      </w:r>
      <w:r>
        <w:rPr>
          <w:rFonts w:hint="eastAsia" w:ascii="仿宋" w:hAnsi="仿宋" w:eastAsia="仿宋" w:cs="仿宋"/>
          <w:b/>
          <w:bCs/>
          <w:kern w:val="0"/>
          <w:szCs w:val="21"/>
          <w:highlight w:val="none"/>
        </w:rPr>
        <w:t>.其他要求</w:t>
      </w:r>
    </w:p>
    <w:p>
      <w:pPr>
        <w:numPr>
          <w:ilvl w:val="0"/>
          <w:numId w:val="0"/>
        </w:numPr>
        <w:rPr>
          <w:rFonts w:hint="eastAsia" w:ascii="仿宋" w:hAnsi="仿宋" w:eastAsia="仿宋" w:cs="仿宋"/>
          <w:b w:val="0"/>
          <w:bCs w:val="0"/>
          <w:szCs w:val="21"/>
          <w:highlight w:val="none"/>
        </w:rPr>
      </w:pPr>
      <w:bookmarkStart w:id="9" w:name="OLE_LINK7"/>
      <w:r>
        <w:rPr>
          <w:rFonts w:hint="eastAsia" w:ascii="仿宋" w:hAnsi="仿宋" w:eastAsia="仿宋" w:cs="仿宋"/>
          <w:b w:val="0"/>
          <w:bCs w:val="0"/>
          <w:szCs w:val="21"/>
          <w:highlight w:val="none"/>
          <w:lang w:val="en-US" w:eastAsia="zh-CN"/>
        </w:rPr>
        <w:t>1.</w:t>
      </w:r>
      <w:r>
        <w:rPr>
          <w:rFonts w:hint="eastAsia" w:ascii="仿宋" w:hAnsi="仿宋" w:eastAsia="仿宋" w:cs="仿宋"/>
          <w:b w:val="0"/>
          <w:bCs w:val="0"/>
          <w:szCs w:val="21"/>
          <w:highlight w:val="none"/>
        </w:rPr>
        <w:t>报价人需</w:t>
      </w:r>
      <w:bookmarkStart w:id="10" w:name="OLE_LINK9"/>
      <w:r>
        <w:rPr>
          <w:rFonts w:hint="eastAsia" w:ascii="仿宋" w:hAnsi="仿宋" w:eastAsia="仿宋" w:cs="仿宋"/>
          <w:b w:val="0"/>
          <w:bCs w:val="0"/>
          <w:szCs w:val="21"/>
          <w:highlight w:val="none"/>
        </w:rPr>
        <w:t>具备</w:t>
      </w:r>
      <w:r>
        <w:rPr>
          <w:rFonts w:hint="eastAsia" w:ascii="仿宋" w:hAnsi="仿宋" w:eastAsia="仿宋" w:cs="仿宋"/>
          <w:b w:val="0"/>
          <w:bCs w:val="0"/>
          <w:szCs w:val="21"/>
          <w:highlight w:val="none"/>
          <w:lang w:val="en-US" w:eastAsia="zh-CN"/>
        </w:rPr>
        <w:t>税务审计的机构资质和人员资质</w:t>
      </w:r>
      <w:bookmarkEnd w:id="10"/>
      <w:r>
        <w:rPr>
          <w:rFonts w:hint="eastAsia" w:ascii="仿宋" w:hAnsi="仿宋" w:eastAsia="仿宋" w:cs="仿宋"/>
          <w:b w:val="0"/>
          <w:bCs w:val="0"/>
          <w:szCs w:val="21"/>
          <w:highlight w:val="none"/>
        </w:rPr>
        <w:t>；</w:t>
      </w:r>
    </w:p>
    <w:p>
      <w:pPr>
        <w:numPr>
          <w:ilvl w:val="0"/>
          <w:numId w:val="0"/>
        </w:numPr>
        <w:rPr>
          <w:rFonts w:hint="eastAsia" w:ascii="仿宋" w:hAnsi="仿宋" w:eastAsia="仿宋" w:cs="仿宋"/>
          <w:b w:val="0"/>
          <w:bCs w:val="0"/>
          <w:szCs w:val="21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Cs w:val="21"/>
          <w:highlight w:val="none"/>
          <w:lang w:val="en-US" w:eastAsia="zh-CN"/>
        </w:rPr>
        <w:t>2.本项目采用最低价中标法，在满足采购需求、质量标准及服务要求的前提下，报价最低者为中标人。</w:t>
      </w:r>
      <w:bookmarkEnd w:id="9"/>
    </w:p>
    <w:p>
      <w:pPr>
        <w:numPr>
          <w:ilvl w:val="0"/>
          <w:numId w:val="0"/>
        </w:numPr>
        <w:rPr>
          <w:rFonts w:hint="eastAsia" w:ascii="仿宋" w:hAnsi="仿宋" w:eastAsia="仿宋" w:cs="仿宋"/>
          <w:b w:val="0"/>
          <w:bCs w:val="0"/>
          <w:szCs w:val="21"/>
          <w:highlight w:val="none"/>
          <w:lang w:val="en-US" w:eastAsia="zh-CN"/>
        </w:rPr>
        <w:sectPr>
          <w:footerReference r:id="rId3" w:type="default"/>
          <w:pgSz w:w="11906" w:h="16838"/>
          <w:pgMar w:top="1440" w:right="1800" w:bottom="1440" w:left="1800" w:header="851" w:footer="992" w:gutter="0"/>
          <w:pgNumType w:fmt="numberInDash"/>
          <w:cols w:space="720" w:num="1"/>
          <w:docGrid w:type="lines" w:linePitch="312" w:charSpace="0"/>
        </w:sectPr>
      </w:pPr>
      <w:r>
        <w:rPr>
          <w:rFonts w:hint="eastAsia" w:ascii="仿宋" w:hAnsi="仿宋" w:eastAsia="仿宋" w:cs="仿宋"/>
          <w:b w:val="0"/>
          <w:bCs w:val="0"/>
          <w:szCs w:val="21"/>
          <w:highlight w:val="none"/>
          <w:lang w:val="en-US" w:eastAsia="zh-CN"/>
        </w:rPr>
        <w:t>3.报价人完成相应阶段服务后提供相关成果交付物给采购人，经采购人验收合格后，于验收完成之日起7日内，按中标金额向采购人开具税率为6%的增值税专用发票，采购人在收到发票后30日内完成付款。</w:t>
      </w:r>
      <w:bookmarkStart w:id="11" w:name="_GoBack"/>
      <w:bookmarkEnd w:id="11"/>
    </w:p>
    <w:p>
      <w:pPr>
        <w:pStyle w:val="2"/>
        <w:rPr>
          <w:sz w:val="24"/>
          <w:szCs w:val="24"/>
        </w:rPr>
      </w:pPr>
    </w:p>
    <w:sectPr>
      <w:footerReference r:id="rId4" w:type="default"/>
      <w:pgSz w:w="11906" w:h="16838"/>
      <w:pgMar w:top="1440" w:right="1800" w:bottom="1440" w:left="1800" w:header="851" w:footer="992" w:gutter="0"/>
      <w:pgNumType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1" w:fontKey="{C7090FA3-68A1-45A6-AFAB-2B3B8BDB9CD4}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0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0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hint="eastAsia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0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- 4 -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rPr>
                              <w:rFonts w:hint="eastAsia"/>
                            </w:rPr>
                            <w:t>7</w:t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0O3bcsAgAAVQ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pm/T9sLVA3CpkSOS6B4brdDsm57Z3uRn&#10;EHOm6wxv+aZC8i3z4YE5tAIejGEJ91gKaZDE9BYlpXFf/3Ue41EheCmp0VoZ1ZgkSuQHjcoBMAyG&#10;G4z9YOijujPo1TGG0PLWxAUX5GAWzqgvmKBVzAEX0xyZMhoG8y507Y0J5GK1aoPQa5aFrd5ZHqGj&#10;eN6ujgECtrpGUToleq3QbW1l+smI7fznvo16+hssHwF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z&#10;SVju0AAAAAUBAAAPAAAAAAAAAAEAIAAAACIAAABkcnMvZG93bnJldi54bWxQSwECFAAUAAAACACH&#10;TuJAvQ7dtywCAABVBAAADgAAAAAAAAABACAAAAAfAQAAZHJzL2Uyb0RvYy54bWxQSwUGAAAAAAYA&#10;BgBZAQAAv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0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- 4 -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rPr>
                        <w:rFonts w:hint="eastAsia"/>
                      </w:rPr>
                      <w:t>7</w:t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  <w:r>
      <w:rPr>
        <w:rFonts w:hint="eastAsia"/>
      </w:rPr>
      <w:tab/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399E399"/>
    <w:multiLevelType w:val="singleLevel"/>
    <w:tmpl w:val="9399E399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">
    <w:nsid w:val="A13E48A6"/>
    <w:multiLevelType w:val="singleLevel"/>
    <w:tmpl w:val="A13E48A6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2">
    <w:nsid w:val="A908C841"/>
    <w:multiLevelType w:val="singleLevel"/>
    <w:tmpl w:val="A908C841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3">
    <w:nsid w:val="B185F0AE"/>
    <w:multiLevelType w:val="singleLevel"/>
    <w:tmpl w:val="B185F0AE"/>
    <w:lvl w:ilvl="0" w:tentative="0">
      <w:start w:val="2"/>
      <w:numFmt w:val="chineseCounting"/>
      <w:lvlText w:val="%1."/>
      <w:lvlJc w:val="left"/>
      <w:pPr>
        <w:tabs>
          <w:tab w:val="left" w:pos="312"/>
        </w:tabs>
      </w:pPr>
      <w:rPr>
        <w:rFonts w:hint="eastAsia"/>
      </w:rPr>
    </w:lvl>
  </w:abstractNum>
  <w:abstractNum w:abstractNumId="4">
    <w:nsid w:val="E574A3D7"/>
    <w:multiLevelType w:val="singleLevel"/>
    <w:tmpl w:val="E574A3D7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5">
    <w:nsid w:val="0C4555FD"/>
    <w:multiLevelType w:val="singleLevel"/>
    <w:tmpl w:val="0C4555FD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6">
    <w:nsid w:val="33D079F8"/>
    <w:multiLevelType w:val="singleLevel"/>
    <w:tmpl w:val="33D079F8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2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I4YTA3NTg2YjE0NmQ2Yjk1YmYyMTU4YjI3NmJlYzUifQ=="/>
    <w:docVar w:name="KSO_WPS_MARK_KEY" w:val="01300cc6-ef2f-40a9-b8f0-fb4b4405e6d2"/>
  </w:docVars>
  <w:rsids>
    <w:rsidRoot w:val="0B496AB8"/>
    <w:rsid w:val="000F01D9"/>
    <w:rsid w:val="000F47DF"/>
    <w:rsid w:val="001E6462"/>
    <w:rsid w:val="0036392B"/>
    <w:rsid w:val="003F2E9B"/>
    <w:rsid w:val="0040315F"/>
    <w:rsid w:val="004760CC"/>
    <w:rsid w:val="004943C6"/>
    <w:rsid w:val="00500745"/>
    <w:rsid w:val="00564B1E"/>
    <w:rsid w:val="005A4D59"/>
    <w:rsid w:val="005A76CD"/>
    <w:rsid w:val="005D47A3"/>
    <w:rsid w:val="005F45F4"/>
    <w:rsid w:val="00684BA2"/>
    <w:rsid w:val="00687CB5"/>
    <w:rsid w:val="00766636"/>
    <w:rsid w:val="007730ED"/>
    <w:rsid w:val="00780252"/>
    <w:rsid w:val="007A5908"/>
    <w:rsid w:val="007D34CC"/>
    <w:rsid w:val="008C7A68"/>
    <w:rsid w:val="009519AA"/>
    <w:rsid w:val="009D6C96"/>
    <w:rsid w:val="00A818F6"/>
    <w:rsid w:val="00AE49B0"/>
    <w:rsid w:val="00B253FD"/>
    <w:rsid w:val="00BD4BDF"/>
    <w:rsid w:val="00D05BF8"/>
    <w:rsid w:val="00DD3C47"/>
    <w:rsid w:val="00DE783B"/>
    <w:rsid w:val="00DF4AA0"/>
    <w:rsid w:val="00DF5AB0"/>
    <w:rsid w:val="00E64DC3"/>
    <w:rsid w:val="00E7204D"/>
    <w:rsid w:val="00E803AB"/>
    <w:rsid w:val="014A7ADC"/>
    <w:rsid w:val="02123F53"/>
    <w:rsid w:val="02B64381"/>
    <w:rsid w:val="02E81245"/>
    <w:rsid w:val="030E119B"/>
    <w:rsid w:val="037F1D87"/>
    <w:rsid w:val="042325A8"/>
    <w:rsid w:val="06183496"/>
    <w:rsid w:val="069C5030"/>
    <w:rsid w:val="06B6021E"/>
    <w:rsid w:val="087E2573"/>
    <w:rsid w:val="08A50D30"/>
    <w:rsid w:val="09E32030"/>
    <w:rsid w:val="0B496AB8"/>
    <w:rsid w:val="0D6C6FFC"/>
    <w:rsid w:val="0DA51436"/>
    <w:rsid w:val="0F4D15C5"/>
    <w:rsid w:val="10060CE1"/>
    <w:rsid w:val="12326D28"/>
    <w:rsid w:val="155E115F"/>
    <w:rsid w:val="15853D9C"/>
    <w:rsid w:val="16406610"/>
    <w:rsid w:val="16416786"/>
    <w:rsid w:val="17964283"/>
    <w:rsid w:val="184A2154"/>
    <w:rsid w:val="1880209F"/>
    <w:rsid w:val="1A58299E"/>
    <w:rsid w:val="1C7C7028"/>
    <w:rsid w:val="1D6332C3"/>
    <w:rsid w:val="1D8B5A09"/>
    <w:rsid w:val="1DA51CDD"/>
    <w:rsid w:val="1FCB1B55"/>
    <w:rsid w:val="21E872A6"/>
    <w:rsid w:val="22AB3347"/>
    <w:rsid w:val="22F9768B"/>
    <w:rsid w:val="23225886"/>
    <w:rsid w:val="2386460C"/>
    <w:rsid w:val="23AB3753"/>
    <w:rsid w:val="24D348AC"/>
    <w:rsid w:val="2585331D"/>
    <w:rsid w:val="26CF1691"/>
    <w:rsid w:val="270D7567"/>
    <w:rsid w:val="27A47ADE"/>
    <w:rsid w:val="27DA2611"/>
    <w:rsid w:val="2A9F0F94"/>
    <w:rsid w:val="2DC4361D"/>
    <w:rsid w:val="2E88639D"/>
    <w:rsid w:val="2FB611C3"/>
    <w:rsid w:val="302B55BD"/>
    <w:rsid w:val="311833C9"/>
    <w:rsid w:val="32367F4F"/>
    <w:rsid w:val="33247B60"/>
    <w:rsid w:val="34290560"/>
    <w:rsid w:val="351F7640"/>
    <w:rsid w:val="365E6C24"/>
    <w:rsid w:val="36640C9D"/>
    <w:rsid w:val="36825278"/>
    <w:rsid w:val="374C2D34"/>
    <w:rsid w:val="37B759F1"/>
    <w:rsid w:val="385E33F2"/>
    <w:rsid w:val="3864573B"/>
    <w:rsid w:val="39DA3E3D"/>
    <w:rsid w:val="3AA47E97"/>
    <w:rsid w:val="3C367E66"/>
    <w:rsid w:val="3CC34A0E"/>
    <w:rsid w:val="3CF40011"/>
    <w:rsid w:val="3D70388E"/>
    <w:rsid w:val="3DC45517"/>
    <w:rsid w:val="3EA36FB8"/>
    <w:rsid w:val="3ECD47FA"/>
    <w:rsid w:val="3F945576"/>
    <w:rsid w:val="3F954ACC"/>
    <w:rsid w:val="404B0529"/>
    <w:rsid w:val="41474FAB"/>
    <w:rsid w:val="41B603F9"/>
    <w:rsid w:val="41CC723D"/>
    <w:rsid w:val="423E1A74"/>
    <w:rsid w:val="42FE3875"/>
    <w:rsid w:val="43FD5B2D"/>
    <w:rsid w:val="44354C47"/>
    <w:rsid w:val="460625D2"/>
    <w:rsid w:val="47804667"/>
    <w:rsid w:val="47C56D56"/>
    <w:rsid w:val="47D46A8D"/>
    <w:rsid w:val="4AE93EEB"/>
    <w:rsid w:val="4C034A63"/>
    <w:rsid w:val="4C1A2475"/>
    <w:rsid w:val="4D65200F"/>
    <w:rsid w:val="4DCA41B4"/>
    <w:rsid w:val="4F085632"/>
    <w:rsid w:val="4F521086"/>
    <w:rsid w:val="4F5F2349"/>
    <w:rsid w:val="4F67373F"/>
    <w:rsid w:val="51B2537C"/>
    <w:rsid w:val="51E62F85"/>
    <w:rsid w:val="536067EF"/>
    <w:rsid w:val="53B425FE"/>
    <w:rsid w:val="55A03FD5"/>
    <w:rsid w:val="56213581"/>
    <w:rsid w:val="56AE6BB1"/>
    <w:rsid w:val="572D7A00"/>
    <w:rsid w:val="584E7351"/>
    <w:rsid w:val="594A6206"/>
    <w:rsid w:val="59E66889"/>
    <w:rsid w:val="59FD1C19"/>
    <w:rsid w:val="5A2369E2"/>
    <w:rsid w:val="5A5C6842"/>
    <w:rsid w:val="5ABD2D80"/>
    <w:rsid w:val="5CA327E2"/>
    <w:rsid w:val="5D0964D7"/>
    <w:rsid w:val="5D24642F"/>
    <w:rsid w:val="5DE40802"/>
    <w:rsid w:val="5E6802D2"/>
    <w:rsid w:val="5F2E70E2"/>
    <w:rsid w:val="5F694537"/>
    <w:rsid w:val="600F3CAA"/>
    <w:rsid w:val="60231E43"/>
    <w:rsid w:val="614149A0"/>
    <w:rsid w:val="619346A7"/>
    <w:rsid w:val="61C832F9"/>
    <w:rsid w:val="62D6562F"/>
    <w:rsid w:val="634379A6"/>
    <w:rsid w:val="63696264"/>
    <w:rsid w:val="63E34892"/>
    <w:rsid w:val="641B54CF"/>
    <w:rsid w:val="65331F9D"/>
    <w:rsid w:val="667B252D"/>
    <w:rsid w:val="6712276E"/>
    <w:rsid w:val="67226D85"/>
    <w:rsid w:val="686477A2"/>
    <w:rsid w:val="68D84F92"/>
    <w:rsid w:val="68E951CF"/>
    <w:rsid w:val="692A07F0"/>
    <w:rsid w:val="6A3774AE"/>
    <w:rsid w:val="6A3D6A20"/>
    <w:rsid w:val="6A6073AA"/>
    <w:rsid w:val="6A90057A"/>
    <w:rsid w:val="6AF718E5"/>
    <w:rsid w:val="6B7C4AA2"/>
    <w:rsid w:val="6BCF6090"/>
    <w:rsid w:val="6BD6020E"/>
    <w:rsid w:val="6C8D1EEE"/>
    <w:rsid w:val="6E32225B"/>
    <w:rsid w:val="6E391EF0"/>
    <w:rsid w:val="6E5A4C86"/>
    <w:rsid w:val="6E804558"/>
    <w:rsid w:val="7005337A"/>
    <w:rsid w:val="702673BD"/>
    <w:rsid w:val="71512718"/>
    <w:rsid w:val="72581325"/>
    <w:rsid w:val="725A72D6"/>
    <w:rsid w:val="725C3DCE"/>
    <w:rsid w:val="73897365"/>
    <w:rsid w:val="73E6218B"/>
    <w:rsid w:val="74CD2319"/>
    <w:rsid w:val="758B64FA"/>
    <w:rsid w:val="75BB144B"/>
    <w:rsid w:val="75C5092F"/>
    <w:rsid w:val="765B22E2"/>
    <w:rsid w:val="76F94263"/>
    <w:rsid w:val="78292797"/>
    <w:rsid w:val="78F162D2"/>
    <w:rsid w:val="79FE7F34"/>
    <w:rsid w:val="7A9A229C"/>
    <w:rsid w:val="7B897CC5"/>
    <w:rsid w:val="7C5D7B71"/>
    <w:rsid w:val="7F004096"/>
    <w:rsid w:val="7F2E7899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qFormat="1"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pageBreakBefore/>
      <w:spacing w:line="576" w:lineRule="auto"/>
      <w:jc w:val="center"/>
      <w:outlineLvl w:val="0"/>
    </w:pPr>
    <w:rPr>
      <w:rFonts w:ascii="Times New Roman" w:hAnsi="Times New Roman"/>
      <w:b/>
      <w:kern w:val="44"/>
      <w:sz w:val="28"/>
    </w:rPr>
  </w:style>
  <w:style w:type="paragraph" w:styleId="5">
    <w:name w:val="heading 2"/>
    <w:basedOn w:val="1"/>
    <w:next w:val="1"/>
    <w:link w:val="19"/>
    <w:unhideWhenUsed/>
    <w:qFormat/>
    <w:uiPriority w:val="0"/>
    <w:pPr>
      <w:keepNext/>
      <w:keepLines/>
      <w:snapToGrid w:val="0"/>
      <w:spacing w:line="560" w:lineRule="exact"/>
      <w:ind w:firstLine="800"/>
      <w:jc w:val="left"/>
      <w:outlineLvl w:val="1"/>
    </w:pPr>
    <w:rPr>
      <w:rFonts w:ascii="Arial" w:hAnsi="Arial" w:eastAsia="仿宋"/>
      <w:sz w:val="32"/>
    </w:rPr>
  </w:style>
  <w:style w:type="character" w:default="1" w:styleId="17">
    <w:name w:val="Default Paragraph Font"/>
    <w:semiHidden/>
    <w:unhideWhenUsed/>
    <w:qFormat/>
    <w:uiPriority w:val="1"/>
  </w:style>
  <w:style w:type="table" w:default="1" w:styleId="1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/>
    </w:pPr>
  </w:style>
  <w:style w:type="paragraph" w:styleId="3">
    <w:name w:val="Title"/>
    <w:basedOn w:val="1"/>
    <w:qFormat/>
    <w:uiPriority w:val="0"/>
    <w:pPr>
      <w:spacing w:before="240" w:after="60"/>
      <w:jc w:val="center"/>
      <w:outlineLvl w:val="0"/>
    </w:pPr>
    <w:rPr>
      <w:rFonts w:ascii="Arial" w:hAnsi="Arial"/>
      <w:b/>
      <w:sz w:val="32"/>
    </w:rPr>
  </w:style>
  <w:style w:type="paragraph" w:styleId="6">
    <w:name w:val="annotation text"/>
    <w:basedOn w:val="1"/>
    <w:qFormat/>
    <w:uiPriority w:val="0"/>
    <w:pPr>
      <w:jc w:val="left"/>
    </w:pPr>
  </w:style>
  <w:style w:type="paragraph" w:styleId="7">
    <w:name w:val="Body Text Indent"/>
    <w:basedOn w:val="1"/>
    <w:next w:val="1"/>
    <w:qFormat/>
    <w:uiPriority w:val="0"/>
    <w:pPr>
      <w:spacing w:after="120"/>
      <w:ind w:left="420"/>
    </w:pPr>
  </w:style>
  <w:style w:type="paragraph" w:styleId="8">
    <w:name w:val="toc 3"/>
    <w:basedOn w:val="1"/>
    <w:next w:val="1"/>
    <w:qFormat/>
    <w:uiPriority w:val="0"/>
    <w:pPr>
      <w:ind w:left="840" w:leftChars="400"/>
    </w:pPr>
  </w:style>
  <w:style w:type="paragraph" w:styleId="9">
    <w:name w:val="Balloon Text"/>
    <w:basedOn w:val="1"/>
    <w:link w:val="22"/>
    <w:qFormat/>
    <w:uiPriority w:val="0"/>
    <w:rPr>
      <w:sz w:val="18"/>
      <w:szCs w:val="18"/>
    </w:rPr>
  </w:style>
  <w:style w:type="paragraph" w:styleId="10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11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12">
    <w:name w:val="Body Text 2"/>
    <w:basedOn w:val="1"/>
    <w:qFormat/>
    <w:uiPriority w:val="0"/>
    <w:pPr>
      <w:spacing w:after="120" w:line="480" w:lineRule="auto"/>
    </w:pPr>
  </w:style>
  <w:style w:type="paragraph" w:styleId="13">
    <w:name w:val="Body Text First Indent 2"/>
    <w:basedOn w:val="7"/>
    <w:next w:val="14"/>
    <w:qFormat/>
    <w:uiPriority w:val="0"/>
    <w:pPr>
      <w:ind w:left="200" w:leftChars="200" w:firstLine="420" w:firstLineChars="200"/>
    </w:pPr>
  </w:style>
  <w:style w:type="paragraph" w:customStyle="1" w:styleId="14">
    <w:name w:val="正文内容"/>
    <w:basedOn w:val="1"/>
    <w:qFormat/>
    <w:uiPriority w:val="0"/>
    <w:pPr>
      <w:ind w:firstLine="200" w:firstLineChars="200"/>
      <w:jc w:val="left"/>
    </w:pPr>
    <w:rPr>
      <w:rFonts w:ascii="Times New Roman" w:hAnsi="Times New Roman" w:eastAsia="仿宋_GB2312"/>
      <w:sz w:val="24"/>
    </w:rPr>
  </w:style>
  <w:style w:type="table" w:styleId="16">
    <w:name w:val="Table Grid"/>
    <w:basedOn w:val="15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8">
    <w:name w:val="annotation reference"/>
    <w:basedOn w:val="17"/>
    <w:qFormat/>
    <w:uiPriority w:val="0"/>
    <w:rPr>
      <w:sz w:val="21"/>
      <w:szCs w:val="21"/>
    </w:rPr>
  </w:style>
  <w:style w:type="character" w:customStyle="1" w:styleId="19">
    <w:name w:val="标题 2 字符"/>
    <w:basedOn w:val="17"/>
    <w:link w:val="5"/>
    <w:qFormat/>
    <w:uiPriority w:val="0"/>
    <w:rPr>
      <w:rFonts w:ascii="Cambria" w:hAnsi="Cambria" w:eastAsia="宋体" w:cs="Times New Roman"/>
      <w:b/>
      <w:bCs/>
      <w:kern w:val="2"/>
      <w:sz w:val="32"/>
      <w:szCs w:val="32"/>
    </w:rPr>
  </w:style>
  <w:style w:type="paragraph" w:customStyle="1" w:styleId="20">
    <w:name w:val="GEDI正文样式"/>
    <w:basedOn w:val="1"/>
    <w:qFormat/>
    <w:uiPriority w:val="0"/>
    <w:pPr>
      <w:adjustRightInd w:val="0"/>
      <w:snapToGrid w:val="0"/>
      <w:spacing w:line="480" w:lineRule="atLeast"/>
      <w:ind w:firstLine="480" w:firstLineChars="200"/>
    </w:pPr>
    <w:rPr>
      <w:szCs w:val="24"/>
    </w:rPr>
  </w:style>
  <w:style w:type="paragraph" w:customStyle="1" w:styleId="21">
    <w:name w:val="正文文本缩进1"/>
    <w:basedOn w:val="1"/>
    <w:qFormat/>
    <w:uiPriority w:val="0"/>
    <w:pPr>
      <w:spacing w:line="300" w:lineRule="auto"/>
      <w:ind w:firstLine="480"/>
    </w:pPr>
    <w:rPr>
      <w:rFonts w:ascii="宋体" w:hAnsi="宋体"/>
      <w:kern w:val="0"/>
      <w:sz w:val="24"/>
      <w:szCs w:val="24"/>
    </w:rPr>
  </w:style>
  <w:style w:type="character" w:customStyle="1" w:styleId="22">
    <w:name w:val="批注框文本 字符"/>
    <w:basedOn w:val="17"/>
    <w:link w:val="9"/>
    <w:qFormat/>
    <w:uiPriority w:val="0"/>
    <w:rPr>
      <w:rFonts w:ascii="Calibri" w:hAnsi="Calibri"/>
      <w:kern w:val="2"/>
      <w:sz w:val="18"/>
      <w:szCs w:val="18"/>
    </w:rPr>
  </w:style>
  <w:style w:type="paragraph" w:customStyle="1" w:styleId="23">
    <w:name w:val="p0"/>
    <w:basedOn w:val="1"/>
    <w:qFormat/>
    <w:uiPriority w:val="0"/>
    <w:pPr>
      <w:widowControl/>
    </w:pPr>
    <w:rPr>
      <w:rFonts w:ascii="Times New Roman" w:hAnsi="Times New Roman"/>
      <w:kern w:val="0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dw</Company>
  <Pages>4</Pages>
  <Words>4235</Words>
  <Characters>4397</Characters>
  <Lines>37</Lines>
  <Paragraphs>10</Paragraphs>
  <TotalTime>27</TotalTime>
  <ScaleCrop>false</ScaleCrop>
  <LinksUpToDate>false</LinksUpToDate>
  <CharactersWithSpaces>5116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2019-03-11T01:45:00Z</dcterms:created>
  <dc:creator>杨雯雁</dc:creator>
  <cp:lastModifiedBy>赵素娟</cp:lastModifiedBy>
  <dcterms:modified xsi:type="dcterms:W3CDTF">2026-03-17T02:10:38Z</dcterms:modified>
  <cp:revision>31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9C9843EFB23748CAA41B273F24F12F2C</vt:lpwstr>
  </property>
  <property fmtid="{D5CDD505-2E9C-101B-9397-08002B2CF9AE}" pid="4" name="KSOTemplateDocerSaveRecord">
    <vt:lpwstr>eyJoZGlkIjoiZDY1YjYyZDgxYmU0YTdkNWVhY2I2YzcwMTI1ZTI0Y2MiLCJ1c2VySWQiOiI0Nzg2NjA5NTQifQ==</vt:lpwstr>
  </property>
</Properties>
</file>