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jc w:val="both"/>
        <w:textAlignment w:val="auto"/>
        <w:outlineLvl w:val="0"/>
        <w:rPr>
          <w:rFonts w:hint="eastAsia" w:ascii="宋体" w:hAnsi="宋体" w:eastAsia="宋体" w:cs="宋体"/>
          <w:b/>
          <w:bCs/>
          <w:color w:val="auto"/>
          <w:sz w:val="32"/>
          <w:szCs w:val="32"/>
          <w:highlight w:val="none"/>
          <w:lang w:val="en-US" w:eastAsia="zh-CN"/>
        </w:rPr>
      </w:pPr>
      <w:bookmarkStart w:id="0" w:name="_Toc6166"/>
      <w:r>
        <w:rPr>
          <w:rFonts w:hint="eastAsia" w:ascii="宋体" w:hAnsi="宋体" w:eastAsia="宋体" w:cs="宋体"/>
          <w:b/>
          <w:bCs/>
          <w:color w:val="auto"/>
          <w:sz w:val="32"/>
          <w:szCs w:val="32"/>
          <w:highlight w:val="none"/>
          <w:lang w:val="en-US" w:eastAsia="zh-CN"/>
        </w:rPr>
        <w:t>附件3：</w:t>
      </w:r>
      <w:bookmarkEnd w:id="0"/>
    </w:p>
    <w:p>
      <w:pPr>
        <w:keepNext w:val="0"/>
        <w:keepLines w:val="0"/>
        <w:pageBreakBefore w:val="0"/>
        <w:widowControl w:val="0"/>
        <w:kinsoku/>
        <w:wordWrap/>
        <w:overflowPunct/>
        <w:topLinePunct w:val="0"/>
        <w:autoSpaceDE/>
        <w:autoSpaceDN/>
        <w:bidi w:val="0"/>
        <w:adjustRightInd/>
        <w:snapToGrid/>
        <w:spacing w:line="540" w:lineRule="exact"/>
        <w:jc w:val="center"/>
        <w:textAlignment w:val="auto"/>
        <w:outlineLvl w:val="0"/>
        <w:rPr>
          <w:rFonts w:hint="eastAsia" w:ascii="宋体" w:hAnsi="宋体" w:eastAsia="宋体" w:cs="宋体"/>
          <w:b/>
          <w:bCs/>
          <w:color w:val="auto"/>
          <w:sz w:val="32"/>
          <w:szCs w:val="32"/>
          <w:highlight w:val="none"/>
        </w:rPr>
      </w:pPr>
      <w:bookmarkStart w:id="1" w:name="_Toc9592"/>
      <w:r>
        <w:rPr>
          <w:rFonts w:hint="eastAsia" w:ascii="宋体" w:hAnsi="宋体" w:eastAsia="宋体" w:cs="宋体"/>
          <w:b/>
          <w:bCs/>
          <w:color w:val="auto"/>
          <w:sz w:val="32"/>
          <w:szCs w:val="32"/>
          <w:highlight w:val="none"/>
          <w:lang w:val="en-US" w:eastAsia="zh-CN"/>
        </w:rPr>
        <w:t>电梯维护</w:t>
      </w:r>
      <w:r>
        <w:rPr>
          <w:rFonts w:hint="eastAsia" w:ascii="宋体" w:hAnsi="宋体" w:eastAsia="宋体" w:cs="宋体"/>
          <w:b/>
          <w:bCs/>
          <w:color w:val="auto"/>
          <w:sz w:val="32"/>
          <w:szCs w:val="32"/>
          <w:highlight w:val="none"/>
        </w:rPr>
        <w:t>保养</w:t>
      </w:r>
      <w:r>
        <w:rPr>
          <w:rFonts w:hint="eastAsia" w:ascii="宋体" w:hAnsi="宋体" w:eastAsia="宋体" w:cs="宋体"/>
          <w:b/>
          <w:bCs/>
          <w:color w:val="auto"/>
          <w:sz w:val="32"/>
          <w:szCs w:val="32"/>
          <w:highlight w:val="none"/>
          <w:lang w:val="en-US" w:eastAsia="zh-CN"/>
        </w:rPr>
        <w:t>服务项目</w:t>
      </w:r>
      <w:r>
        <w:rPr>
          <w:rFonts w:hint="eastAsia" w:ascii="宋体" w:hAnsi="宋体" w:eastAsia="宋体" w:cs="宋体"/>
          <w:b/>
          <w:bCs/>
          <w:color w:val="auto"/>
          <w:sz w:val="32"/>
          <w:szCs w:val="32"/>
          <w:highlight w:val="none"/>
        </w:rPr>
        <w:t>技术规范书</w:t>
      </w:r>
      <w:bookmarkEnd w:id="1"/>
    </w:p>
    <w:p>
      <w:pPr>
        <w:keepNext w:val="0"/>
        <w:keepLines w:val="0"/>
        <w:pageBreakBefore w:val="0"/>
        <w:widowControl w:val="0"/>
        <w:kinsoku/>
        <w:wordWrap/>
        <w:overflowPunct/>
        <w:topLinePunct w:val="0"/>
        <w:autoSpaceDE/>
        <w:autoSpaceDN/>
        <w:bidi w:val="0"/>
        <w:adjustRightInd w:val="0"/>
        <w:snapToGrid w:val="0"/>
        <w:spacing w:line="540" w:lineRule="exact"/>
        <w:jc w:val="center"/>
        <w:textAlignment w:val="auto"/>
        <w:outlineLvl w:val="9"/>
        <w:rPr>
          <w:rFonts w:hint="eastAsia" w:ascii="宋体" w:hAnsi="宋体" w:eastAsia="宋体" w:cs="宋体"/>
          <w:b/>
          <w:bCs/>
          <w:color w:val="auto"/>
          <w:sz w:val="32"/>
          <w:szCs w:val="32"/>
          <w:highlight w:val="none"/>
          <w:lang w:val="en-US" w:eastAsia="zh-CN"/>
        </w:rPr>
      </w:pPr>
    </w:p>
    <w:p>
      <w:pPr>
        <w:keepNext w:val="0"/>
        <w:keepLines w:val="0"/>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说明：本技术规范书将作为合同的组成部分，与合同具有同等法律效力，本技术规范书的工作内容与要求将纳入考核办法中，各投标单位须认真仔细阅读理解。</w:t>
      </w:r>
    </w:p>
    <w:p>
      <w:pPr>
        <w:keepNext w:val="0"/>
        <w:keepLines w:val="0"/>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一、项目概况</w:t>
      </w:r>
    </w:p>
    <w:p>
      <w:pPr>
        <w:pageBreakBefore w:val="0"/>
        <w:tabs>
          <w:tab w:val="left" w:pos="7920"/>
        </w:tabs>
        <w:kinsoku/>
        <w:wordWrap/>
        <w:topLinePunct w:val="0"/>
        <w:autoSpaceDE/>
        <w:autoSpaceDN/>
        <w:bidi w:val="0"/>
        <w:adjustRightInd w:val="0"/>
        <w:snapToGrid w:val="0"/>
        <w:spacing w:line="360" w:lineRule="auto"/>
        <w:ind w:firstLine="640" w:firstLineChars="200"/>
        <w:jc w:val="both"/>
        <w:rPr>
          <w:rFonts w:hint="eastAsia" w:ascii="宋体" w:hAnsi="宋体" w:eastAsia="宋体" w:cs="宋体"/>
          <w:color w:val="auto"/>
          <w:sz w:val="32"/>
          <w:szCs w:val="32"/>
          <w:highlight w:val="none"/>
        </w:rPr>
      </w:pPr>
      <w:r>
        <w:rPr>
          <w:rFonts w:hint="eastAsia" w:ascii="宋体" w:hAnsi="宋体" w:eastAsia="宋体" w:cs="仿宋"/>
          <w:color w:val="auto"/>
          <w:sz w:val="32"/>
          <w:szCs w:val="32"/>
          <w:highlight w:val="none"/>
          <w:lang w:val="en-US" w:eastAsia="zh-CN"/>
        </w:rPr>
        <w:t>特高压检修试验基地电梯维修保养服务</w:t>
      </w:r>
      <w:r>
        <w:rPr>
          <w:rFonts w:hint="eastAsia" w:ascii="宋体" w:hAnsi="宋体" w:eastAsia="宋体" w:cs="仿宋"/>
          <w:color w:val="auto"/>
          <w:sz w:val="32"/>
          <w:szCs w:val="32"/>
          <w:highlight w:val="none"/>
        </w:rPr>
        <w:t>项目（以下简称“本项目”）位于</w:t>
      </w:r>
      <w:r>
        <w:rPr>
          <w:rFonts w:hint="eastAsia" w:ascii="宋体" w:hAnsi="宋体" w:eastAsia="宋体" w:cs="仿宋"/>
          <w:color w:val="auto"/>
          <w:sz w:val="32"/>
          <w:szCs w:val="32"/>
          <w:highlight w:val="none"/>
          <w:lang w:val="en-US" w:eastAsia="zh-CN"/>
        </w:rPr>
        <w:t>广州市增城区新耀北路53号。</w:t>
      </w:r>
      <w:r>
        <w:rPr>
          <w:rFonts w:hint="eastAsia" w:ascii="宋体" w:hAnsi="宋体" w:eastAsia="宋体" w:cs="仿宋"/>
          <w:color w:val="auto"/>
          <w:sz w:val="32"/>
          <w:szCs w:val="32"/>
          <w:highlight w:val="none"/>
          <w:lang w:eastAsia="zh-CN"/>
        </w:rPr>
        <w:t>设施为</w:t>
      </w:r>
      <w:r>
        <w:rPr>
          <w:rFonts w:hint="eastAsia" w:ascii="宋体" w:hAnsi="宋体" w:eastAsia="宋体" w:cs="仿宋"/>
          <w:color w:val="auto"/>
          <w:sz w:val="32"/>
          <w:szCs w:val="32"/>
          <w:highlight w:val="none"/>
        </w:rPr>
        <w:t>曳引式</w:t>
      </w:r>
      <w:r>
        <w:rPr>
          <w:rFonts w:hint="eastAsia" w:ascii="宋体" w:hAnsi="宋体" w:eastAsia="宋体" w:cs="仿宋"/>
          <w:color w:val="auto"/>
          <w:sz w:val="32"/>
          <w:szCs w:val="32"/>
          <w:highlight w:val="none"/>
          <w:lang w:eastAsia="zh-CN"/>
        </w:rPr>
        <w:t>货</w:t>
      </w:r>
      <w:r>
        <w:rPr>
          <w:rFonts w:hint="eastAsia" w:ascii="宋体" w:hAnsi="宋体" w:eastAsia="宋体" w:cs="仿宋"/>
          <w:color w:val="auto"/>
          <w:sz w:val="32"/>
          <w:szCs w:val="32"/>
          <w:highlight w:val="none"/>
        </w:rPr>
        <w:t>梯</w:t>
      </w:r>
      <w:r>
        <w:rPr>
          <w:rFonts w:hint="eastAsia" w:ascii="宋体" w:hAnsi="宋体" w:eastAsia="宋体" w:cs="仿宋"/>
          <w:color w:val="auto"/>
          <w:sz w:val="32"/>
          <w:szCs w:val="32"/>
          <w:highlight w:val="none"/>
          <w:lang w:eastAsia="zh-CN"/>
        </w:rPr>
        <w:t>数量共有</w:t>
      </w:r>
      <w:r>
        <w:rPr>
          <w:rFonts w:hint="eastAsia" w:ascii="宋体" w:hAnsi="宋体" w:eastAsia="宋体" w:cs="仿宋"/>
          <w:color w:val="auto"/>
          <w:sz w:val="32"/>
          <w:szCs w:val="32"/>
          <w:highlight w:val="none"/>
          <w:lang w:val="en-US" w:eastAsia="zh-CN"/>
        </w:rPr>
        <w:t>4台，</w:t>
      </w:r>
      <w:r>
        <w:rPr>
          <w:rFonts w:hint="eastAsia" w:ascii="宋体" w:hAnsi="宋体" w:eastAsia="宋体" w:cs="仿宋"/>
          <w:color w:val="auto"/>
          <w:sz w:val="32"/>
          <w:szCs w:val="32"/>
          <w:highlight w:val="none"/>
        </w:rPr>
        <w:t>为了确保</w:t>
      </w:r>
      <w:r>
        <w:rPr>
          <w:rFonts w:hint="eastAsia" w:ascii="宋体" w:hAnsi="宋体" w:eastAsia="宋体" w:cs="仿宋"/>
          <w:color w:val="auto"/>
          <w:sz w:val="32"/>
          <w:szCs w:val="32"/>
          <w:highlight w:val="none"/>
          <w:lang w:val="en-US" w:eastAsia="zh-CN"/>
        </w:rPr>
        <w:t>电梯设备维保</w:t>
      </w:r>
      <w:r>
        <w:rPr>
          <w:rFonts w:hint="eastAsia" w:ascii="宋体" w:hAnsi="宋体" w:eastAsia="宋体" w:cs="仿宋"/>
          <w:color w:val="auto"/>
          <w:sz w:val="32"/>
          <w:szCs w:val="32"/>
          <w:highlight w:val="none"/>
        </w:rPr>
        <w:t>工作顺利开展，特编制本项目技术规范书。</w:t>
      </w:r>
    </w:p>
    <w:p>
      <w:pPr>
        <w:keepNext w:val="0"/>
        <w:keepLines w:val="0"/>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二、系统主要设备</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（一）设备清单</w:t>
      </w:r>
    </w:p>
    <w:tbl>
      <w:tblPr>
        <w:tblStyle w:val="5"/>
        <w:tblW w:w="8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3"/>
        <w:gridCol w:w="795"/>
        <w:gridCol w:w="870"/>
        <w:gridCol w:w="1021"/>
        <w:gridCol w:w="758"/>
        <w:gridCol w:w="675"/>
        <w:gridCol w:w="764"/>
        <w:gridCol w:w="787"/>
        <w:gridCol w:w="638"/>
        <w:gridCol w:w="843"/>
        <w:gridCol w:w="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423" w:type="dxa"/>
            <w:shd w:val="clear" w:color="auto" w:fill="DEEBF6" w:themeFill="accent1" w:themeFillTint="3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序号</w:t>
            </w:r>
          </w:p>
        </w:tc>
        <w:tc>
          <w:tcPr>
            <w:tcW w:w="795" w:type="dxa"/>
            <w:shd w:val="clear" w:color="auto" w:fill="DEEBF6" w:themeFill="accent1" w:themeFillTint="3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设备</w:t>
            </w: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2"/>
                <w:sz w:val="21"/>
                <w:szCs w:val="21"/>
                <w:highlight w:val="none"/>
                <w:u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
              </w:rPr>
              <w:t>名称</w:t>
            </w:r>
          </w:p>
        </w:tc>
        <w:tc>
          <w:tcPr>
            <w:tcW w:w="870" w:type="dxa"/>
            <w:shd w:val="clear" w:color="auto" w:fill="DEEBF6" w:themeFill="accent1" w:themeFillTint="3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2"/>
                <w:sz w:val="21"/>
                <w:szCs w:val="21"/>
                <w:highlight w:val="none"/>
                <w:u w:val="none"/>
                <w:lang w:val="en-US" w:eastAsia="zh-CN" w:bidi="ar-SA"/>
              </w:rPr>
            </w:pPr>
            <w:r>
              <w:rPr>
                <w:rFonts w:hint="eastAsia" w:ascii="宋体" w:hAnsi="宋体" w:eastAsia="宋体" w:cs="宋体"/>
                <w:b/>
                <w:bCs/>
                <w:i w:val="0"/>
                <w:iCs w:val="0"/>
                <w:color w:val="auto"/>
                <w:kern w:val="0"/>
                <w:sz w:val="21"/>
                <w:szCs w:val="21"/>
                <w:highlight w:val="none"/>
                <w:u w:val="none"/>
                <w:lang w:val="en-US" w:eastAsia="zh-CN" w:bidi="ar"/>
              </w:rPr>
              <w:t>使用登记证编号</w:t>
            </w:r>
          </w:p>
        </w:tc>
        <w:tc>
          <w:tcPr>
            <w:tcW w:w="1021" w:type="dxa"/>
            <w:shd w:val="clear" w:color="auto" w:fill="DEEBF6" w:themeFill="accent1" w:themeFillTint="32"/>
            <w:vAlign w:val="center"/>
          </w:tcPr>
          <w:p>
            <w:pPr>
              <w:pStyle w:val="8"/>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color w:val="auto"/>
                <w:kern w:val="0"/>
                <w:sz w:val="21"/>
                <w:szCs w:val="21"/>
                <w:highlight w:val="none"/>
                <w:u w:val="none"/>
                <w:lang w:val="en-US" w:eastAsia="zh-CN" w:bidi="ar-SA"/>
              </w:rPr>
            </w:pPr>
            <w:r>
              <w:rPr>
                <w:rFonts w:hint="eastAsia" w:ascii="宋体" w:hAnsi="宋体" w:eastAsia="宋体" w:cs="宋体"/>
                <w:b/>
                <w:bCs/>
                <w:color w:val="auto"/>
                <w:kern w:val="0"/>
                <w:sz w:val="21"/>
                <w:szCs w:val="21"/>
                <w:highlight w:val="none"/>
                <w:u w:val="none"/>
                <w:lang w:val="en-US" w:eastAsia="zh-CN" w:bidi="ar-SA"/>
              </w:rPr>
              <w:t>注册</w:t>
            </w:r>
          </w:p>
          <w:p>
            <w:pPr>
              <w:pStyle w:val="8"/>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color w:val="auto"/>
                <w:kern w:val="0"/>
                <w:sz w:val="21"/>
                <w:szCs w:val="21"/>
                <w:highlight w:val="none"/>
                <w:u w:val="none"/>
                <w:lang w:val="en-US" w:eastAsia="zh-CN" w:bidi="ar-SA"/>
              </w:rPr>
            </w:pPr>
            <w:r>
              <w:rPr>
                <w:rFonts w:hint="eastAsia" w:ascii="宋体" w:hAnsi="宋体" w:eastAsia="宋体" w:cs="宋体"/>
                <w:b/>
                <w:bCs/>
                <w:color w:val="auto"/>
                <w:kern w:val="0"/>
                <w:sz w:val="21"/>
                <w:szCs w:val="21"/>
                <w:highlight w:val="none"/>
                <w:u w:val="none"/>
                <w:lang w:val="en-US" w:eastAsia="zh-CN" w:bidi="ar-SA"/>
              </w:rPr>
              <w:t>代码</w:t>
            </w:r>
          </w:p>
        </w:tc>
        <w:tc>
          <w:tcPr>
            <w:tcW w:w="758" w:type="dxa"/>
            <w:shd w:val="clear" w:color="auto" w:fill="DEEBF6" w:themeFill="accent1" w:themeFillTint="32"/>
            <w:vAlign w:val="center"/>
          </w:tcPr>
          <w:p>
            <w:pPr>
              <w:pStyle w:val="8"/>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color w:val="auto"/>
                <w:kern w:val="0"/>
                <w:sz w:val="21"/>
                <w:szCs w:val="21"/>
                <w:highlight w:val="none"/>
                <w:u w:val="none"/>
                <w:lang w:val="en-US" w:eastAsia="zh-CN" w:bidi="ar-SA"/>
              </w:rPr>
            </w:pPr>
            <w:r>
              <w:rPr>
                <w:rFonts w:hint="eastAsia" w:ascii="宋体" w:hAnsi="宋体" w:eastAsia="宋体" w:cs="宋体"/>
                <w:b/>
                <w:bCs/>
                <w:color w:val="auto"/>
                <w:kern w:val="0"/>
                <w:sz w:val="21"/>
                <w:szCs w:val="21"/>
                <w:highlight w:val="none"/>
                <w:u w:val="none"/>
                <w:lang w:val="en-US" w:eastAsia="zh-CN" w:bidi="ar-SA"/>
              </w:rPr>
              <w:t>梯号</w:t>
            </w:r>
          </w:p>
        </w:tc>
        <w:tc>
          <w:tcPr>
            <w:tcW w:w="675" w:type="dxa"/>
            <w:shd w:val="clear" w:color="auto" w:fill="DEEBF6" w:themeFill="accent1" w:themeFillTint="32"/>
            <w:vAlign w:val="center"/>
          </w:tcPr>
          <w:p>
            <w:pPr>
              <w:pStyle w:val="8"/>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color w:val="auto"/>
                <w:kern w:val="0"/>
                <w:sz w:val="21"/>
                <w:szCs w:val="21"/>
                <w:highlight w:val="none"/>
                <w:u w:val="none"/>
                <w:lang w:val="en-US" w:eastAsia="zh-CN" w:bidi="ar-SA"/>
              </w:rPr>
            </w:pPr>
            <w:r>
              <w:rPr>
                <w:rFonts w:hint="eastAsia" w:ascii="宋体" w:hAnsi="宋体" w:cs="宋体"/>
                <w:b/>
                <w:bCs/>
                <w:color w:val="auto"/>
                <w:kern w:val="0"/>
                <w:sz w:val="21"/>
                <w:szCs w:val="21"/>
                <w:highlight w:val="none"/>
                <w:u w:val="none"/>
                <w:lang w:val="en-US" w:eastAsia="zh-CN" w:bidi="ar-SA"/>
              </w:rPr>
              <w:t>品牌</w:t>
            </w:r>
            <w:r>
              <w:rPr>
                <w:rFonts w:hint="eastAsia" w:ascii="宋体" w:hAnsi="宋体" w:eastAsia="宋体" w:cs="宋体"/>
                <w:b/>
                <w:bCs/>
                <w:color w:val="auto"/>
                <w:kern w:val="0"/>
                <w:sz w:val="21"/>
                <w:szCs w:val="21"/>
                <w:highlight w:val="none"/>
                <w:u w:val="none"/>
                <w:lang w:val="en-US" w:eastAsia="zh-CN" w:bidi="ar-SA"/>
              </w:rPr>
              <w:t>型号</w:t>
            </w:r>
          </w:p>
        </w:tc>
        <w:tc>
          <w:tcPr>
            <w:tcW w:w="764" w:type="dxa"/>
            <w:shd w:val="clear" w:color="auto" w:fill="DEEBF6" w:themeFill="accent1" w:themeFillTint="32"/>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color w:val="auto"/>
                <w:kern w:val="0"/>
                <w:sz w:val="21"/>
                <w:szCs w:val="21"/>
                <w:highlight w:val="none"/>
                <w:u w:val="none"/>
                <w:lang w:val="en-US" w:eastAsia="zh-CN" w:bidi="ar-SA"/>
              </w:rPr>
            </w:pPr>
            <w:r>
              <w:rPr>
                <w:rFonts w:hint="eastAsia" w:ascii="宋体" w:hAnsi="宋体" w:eastAsia="宋体" w:cs="宋体"/>
                <w:b/>
                <w:bCs/>
                <w:color w:val="auto"/>
                <w:kern w:val="0"/>
                <w:sz w:val="21"/>
                <w:szCs w:val="21"/>
                <w:highlight w:val="none"/>
                <w:u w:val="none"/>
                <w:lang w:val="en-US" w:eastAsia="zh-CN" w:bidi="ar-SA"/>
              </w:rPr>
              <w:t>速度(m/s)</w:t>
            </w:r>
          </w:p>
        </w:tc>
        <w:tc>
          <w:tcPr>
            <w:tcW w:w="787" w:type="dxa"/>
            <w:shd w:val="clear" w:color="auto" w:fill="DEEBF6" w:themeFill="accent1" w:themeFillTint="32"/>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color w:val="auto"/>
                <w:kern w:val="0"/>
                <w:sz w:val="21"/>
                <w:szCs w:val="21"/>
                <w:highlight w:val="none"/>
                <w:u w:val="none"/>
                <w:lang w:val="en-US" w:eastAsia="zh-CN" w:bidi="ar-SA"/>
              </w:rPr>
            </w:pPr>
            <w:r>
              <w:rPr>
                <w:rFonts w:hint="eastAsia" w:ascii="宋体" w:hAnsi="宋体" w:eastAsia="宋体" w:cs="宋体"/>
                <w:b/>
                <w:bCs/>
                <w:color w:val="auto"/>
                <w:kern w:val="0"/>
                <w:sz w:val="21"/>
                <w:szCs w:val="21"/>
                <w:highlight w:val="none"/>
                <w:u w:val="none"/>
                <w:lang w:val="en-US" w:eastAsia="zh-CN" w:bidi="ar-SA"/>
              </w:rPr>
              <w:t>层站(站/门)</w:t>
            </w:r>
          </w:p>
        </w:tc>
        <w:tc>
          <w:tcPr>
            <w:tcW w:w="638" w:type="dxa"/>
            <w:shd w:val="clear" w:color="auto" w:fill="DEEBF6" w:themeFill="accent1" w:themeFillTint="32"/>
            <w:vAlign w:val="center"/>
          </w:tcPr>
          <w:p>
            <w:pPr>
              <w:pStyle w:val="8"/>
              <w:keepNext w:val="0"/>
              <w:keepLines w:val="0"/>
              <w:pageBreakBefore w:val="0"/>
              <w:kinsoku/>
              <w:wordWrap/>
              <w:overflowPunct/>
              <w:topLinePunct w:val="0"/>
              <w:autoSpaceDE/>
              <w:autoSpaceDN/>
              <w:bidi w:val="0"/>
              <w:adjustRightInd/>
              <w:snapToGrid/>
              <w:spacing w:line="240" w:lineRule="auto"/>
              <w:jc w:val="center"/>
              <w:rPr>
                <w:rFonts w:hint="eastAsia" w:ascii="宋体" w:hAnsi="宋体" w:eastAsia="宋体" w:cs="宋体"/>
                <w:b/>
                <w:bCs/>
                <w:color w:val="auto"/>
                <w:kern w:val="0"/>
                <w:sz w:val="21"/>
                <w:szCs w:val="21"/>
                <w:highlight w:val="none"/>
                <w:u w:val="none"/>
                <w:lang w:val="en-US" w:eastAsia="zh-CN" w:bidi="ar-SA"/>
              </w:rPr>
            </w:pPr>
            <w:r>
              <w:rPr>
                <w:rFonts w:hint="eastAsia" w:ascii="宋体" w:hAnsi="宋体" w:eastAsia="宋体" w:cs="宋体"/>
                <w:b/>
                <w:bCs/>
                <w:color w:val="auto"/>
                <w:kern w:val="0"/>
                <w:sz w:val="21"/>
                <w:szCs w:val="21"/>
                <w:highlight w:val="none"/>
                <w:u w:val="none"/>
                <w:lang w:val="en-US" w:eastAsia="zh-CN" w:bidi="ar-SA"/>
              </w:rPr>
              <w:t>数量</w:t>
            </w:r>
          </w:p>
          <w:p>
            <w:pPr>
              <w:pStyle w:val="8"/>
              <w:keepNext w:val="0"/>
              <w:keepLines w:val="0"/>
              <w:pageBreakBefore w:val="0"/>
              <w:kinsoku/>
              <w:wordWrap/>
              <w:overflowPunct/>
              <w:topLinePunct w:val="0"/>
              <w:autoSpaceDE/>
              <w:autoSpaceDN/>
              <w:bidi w:val="0"/>
              <w:adjustRightInd/>
              <w:snapToGrid/>
              <w:spacing w:line="240" w:lineRule="auto"/>
              <w:jc w:val="center"/>
              <w:rPr>
                <w:rFonts w:hint="default" w:ascii="宋体" w:hAnsi="宋体" w:eastAsia="宋体" w:cs="宋体"/>
                <w:b/>
                <w:bCs/>
                <w:color w:val="auto"/>
                <w:kern w:val="0"/>
                <w:sz w:val="21"/>
                <w:szCs w:val="21"/>
                <w:highlight w:val="none"/>
                <w:u w:val="none"/>
                <w:lang w:val="en-US" w:eastAsia="zh-CN" w:bidi="ar-SA"/>
              </w:rPr>
            </w:pPr>
            <w:r>
              <w:rPr>
                <w:rFonts w:hint="eastAsia" w:ascii="宋体" w:hAnsi="宋体" w:cs="宋体"/>
                <w:b/>
                <w:bCs/>
                <w:color w:val="auto"/>
                <w:kern w:val="0"/>
                <w:sz w:val="21"/>
                <w:szCs w:val="21"/>
                <w:highlight w:val="none"/>
                <w:u w:val="none"/>
                <w:lang w:val="en-US" w:eastAsia="zh-CN" w:bidi="ar-SA"/>
              </w:rPr>
              <w:t>/台</w:t>
            </w:r>
          </w:p>
        </w:tc>
        <w:tc>
          <w:tcPr>
            <w:tcW w:w="843" w:type="dxa"/>
            <w:shd w:val="clear" w:color="auto" w:fill="DEEBF6" w:themeFill="accent1" w:themeFillTint="3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安装</w:t>
            </w:r>
          </w:p>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地点</w:t>
            </w:r>
          </w:p>
        </w:tc>
        <w:tc>
          <w:tcPr>
            <w:tcW w:w="480" w:type="dxa"/>
            <w:shd w:val="clear" w:color="auto" w:fill="DEEBF6" w:themeFill="accent1" w:themeFillTint="32"/>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23"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18"/>
                <w:szCs w:val="18"/>
                <w:highlight w:val="none"/>
                <w:lang w:val="en-US" w:eastAsia="zh-CN"/>
              </w:rPr>
              <w:t>1</w:t>
            </w:r>
          </w:p>
        </w:tc>
        <w:tc>
          <w:tcPr>
            <w:tcW w:w="795"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曳引式货梯</w:t>
            </w:r>
          </w:p>
        </w:tc>
        <w:tc>
          <w:tcPr>
            <w:tcW w:w="870"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梯粤A500188991</w:t>
            </w:r>
          </w:p>
        </w:tc>
        <w:tc>
          <w:tcPr>
            <w:tcW w:w="1021"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32104401832024030023</w:t>
            </w:r>
          </w:p>
        </w:tc>
        <w:tc>
          <w:tcPr>
            <w:tcW w:w="758" w:type="dxa"/>
            <w:vAlign w:val="center"/>
          </w:tcPr>
          <w:p>
            <w:pPr>
              <w:widowControl/>
              <w:jc w:val="center"/>
              <w:textAlignment w:val="center"/>
              <w:rPr>
                <w:rFonts w:hint="default" w:ascii="宋体" w:hAnsi="宋体" w:eastAsia="宋体" w:cs="宋体"/>
                <w:snapToGrid w:val="0"/>
                <w:color w:val="auto"/>
                <w:sz w:val="18"/>
                <w:szCs w:val="18"/>
                <w:highlight w:val="none"/>
                <w:lang w:val="en-US" w:eastAsia="zh-CN"/>
              </w:rPr>
            </w:pPr>
            <w:r>
              <w:rPr>
                <w:rFonts w:hint="eastAsia" w:ascii="Times New Roman" w:hAnsi="Times New Roman" w:eastAsia="宋体" w:cs="Times New Roman"/>
                <w:kern w:val="0"/>
                <w:lang w:val="en-US" w:eastAsia="zh-CN"/>
              </w:rPr>
              <w:t>检修实操场电梯</w:t>
            </w:r>
            <w:r>
              <w:rPr>
                <w:rFonts w:hint="eastAsia" w:ascii="宋体" w:hAnsi="宋体" w:eastAsia="宋体" w:cs="宋体"/>
                <w:b w:val="0"/>
                <w:bCs w:val="0"/>
                <w:color w:val="auto"/>
                <w:kern w:val="0"/>
                <w:sz w:val="21"/>
                <w:szCs w:val="21"/>
              </w:rPr>
              <w:t>1#</w:t>
            </w:r>
          </w:p>
        </w:tc>
        <w:tc>
          <w:tcPr>
            <w:tcW w:w="675"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GVH II</w:t>
            </w:r>
          </w:p>
        </w:tc>
        <w:tc>
          <w:tcPr>
            <w:tcW w:w="764"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1.0</w:t>
            </w:r>
          </w:p>
        </w:tc>
        <w:tc>
          <w:tcPr>
            <w:tcW w:w="787"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21"/>
                <w:szCs w:val="21"/>
                <w:lang w:val="en-US" w:eastAsia="zh-CN"/>
              </w:rPr>
              <w:t>4</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4</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4</w:t>
            </w:r>
          </w:p>
        </w:tc>
        <w:tc>
          <w:tcPr>
            <w:tcW w:w="638"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rPr>
              <w:t>1</w:t>
            </w:r>
          </w:p>
        </w:tc>
        <w:tc>
          <w:tcPr>
            <w:tcW w:w="843" w:type="dxa"/>
            <w:vAlign w:val="center"/>
          </w:tcPr>
          <w:p>
            <w:pPr>
              <w:keepNext w:val="0"/>
              <w:keepLines w:val="0"/>
              <w:pageBreakBefore w:val="0"/>
              <w:widowControl/>
              <w:kinsoku/>
              <w:wordWrap/>
              <w:overflowPunct/>
              <w:topLinePunct w:val="0"/>
              <w:autoSpaceDE/>
              <w:autoSpaceDN/>
              <w:bidi w:val="0"/>
              <w:adjustRightInd/>
              <w:snapToGrid/>
              <w:spacing w:line="240" w:lineRule="exact"/>
              <w:jc w:val="both"/>
              <w:textAlignment w:val="center"/>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rPr>
              <w:t>增城区</w:t>
            </w:r>
            <w:r>
              <w:rPr>
                <w:rFonts w:hint="eastAsia" w:ascii="宋体" w:hAnsi="宋体" w:eastAsia="宋体" w:cs="宋体"/>
                <w:b w:val="0"/>
                <w:bCs w:val="0"/>
                <w:color w:val="auto"/>
                <w:kern w:val="0"/>
                <w:sz w:val="18"/>
                <w:szCs w:val="18"/>
                <w:highlight w:val="none"/>
                <w:lang w:eastAsia="zh-CN"/>
              </w:rPr>
              <w:t>新耀北路</w:t>
            </w:r>
            <w:r>
              <w:rPr>
                <w:rFonts w:hint="eastAsia" w:ascii="宋体" w:hAnsi="宋体" w:eastAsia="宋体" w:cs="宋体"/>
                <w:b w:val="0"/>
                <w:bCs w:val="0"/>
                <w:color w:val="auto"/>
                <w:kern w:val="0"/>
                <w:sz w:val="18"/>
                <w:szCs w:val="18"/>
                <w:highlight w:val="none"/>
                <w:lang w:val="en-US" w:eastAsia="zh-CN"/>
              </w:rPr>
              <w:t>53号</w:t>
            </w:r>
            <w:r>
              <w:rPr>
                <w:rFonts w:hint="eastAsia" w:ascii="Times New Roman" w:hAnsi="Times New Roman" w:eastAsia="宋体" w:cs="Times New Roman"/>
                <w:kern w:val="0"/>
                <w:sz w:val="18"/>
                <w:szCs w:val="18"/>
                <w:lang w:val="en-US" w:eastAsia="zh-CN"/>
              </w:rPr>
              <w:t>检修实操场</w:t>
            </w:r>
          </w:p>
        </w:tc>
        <w:tc>
          <w:tcPr>
            <w:tcW w:w="480" w:type="dxa"/>
            <w:vAlign w:val="center"/>
          </w:tcPr>
          <w:p>
            <w:pPr>
              <w:keepNext w:val="0"/>
              <w:keepLines w:val="0"/>
              <w:pageBreakBefore w:val="0"/>
              <w:kinsoku/>
              <w:wordWrap/>
              <w:overflowPunct/>
              <w:topLinePunct w:val="0"/>
              <w:autoSpaceDE/>
              <w:autoSpaceDN/>
              <w:bidi w:val="0"/>
              <w:adjustRightInd/>
              <w:spacing w:line="240" w:lineRule="auto"/>
              <w:jc w:val="center"/>
              <w:rPr>
                <w:rFonts w:hint="eastAsia" w:ascii="宋体" w:hAnsi="宋体" w:eastAsia="宋体" w:cs="宋体"/>
                <w:color w:val="auto"/>
                <w:kern w:val="0"/>
                <w:sz w:val="18"/>
                <w:szCs w:val="18"/>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23"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18"/>
                <w:szCs w:val="18"/>
                <w:highlight w:val="none"/>
                <w:lang w:val="en-US" w:eastAsia="zh-CN"/>
              </w:rPr>
              <w:t>2</w:t>
            </w:r>
          </w:p>
        </w:tc>
        <w:tc>
          <w:tcPr>
            <w:tcW w:w="795"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曳引式货梯</w:t>
            </w:r>
          </w:p>
        </w:tc>
        <w:tc>
          <w:tcPr>
            <w:tcW w:w="870"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梯粤A500188992</w:t>
            </w:r>
          </w:p>
        </w:tc>
        <w:tc>
          <w:tcPr>
            <w:tcW w:w="1021"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32104401832024030024</w:t>
            </w:r>
          </w:p>
        </w:tc>
        <w:tc>
          <w:tcPr>
            <w:tcW w:w="758" w:type="dxa"/>
            <w:vAlign w:val="center"/>
          </w:tcPr>
          <w:p>
            <w:pPr>
              <w:widowControl/>
              <w:jc w:val="center"/>
              <w:textAlignment w:val="center"/>
              <w:rPr>
                <w:rFonts w:hint="default" w:ascii="宋体" w:hAnsi="宋体" w:eastAsia="宋体" w:cs="宋体"/>
                <w:snapToGrid w:val="0"/>
                <w:color w:val="auto"/>
                <w:sz w:val="18"/>
                <w:szCs w:val="18"/>
                <w:highlight w:val="none"/>
                <w:lang w:val="en-US" w:eastAsia="zh-CN"/>
              </w:rPr>
            </w:pPr>
            <w:r>
              <w:rPr>
                <w:rFonts w:hint="eastAsia" w:ascii="Times New Roman" w:hAnsi="Times New Roman" w:eastAsia="宋体" w:cs="Times New Roman"/>
                <w:kern w:val="0"/>
                <w:lang w:val="en-US" w:eastAsia="zh-CN"/>
              </w:rPr>
              <w:t>检修实操场电梯</w:t>
            </w:r>
            <w:r>
              <w:rPr>
                <w:rFonts w:hint="eastAsia" w:ascii="宋体" w:hAnsi="宋体" w:eastAsia="宋体" w:cs="宋体"/>
                <w:b w:val="0"/>
                <w:bCs w:val="0"/>
                <w:color w:val="auto"/>
                <w:kern w:val="0"/>
                <w:sz w:val="21"/>
                <w:szCs w:val="21"/>
              </w:rPr>
              <w:t>2#</w:t>
            </w:r>
          </w:p>
        </w:tc>
        <w:tc>
          <w:tcPr>
            <w:tcW w:w="675"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GVH II</w:t>
            </w:r>
          </w:p>
        </w:tc>
        <w:tc>
          <w:tcPr>
            <w:tcW w:w="764"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1.0</w:t>
            </w:r>
          </w:p>
        </w:tc>
        <w:tc>
          <w:tcPr>
            <w:tcW w:w="787"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21"/>
                <w:szCs w:val="21"/>
                <w:lang w:val="en-US" w:eastAsia="zh-CN"/>
              </w:rPr>
              <w:t>4</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4</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4</w:t>
            </w:r>
          </w:p>
        </w:tc>
        <w:tc>
          <w:tcPr>
            <w:tcW w:w="638"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rPr>
              <w:t>1</w:t>
            </w:r>
          </w:p>
        </w:tc>
        <w:tc>
          <w:tcPr>
            <w:tcW w:w="843" w:type="dxa"/>
            <w:vAlign w:val="center"/>
          </w:tcPr>
          <w:p>
            <w:pPr>
              <w:keepNext w:val="0"/>
              <w:keepLines w:val="0"/>
              <w:pageBreakBefore w:val="0"/>
              <w:widowControl/>
              <w:kinsoku/>
              <w:wordWrap/>
              <w:overflowPunct/>
              <w:topLinePunct w:val="0"/>
              <w:autoSpaceDE/>
              <w:autoSpaceDN/>
              <w:bidi w:val="0"/>
              <w:adjustRightInd/>
              <w:snapToGrid/>
              <w:spacing w:line="240" w:lineRule="exact"/>
              <w:jc w:val="both"/>
              <w:textAlignment w:val="center"/>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rPr>
              <w:t>增城区</w:t>
            </w:r>
            <w:r>
              <w:rPr>
                <w:rFonts w:hint="eastAsia" w:ascii="宋体" w:hAnsi="宋体" w:eastAsia="宋体" w:cs="宋体"/>
                <w:b w:val="0"/>
                <w:bCs w:val="0"/>
                <w:color w:val="auto"/>
                <w:kern w:val="0"/>
                <w:sz w:val="18"/>
                <w:szCs w:val="18"/>
                <w:highlight w:val="none"/>
                <w:lang w:eastAsia="zh-CN"/>
              </w:rPr>
              <w:t>新耀北路</w:t>
            </w:r>
            <w:r>
              <w:rPr>
                <w:rFonts w:hint="eastAsia" w:ascii="宋体" w:hAnsi="宋体" w:eastAsia="宋体" w:cs="宋体"/>
                <w:b w:val="0"/>
                <w:bCs w:val="0"/>
                <w:color w:val="auto"/>
                <w:kern w:val="0"/>
                <w:sz w:val="18"/>
                <w:szCs w:val="18"/>
                <w:highlight w:val="none"/>
                <w:lang w:val="en-US" w:eastAsia="zh-CN"/>
              </w:rPr>
              <w:t>53号</w:t>
            </w:r>
            <w:r>
              <w:rPr>
                <w:rFonts w:hint="eastAsia" w:ascii="Times New Roman" w:hAnsi="Times New Roman" w:eastAsia="宋体" w:cs="Times New Roman"/>
                <w:kern w:val="0"/>
                <w:sz w:val="18"/>
                <w:szCs w:val="18"/>
                <w:lang w:val="en-US" w:eastAsia="zh-CN"/>
              </w:rPr>
              <w:t>检修实操场</w:t>
            </w:r>
          </w:p>
        </w:tc>
        <w:tc>
          <w:tcPr>
            <w:tcW w:w="480" w:type="dxa"/>
            <w:vAlign w:val="center"/>
          </w:tcPr>
          <w:p>
            <w:pPr>
              <w:keepNext w:val="0"/>
              <w:keepLines w:val="0"/>
              <w:pageBreakBefore w:val="0"/>
              <w:kinsoku/>
              <w:wordWrap/>
              <w:overflowPunct/>
              <w:topLinePunct w:val="0"/>
              <w:autoSpaceDE/>
              <w:autoSpaceDN/>
              <w:bidi w:val="0"/>
              <w:adjustRightInd/>
              <w:spacing w:line="240" w:lineRule="auto"/>
              <w:jc w:val="center"/>
              <w:rPr>
                <w:rFonts w:hint="eastAsia" w:ascii="宋体" w:hAnsi="宋体" w:eastAsia="宋体" w:cs="宋体"/>
                <w:color w:val="auto"/>
                <w:kern w:val="0"/>
                <w:sz w:val="18"/>
                <w:szCs w:val="18"/>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23"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18"/>
                <w:szCs w:val="18"/>
                <w:highlight w:val="none"/>
                <w:lang w:val="en-US" w:eastAsia="zh-CN"/>
              </w:rPr>
              <w:t>3</w:t>
            </w:r>
          </w:p>
        </w:tc>
        <w:tc>
          <w:tcPr>
            <w:tcW w:w="795"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曳引式货梯</w:t>
            </w:r>
          </w:p>
        </w:tc>
        <w:tc>
          <w:tcPr>
            <w:tcW w:w="870"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梯粤A500169486</w:t>
            </w:r>
          </w:p>
        </w:tc>
        <w:tc>
          <w:tcPr>
            <w:tcW w:w="1021"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32104401832023030035</w:t>
            </w:r>
          </w:p>
        </w:tc>
        <w:tc>
          <w:tcPr>
            <w:tcW w:w="758" w:type="dxa"/>
            <w:vAlign w:val="center"/>
          </w:tcPr>
          <w:p>
            <w:pPr>
              <w:widowControl/>
              <w:jc w:val="center"/>
              <w:textAlignment w:val="center"/>
              <w:rPr>
                <w:rFonts w:hint="default" w:ascii="宋体" w:hAnsi="宋体" w:eastAsia="宋体" w:cs="宋体"/>
                <w:snapToGrid w:val="0"/>
                <w:color w:val="auto"/>
                <w:sz w:val="18"/>
                <w:szCs w:val="18"/>
                <w:highlight w:val="none"/>
                <w:lang w:val="en-US" w:eastAsia="zh-CN"/>
              </w:rPr>
            </w:pPr>
            <w:r>
              <w:rPr>
                <w:rFonts w:hint="eastAsia" w:ascii="Times New Roman" w:hAnsi="Times New Roman" w:eastAsia="宋体" w:cs="Times New Roman"/>
                <w:kern w:val="0"/>
                <w:lang w:val="en-US" w:eastAsia="zh-CN"/>
              </w:rPr>
              <w:t>辅助检修厅电梯</w:t>
            </w:r>
          </w:p>
        </w:tc>
        <w:tc>
          <w:tcPr>
            <w:tcW w:w="675"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 xml:space="preserve">GVH </w:t>
            </w:r>
          </w:p>
        </w:tc>
        <w:tc>
          <w:tcPr>
            <w:tcW w:w="764"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1.0</w:t>
            </w:r>
          </w:p>
        </w:tc>
        <w:tc>
          <w:tcPr>
            <w:tcW w:w="787"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21"/>
                <w:szCs w:val="21"/>
                <w:lang w:val="en-US" w:eastAsia="zh-CN"/>
              </w:rPr>
              <w:t>2</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2</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2</w:t>
            </w:r>
          </w:p>
        </w:tc>
        <w:tc>
          <w:tcPr>
            <w:tcW w:w="638"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rPr>
              <w:t>1</w:t>
            </w:r>
          </w:p>
        </w:tc>
        <w:tc>
          <w:tcPr>
            <w:tcW w:w="843" w:type="dxa"/>
            <w:vAlign w:val="center"/>
          </w:tcPr>
          <w:p>
            <w:pPr>
              <w:keepNext w:val="0"/>
              <w:keepLines w:val="0"/>
              <w:pageBreakBefore w:val="0"/>
              <w:widowControl/>
              <w:kinsoku/>
              <w:wordWrap/>
              <w:overflowPunct/>
              <w:topLinePunct w:val="0"/>
              <w:autoSpaceDE/>
              <w:autoSpaceDN/>
              <w:bidi w:val="0"/>
              <w:adjustRightInd/>
              <w:snapToGrid/>
              <w:spacing w:line="240" w:lineRule="exact"/>
              <w:jc w:val="both"/>
              <w:textAlignment w:val="center"/>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rPr>
              <w:t>增城区</w:t>
            </w:r>
            <w:r>
              <w:rPr>
                <w:rFonts w:hint="eastAsia" w:ascii="宋体" w:hAnsi="宋体" w:eastAsia="宋体" w:cs="宋体"/>
                <w:b w:val="0"/>
                <w:bCs w:val="0"/>
                <w:color w:val="auto"/>
                <w:kern w:val="0"/>
                <w:sz w:val="18"/>
                <w:szCs w:val="18"/>
                <w:highlight w:val="none"/>
                <w:lang w:eastAsia="zh-CN"/>
              </w:rPr>
              <w:t>新耀北路</w:t>
            </w:r>
            <w:r>
              <w:rPr>
                <w:rFonts w:hint="eastAsia" w:ascii="宋体" w:hAnsi="宋体" w:eastAsia="宋体" w:cs="宋体"/>
                <w:b w:val="0"/>
                <w:bCs w:val="0"/>
                <w:color w:val="auto"/>
                <w:kern w:val="0"/>
                <w:sz w:val="18"/>
                <w:szCs w:val="18"/>
                <w:highlight w:val="none"/>
                <w:lang w:val="en-US" w:eastAsia="zh-CN"/>
              </w:rPr>
              <w:t>53号</w:t>
            </w:r>
            <w:r>
              <w:rPr>
                <w:rFonts w:hint="eastAsia" w:ascii="Times New Roman" w:hAnsi="Times New Roman" w:eastAsia="宋体" w:cs="Times New Roman"/>
                <w:kern w:val="0"/>
                <w:sz w:val="20"/>
                <w:szCs w:val="21"/>
                <w:lang w:val="en-US" w:eastAsia="zh-CN"/>
              </w:rPr>
              <w:t>辅助检修厅</w:t>
            </w:r>
          </w:p>
        </w:tc>
        <w:tc>
          <w:tcPr>
            <w:tcW w:w="480" w:type="dxa"/>
            <w:vAlign w:val="center"/>
          </w:tcPr>
          <w:p>
            <w:pPr>
              <w:keepNext w:val="0"/>
              <w:keepLines w:val="0"/>
              <w:pageBreakBefore w:val="0"/>
              <w:kinsoku/>
              <w:wordWrap/>
              <w:overflowPunct/>
              <w:topLinePunct w:val="0"/>
              <w:autoSpaceDE/>
              <w:autoSpaceDN/>
              <w:bidi w:val="0"/>
              <w:adjustRightInd/>
              <w:spacing w:line="240" w:lineRule="auto"/>
              <w:jc w:val="center"/>
              <w:rPr>
                <w:rFonts w:hint="eastAsia" w:ascii="宋体" w:hAnsi="宋体" w:eastAsia="宋体" w:cs="宋体"/>
                <w:color w:val="auto"/>
                <w:kern w:val="0"/>
                <w:sz w:val="18"/>
                <w:szCs w:val="18"/>
                <w:highlight w:val="none"/>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423"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18"/>
                <w:szCs w:val="18"/>
                <w:highlight w:val="none"/>
                <w:lang w:val="en-US" w:eastAsia="zh-CN"/>
              </w:rPr>
              <w:t>4</w:t>
            </w:r>
          </w:p>
        </w:tc>
        <w:tc>
          <w:tcPr>
            <w:tcW w:w="795"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曳引式货梯</w:t>
            </w:r>
          </w:p>
        </w:tc>
        <w:tc>
          <w:tcPr>
            <w:tcW w:w="870"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梯粤A500169487</w:t>
            </w:r>
          </w:p>
        </w:tc>
        <w:tc>
          <w:tcPr>
            <w:tcW w:w="1021"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32304401832023030001</w:t>
            </w:r>
          </w:p>
        </w:tc>
        <w:tc>
          <w:tcPr>
            <w:tcW w:w="758" w:type="dxa"/>
            <w:vAlign w:val="center"/>
          </w:tcPr>
          <w:p>
            <w:pPr>
              <w:widowControl/>
              <w:jc w:val="center"/>
              <w:textAlignment w:val="center"/>
              <w:rPr>
                <w:rFonts w:hint="default" w:ascii="宋体" w:hAnsi="宋体" w:eastAsia="宋体" w:cs="宋体"/>
                <w:snapToGrid w:val="0"/>
                <w:color w:val="auto"/>
                <w:sz w:val="18"/>
                <w:szCs w:val="18"/>
                <w:highlight w:val="none"/>
                <w:lang w:val="en-US" w:eastAsia="zh-CN"/>
              </w:rPr>
            </w:pPr>
            <w:r>
              <w:rPr>
                <w:rFonts w:hint="eastAsia" w:ascii="Times New Roman" w:hAnsi="Times New Roman" w:eastAsia="宋体" w:cs="Times New Roman"/>
                <w:kern w:val="0"/>
                <w:lang w:val="en-US" w:eastAsia="zh-CN"/>
              </w:rPr>
              <w:t>诊断试验室电梯</w:t>
            </w:r>
          </w:p>
        </w:tc>
        <w:tc>
          <w:tcPr>
            <w:tcW w:w="675"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GVH II-MRL</w:t>
            </w:r>
          </w:p>
        </w:tc>
        <w:tc>
          <w:tcPr>
            <w:tcW w:w="764"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sz w:val="21"/>
                <w:szCs w:val="21"/>
                <w:lang w:val="en-US" w:eastAsia="zh-CN"/>
              </w:rPr>
              <w:t>1.0</w:t>
            </w:r>
          </w:p>
        </w:tc>
        <w:tc>
          <w:tcPr>
            <w:tcW w:w="787" w:type="dxa"/>
            <w:vAlign w:val="center"/>
          </w:tcPr>
          <w:p>
            <w:pPr>
              <w:widowControl/>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21"/>
                <w:szCs w:val="21"/>
                <w:lang w:val="en-US" w:eastAsia="zh-CN"/>
              </w:rPr>
              <w:t>4</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4</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4</w:t>
            </w:r>
          </w:p>
        </w:tc>
        <w:tc>
          <w:tcPr>
            <w:tcW w:w="638" w:type="dxa"/>
            <w:vAlign w:val="center"/>
          </w:tcPr>
          <w:p>
            <w:pPr>
              <w:keepNext w:val="0"/>
              <w:keepLines w:val="0"/>
              <w:pageBreakBefore w:val="0"/>
              <w:widowControl/>
              <w:kinsoku/>
              <w:wordWrap/>
              <w:overflowPunct/>
              <w:topLinePunct w:val="0"/>
              <w:autoSpaceDE/>
              <w:autoSpaceDN/>
              <w:bidi w:val="0"/>
              <w:adjustRightInd/>
              <w:spacing w:line="240" w:lineRule="auto"/>
              <w:jc w:val="center"/>
              <w:textAlignment w:val="center"/>
              <w:rPr>
                <w:rFonts w:hint="eastAsia" w:ascii="宋体" w:hAnsi="宋体" w:eastAsia="宋体" w:cs="宋体"/>
                <w:b w:val="0"/>
                <w:bCs w:val="0"/>
                <w:color w:val="auto"/>
                <w:kern w:val="2"/>
                <w:sz w:val="18"/>
                <w:szCs w:val="18"/>
                <w:highlight w:val="none"/>
                <w:lang w:val="en-US" w:eastAsia="zh-CN" w:bidi="ar-SA"/>
              </w:rPr>
            </w:pPr>
            <w:r>
              <w:rPr>
                <w:rFonts w:hint="eastAsia" w:ascii="宋体" w:hAnsi="宋体" w:eastAsia="宋体" w:cs="宋体"/>
                <w:b w:val="0"/>
                <w:bCs w:val="0"/>
                <w:color w:val="auto"/>
                <w:kern w:val="0"/>
                <w:sz w:val="18"/>
                <w:szCs w:val="18"/>
                <w:highlight w:val="none"/>
              </w:rPr>
              <w:t>1</w:t>
            </w:r>
          </w:p>
        </w:tc>
        <w:tc>
          <w:tcPr>
            <w:tcW w:w="843" w:type="dxa"/>
            <w:vAlign w:val="center"/>
          </w:tcPr>
          <w:p>
            <w:pPr>
              <w:keepNext w:val="0"/>
              <w:keepLines w:val="0"/>
              <w:pageBreakBefore w:val="0"/>
              <w:widowControl/>
              <w:kinsoku/>
              <w:wordWrap/>
              <w:overflowPunct/>
              <w:topLinePunct w:val="0"/>
              <w:autoSpaceDE/>
              <w:autoSpaceDN/>
              <w:bidi w:val="0"/>
              <w:adjustRightInd/>
              <w:snapToGrid/>
              <w:spacing w:line="240" w:lineRule="exact"/>
              <w:jc w:val="both"/>
              <w:textAlignment w:val="center"/>
              <w:rPr>
                <w:rFonts w:hint="eastAsia" w:ascii="宋体" w:hAnsi="宋体" w:eastAsia="宋体" w:cs="宋体"/>
                <w:b w:val="0"/>
                <w:bCs w:val="0"/>
                <w:color w:val="auto"/>
                <w:kern w:val="0"/>
                <w:sz w:val="20"/>
                <w:szCs w:val="21"/>
                <w:highlight w:val="none"/>
                <w:lang w:val="en-US" w:eastAsia="zh-CN" w:bidi="ar-SA"/>
              </w:rPr>
            </w:pPr>
            <w:r>
              <w:rPr>
                <w:rFonts w:hint="eastAsia" w:ascii="宋体" w:hAnsi="宋体" w:eastAsia="宋体" w:cs="宋体"/>
                <w:b w:val="0"/>
                <w:bCs w:val="0"/>
                <w:color w:val="auto"/>
                <w:kern w:val="0"/>
                <w:sz w:val="18"/>
                <w:szCs w:val="18"/>
                <w:highlight w:val="none"/>
                <w:lang w:val="en-US" w:eastAsia="zh-CN"/>
              </w:rPr>
              <w:t>增城区</w:t>
            </w:r>
            <w:r>
              <w:rPr>
                <w:rFonts w:hint="eastAsia" w:ascii="宋体" w:hAnsi="宋体" w:eastAsia="宋体" w:cs="宋体"/>
                <w:b w:val="0"/>
                <w:bCs w:val="0"/>
                <w:color w:val="auto"/>
                <w:kern w:val="0"/>
                <w:sz w:val="18"/>
                <w:szCs w:val="18"/>
                <w:highlight w:val="none"/>
                <w:lang w:eastAsia="zh-CN"/>
              </w:rPr>
              <w:t>新耀北路</w:t>
            </w:r>
            <w:r>
              <w:rPr>
                <w:rFonts w:hint="eastAsia" w:ascii="宋体" w:hAnsi="宋体" w:eastAsia="宋体" w:cs="宋体"/>
                <w:b w:val="0"/>
                <w:bCs w:val="0"/>
                <w:color w:val="auto"/>
                <w:kern w:val="0"/>
                <w:sz w:val="18"/>
                <w:szCs w:val="18"/>
                <w:highlight w:val="none"/>
                <w:lang w:val="en-US" w:eastAsia="zh-CN"/>
              </w:rPr>
              <w:t>53号</w:t>
            </w:r>
            <w:r>
              <w:rPr>
                <w:rFonts w:hint="eastAsia" w:ascii="Times New Roman" w:hAnsi="Times New Roman" w:eastAsia="宋体" w:cs="Times New Roman"/>
                <w:kern w:val="0"/>
                <w:sz w:val="20"/>
                <w:szCs w:val="21"/>
                <w:lang w:val="en-US" w:eastAsia="zh-CN"/>
              </w:rPr>
              <w:t>诊断试验室</w:t>
            </w:r>
          </w:p>
        </w:tc>
        <w:tc>
          <w:tcPr>
            <w:tcW w:w="480" w:type="dxa"/>
            <w:vAlign w:val="center"/>
          </w:tcPr>
          <w:p>
            <w:pPr>
              <w:keepNext w:val="0"/>
              <w:keepLines w:val="0"/>
              <w:pageBreakBefore w:val="0"/>
              <w:kinsoku/>
              <w:wordWrap/>
              <w:overflowPunct/>
              <w:topLinePunct w:val="0"/>
              <w:autoSpaceDE/>
              <w:autoSpaceDN/>
              <w:bidi w:val="0"/>
              <w:adjustRightInd/>
              <w:spacing w:line="240" w:lineRule="auto"/>
              <w:jc w:val="center"/>
              <w:rPr>
                <w:rFonts w:hint="eastAsia" w:ascii="宋体" w:hAnsi="宋体" w:eastAsia="宋体" w:cs="宋体"/>
                <w:color w:val="auto"/>
                <w:kern w:val="0"/>
                <w:sz w:val="18"/>
                <w:szCs w:val="18"/>
                <w:highlight w:val="none"/>
                <w:u w:val="none"/>
                <w:lang w:val="en-US" w:eastAsia="zh-CN" w:bidi="ar-SA"/>
              </w:rPr>
            </w:pPr>
          </w:p>
        </w:tc>
      </w:tr>
    </w:tbl>
    <w:p>
      <w:pPr>
        <w:keepNext/>
        <w:keepLines/>
        <w:pageBreakBefore w:val="0"/>
        <w:widowControl w:val="0"/>
        <w:kinsoku/>
        <w:wordWrap/>
        <w:overflowPunct/>
        <w:topLinePunct w:val="0"/>
        <w:autoSpaceDE/>
        <w:autoSpaceDN/>
        <w:bidi w:val="0"/>
        <w:adjustRightInd w:val="0"/>
        <w:snapToGrid w:val="0"/>
        <w:spacing w:before="0" w:beforeAutospacing="0" w:after="0" w:afterAutospacing="0" w:line="540" w:lineRule="exact"/>
        <w:ind w:firstLine="643" w:firstLineChars="200"/>
        <w:jc w:val="both"/>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三、设备保养工作要求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b/>
          <w:color w:val="auto"/>
          <w:kern w:val="2"/>
          <w:sz w:val="32"/>
          <w:szCs w:val="32"/>
          <w:highlight w:val="none"/>
          <w:lang w:val="en-US" w:eastAsia="zh-CN" w:bidi="ar-SA"/>
        </w:rPr>
        <w:t>（一）保养内容及要求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1.保养工作分为半月保养、季度保养、半年保养、年度保养四类，保养内容按照国家相关法律法规、产品使用维护说明等相关规定和文件实施。</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办公区域保养时间安排在非上班时段或不影响正常办公的时间，住宅区域保养时间安排在非主要使用时段或不影响正常生活的时间，具体时间以甲乙双方共同商定的保养计划或甲方通知为准。每月至少进行2次定期保养，每次间隔不超过15日。如因甲方业主要求或不可抗力因素导致保养计划需提前或延期，乙方应在满足“每次间隔不超过15日”的前提下调整或增加保养计划。</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3.乙方必须以优质的服务及良好的技术能力对电梯进行定期检查和缺陷处理。</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4.每次保养完成后，乙方应详细记录维保内容、发现的问题及处理措施，内容必须真实、准确。</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5.乙方应按质量技术监督局有关规定协助甲方办理设备年检工作并取得合格证件。</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（二）故障处理</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乙方应提供24小时应急处理服务，甲方电梯设备发生故障时，乙方应在接到甲方报修电话后立即安排人员到场维修；一般故障需在接到电话后60分钟内到达现场，电梯困人或电梯重大安全故障等需在30分钟内到达现场。</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对于发生的故障，乙方应进行分析，找出原因并采取预防措施，避免类似故障再次发生。涉及到电梯困人故障、电梯重大安全故障，或者是甲方认为威胁到安全运行的故障，乙方应在故障消缺后3个工作日内向甲方提交本次故障的分析报告，报告内容应至少包含事件经过、问题描述、现场调查、故障分析、处理过程、维修后排查和预防措施等内容。</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3.曾发生困人故障、重大安全事件的电梯，乙方应根据实际情况增加保养频次、加强维护。</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（三）特殊时段保障</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甲方提出重点保障要求，如重大会议、重大接待等，乙方应无条件配合，并安排专业人员到场维护和保障，以确保电梯安全运行。</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四、设备维修工作要求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（一）无偿配件更换及服务项目</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甲方提供的《电梯免费服务清单》，乙方在投标报价时应对该清单内的损耗配件进行综合考虑，并将其考虑进维保服务费用内，甲方不另行支付费用。</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（二）报价清单未包含配件更换及服务项目</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default"/>
          <w:color w:val="auto"/>
          <w:sz w:val="32"/>
          <w:szCs w:val="32"/>
          <w:highlight w:val="none"/>
          <w:lang w:val="en-US" w:eastAsia="zh-CN"/>
        </w:rPr>
      </w:pPr>
      <w:r>
        <w:rPr>
          <w:rFonts w:hint="eastAsia" w:ascii="宋体" w:hAnsi="宋体" w:eastAsia="宋体" w:cs="宋体"/>
          <w:b w:val="0"/>
          <w:bCs w:val="0"/>
          <w:color w:val="auto"/>
          <w:sz w:val="32"/>
          <w:szCs w:val="32"/>
          <w:highlight w:val="none"/>
          <w:lang w:val="en-US" w:eastAsia="zh-CN"/>
        </w:rPr>
        <w:t>乙方在维保过程中发现的故障维修需更换配件不在《电梯免费服务清单》</w:t>
      </w:r>
      <w:bookmarkStart w:id="2" w:name="_GoBack"/>
      <w:bookmarkEnd w:id="2"/>
      <w:r>
        <w:rPr>
          <w:rFonts w:hint="eastAsia" w:ascii="宋体" w:hAnsi="宋体" w:eastAsia="宋体" w:cs="宋体"/>
          <w:b w:val="0"/>
          <w:bCs w:val="0"/>
          <w:color w:val="auto"/>
          <w:sz w:val="32"/>
          <w:szCs w:val="32"/>
          <w:highlight w:val="none"/>
          <w:lang w:val="en-US" w:eastAsia="zh-CN"/>
        </w:rPr>
        <w:t>内的，单件（单位：个、块等）配件市场价≤200元（含税）的由乙方承担，甲方不另行支付费用。若乙方认为单件配件市场价&gt;200元（含税）或单件配件市场价</w:t>
      </w:r>
      <w:r>
        <w:rPr>
          <w:rFonts w:hint="eastAsia" w:ascii="宋体" w:hAnsi="宋体" w:eastAsia="宋体" w:cs="宋体"/>
          <w:color w:val="auto"/>
          <w:sz w:val="32"/>
          <w:szCs w:val="32"/>
          <w:highlight w:val="none"/>
          <w:lang w:val="en-US" w:eastAsia="zh-CN"/>
        </w:rPr>
        <w:t>≤200元（含税）但实际需多件（单位：个、块等）同型号配件共同更换</w:t>
      </w:r>
      <w:r>
        <w:rPr>
          <w:rFonts w:hint="eastAsia" w:ascii="宋体" w:hAnsi="宋体" w:eastAsia="宋体" w:cs="宋体"/>
          <w:b w:val="0"/>
          <w:bCs w:val="0"/>
          <w:color w:val="auto"/>
          <w:sz w:val="32"/>
          <w:szCs w:val="32"/>
          <w:highlight w:val="none"/>
          <w:lang w:val="en-US" w:eastAsia="zh-CN"/>
        </w:rPr>
        <w:t>，乙方应</w:t>
      </w:r>
      <w:r>
        <w:rPr>
          <w:rFonts w:hint="eastAsia" w:ascii="宋体" w:hAnsi="宋体" w:eastAsia="宋体" w:cs="宋体"/>
          <w:color w:val="auto"/>
          <w:sz w:val="32"/>
          <w:szCs w:val="32"/>
          <w:highlight w:val="none"/>
          <w:lang w:val="en-US" w:eastAsia="zh-CN"/>
        </w:rPr>
        <w:t>在填写联系单/维修单提交甲方审批时，</w:t>
      </w:r>
      <w:r>
        <w:rPr>
          <w:rFonts w:hint="eastAsia" w:ascii="宋体" w:hAnsi="宋体" w:eastAsia="宋体" w:cs="宋体"/>
          <w:b w:val="0"/>
          <w:bCs w:val="0"/>
          <w:color w:val="auto"/>
          <w:sz w:val="32"/>
          <w:szCs w:val="32"/>
          <w:highlight w:val="none"/>
          <w:lang w:val="en-US" w:eastAsia="zh-CN"/>
        </w:rPr>
        <w:t>按市场价向甲方递交报价文件，甲方对乙方的报价进行审核确认，如乙方的报价高于当期市场价，甲方有权按市场价对报价文件进行调整，若调整后的价格&gt;200元（含税），由甲方按调整后的价格结算费用；若调整后的价格≤200元（含税），乙方应无条件进行免费维修，同时甲方对乙方单次不诚信行为扣款1000元，在当月维保费用结算时扣除。如双方就此问题未能达成一致意见，甲方有权终止合同。</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（三）服务时间要求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default"/>
          <w:color w:val="auto"/>
          <w:highlight w:val="none"/>
          <w:lang w:val="en-US" w:eastAsia="zh-CN"/>
        </w:rPr>
      </w:pPr>
      <w:r>
        <w:rPr>
          <w:rFonts w:hint="eastAsia" w:ascii="宋体" w:hAnsi="宋体" w:eastAsia="宋体" w:cs="宋体"/>
          <w:color w:val="auto"/>
          <w:sz w:val="32"/>
          <w:szCs w:val="32"/>
          <w:highlight w:val="none"/>
          <w:lang w:val="en-US" w:eastAsia="zh-CN"/>
        </w:rPr>
        <w:t>故障及维修费用一经甲方审批确认，乙方需要立即调配或购买材料；一般故障在8小时内、重大故障在48小时内完成故障维修，恢复电梯运行。</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五、维保服务要求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（一）国家法律法规要求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乙方应严格遵守国家法律法规要求，向甲方提供维护保养服务，包括但不限于以下文件（如有文件更新，按最新要求执行）：</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《中华人民共和国特种设备安全法》</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《中华人民共和国安全生产法》</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《特种设备安全监察条例》</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《广东省电梯使用安全条例》</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《广州市电梯安全管理办法》</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《特种设备使用管理规则》（TSG 08-2017）</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《电梯使用管理与维护保养规则》（TSG T5002-2017）</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《电梯监督检验和定期检验规则》（TSG T7001-2023）</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《特种设备重大事故隐患判定准则》（GB45067-2024）</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国家或省、市相关部门颁布的其它技术标准或规范</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设备制造厂家的设备使用说明书及其它技术资料</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（二）质量要求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1.依据《中华人民共和国特种设备安全法》规定，电梯属于特种设备，甲乙双方在使用、维修、保养及日常管理上必须按照特种设备相关规定实施。</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2.乙方应按照规范要求对特种设备进行检查维保工作，填写维护保养记录，资料符合特种设备检验要求。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3.乙方应按规范要求认真组织实施维护保养工作，确保维护质量,保证设备安全运行。</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4.乙方应执行安全规程，确保维保作业安全。</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（三）技术要求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1.乙方必须具备设备清单中各电梯品牌型号的系统结构和维保电梯核心技术的全部维修能力（含软件升级能力），保证电梯正常运行。</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2.乙方必须具备设备清单中各电梯品牌型号的配件购货及运输能力，确保零配件符合原厂正品要求（提供合格证查验）。</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color w:val="auto"/>
          <w:kern w:val="2"/>
          <w:sz w:val="32"/>
          <w:szCs w:val="32"/>
          <w:highlight w:val="none"/>
          <w:lang w:val="en-US" w:eastAsia="zh-CN" w:bidi="ar-SA"/>
        </w:rPr>
        <w:t>维修与保养工作要求</w:t>
      </w:r>
    </w:p>
    <w:p>
      <w:pPr>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1.</w:t>
      </w:r>
      <w:r>
        <w:rPr>
          <w:rFonts w:hint="eastAsia" w:ascii="宋体" w:hAnsi="宋体" w:eastAsia="宋体" w:cs="宋体"/>
          <w:color w:val="auto"/>
          <w:sz w:val="32"/>
          <w:szCs w:val="32"/>
          <w:highlight w:val="none"/>
        </w:rPr>
        <w:t>维修与保养作业应严格执行国家劳动安全、卫生的有关规定，配备好必要的安全、卫生防护措施方可开展工作，严禁违章作业，防止作业过程出现安全生产事故，避免意外发生。</w:t>
      </w:r>
    </w:p>
    <w:p>
      <w:pPr>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2.</w:t>
      </w:r>
      <w:r>
        <w:rPr>
          <w:rFonts w:hint="eastAsia" w:ascii="宋体" w:hAnsi="宋体" w:eastAsia="宋体" w:cs="宋体"/>
          <w:color w:val="auto"/>
          <w:sz w:val="32"/>
          <w:szCs w:val="32"/>
          <w:highlight w:val="none"/>
        </w:rPr>
        <w:t>作业人员必须持有与其作业内容一致的专业资格证书，资格证书应在有效期内。</w:t>
      </w:r>
    </w:p>
    <w:p>
      <w:pPr>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3.</w:t>
      </w:r>
      <w:r>
        <w:rPr>
          <w:rFonts w:hint="eastAsia" w:ascii="宋体" w:hAnsi="宋体" w:eastAsia="宋体" w:cs="宋体"/>
          <w:color w:val="auto"/>
          <w:sz w:val="32"/>
          <w:szCs w:val="32"/>
          <w:highlight w:val="none"/>
        </w:rPr>
        <w:t>一般情况下不</w:t>
      </w:r>
      <w:r>
        <w:rPr>
          <w:rFonts w:hint="eastAsia" w:ascii="宋体" w:hAnsi="宋体" w:eastAsia="宋体" w:cs="宋体"/>
          <w:color w:val="auto"/>
          <w:sz w:val="32"/>
          <w:szCs w:val="32"/>
          <w:highlight w:val="none"/>
          <w:lang w:eastAsia="zh-CN"/>
        </w:rPr>
        <w:t>允许</w:t>
      </w:r>
      <w:r>
        <w:rPr>
          <w:rFonts w:hint="eastAsia" w:ascii="宋体" w:hAnsi="宋体" w:eastAsia="宋体" w:cs="宋体"/>
          <w:color w:val="auto"/>
          <w:sz w:val="32"/>
          <w:szCs w:val="32"/>
          <w:highlight w:val="none"/>
        </w:rPr>
        <w:t>带电作业，如必须带电进行的维修及故障排查，必须严格按照</w:t>
      </w:r>
      <w:r>
        <w:rPr>
          <w:rFonts w:hint="eastAsia" w:ascii="宋体" w:hAnsi="宋体" w:eastAsia="宋体" w:cs="宋体"/>
          <w:color w:val="auto"/>
          <w:sz w:val="32"/>
          <w:szCs w:val="32"/>
          <w:highlight w:val="none"/>
          <w:lang w:eastAsia="zh-CN"/>
        </w:rPr>
        <w:t>作业</w:t>
      </w:r>
      <w:r>
        <w:rPr>
          <w:rFonts w:hint="eastAsia" w:ascii="宋体" w:hAnsi="宋体" w:eastAsia="宋体" w:cs="宋体"/>
          <w:color w:val="auto"/>
          <w:sz w:val="32"/>
          <w:szCs w:val="32"/>
          <w:highlight w:val="none"/>
        </w:rPr>
        <w:t>规程进行作业，并按规定设置监护人，</w:t>
      </w:r>
      <w:r>
        <w:rPr>
          <w:rFonts w:hint="eastAsia" w:ascii="宋体" w:hAnsi="宋体" w:eastAsia="宋体" w:cs="宋体"/>
          <w:color w:val="auto"/>
          <w:sz w:val="32"/>
          <w:szCs w:val="32"/>
          <w:highlight w:val="none"/>
          <w:lang w:eastAsia="zh-CN"/>
        </w:rPr>
        <w:t>做</w:t>
      </w:r>
      <w:r>
        <w:rPr>
          <w:rFonts w:hint="eastAsia" w:ascii="宋体" w:hAnsi="宋体" w:eastAsia="宋体" w:cs="宋体"/>
          <w:color w:val="auto"/>
          <w:sz w:val="32"/>
          <w:szCs w:val="32"/>
          <w:highlight w:val="none"/>
        </w:rPr>
        <w:t>好安全防护，禁止野蛮操作。</w:t>
      </w:r>
    </w:p>
    <w:p>
      <w:pPr>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宋体" w:hAnsi="宋体" w:eastAsia="宋体" w:cs="宋体"/>
          <w:color w:val="auto"/>
          <w:sz w:val="32"/>
          <w:szCs w:val="32"/>
          <w:highlight w:val="none"/>
          <w:lang w:eastAsia="zh-CN"/>
        </w:rPr>
      </w:pPr>
      <w:r>
        <w:rPr>
          <w:rFonts w:hint="eastAsia" w:ascii="宋体" w:hAnsi="宋体" w:eastAsia="宋体" w:cs="宋体"/>
          <w:color w:val="auto"/>
          <w:sz w:val="32"/>
          <w:szCs w:val="32"/>
          <w:highlight w:val="none"/>
          <w:lang w:val="en-US" w:eastAsia="zh-CN"/>
        </w:rPr>
        <w:t>4.如涉及</w:t>
      </w:r>
      <w:r>
        <w:rPr>
          <w:rFonts w:hint="eastAsia" w:ascii="宋体" w:hAnsi="宋体" w:eastAsia="宋体" w:cs="宋体"/>
          <w:color w:val="auto"/>
          <w:sz w:val="32"/>
          <w:szCs w:val="32"/>
          <w:highlight w:val="none"/>
        </w:rPr>
        <w:t>高处作业，作业前应认真检查好登高器具的可靠性，并有可靠的防滑措施。1.5米及以上脚手架、临时平台或临边场所作业时，必须</w:t>
      </w:r>
      <w:r>
        <w:rPr>
          <w:rFonts w:hint="eastAsia" w:ascii="宋体" w:hAnsi="宋体" w:eastAsia="宋体" w:cs="宋体"/>
          <w:color w:val="auto"/>
          <w:sz w:val="32"/>
          <w:szCs w:val="32"/>
          <w:highlight w:val="none"/>
          <w:lang w:val="en-US" w:eastAsia="zh-CN"/>
        </w:rPr>
        <w:t>正确系挂</w:t>
      </w:r>
      <w:r>
        <w:rPr>
          <w:rFonts w:hint="eastAsia" w:ascii="宋体" w:hAnsi="宋体" w:eastAsia="宋体" w:cs="宋体"/>
          <w:color w:val="auto"/>
          <w:sz w:val="32"/>
          <w:szCs w:val="32"/>
          <w:highlight w:val="none"/>
        </w:rPr>
        <w:t>安全带，安全带需挂设于牢固构件上，高度不低于腰部，经检查确认措施可靠时才能开展工作。</w:t>
      </w:r>
      <w:r>
        <w:rPr>
          <w:rFonts w:hint="eastAsia" w:ascii="宋体" w:hAnsi="宋体" w:eastAsia="宋体" w:cs="宋体"/>
          <w:color w:val="auto"/>
          <w:sz w:val="32"/>
          <w:szCs w:val="32"/>
          <w:highlight w:val="none"/>
          <w:lang w:eastAsia="zh-CN"/>
        </w:rPr>
        <w:t>作业时要有必要的人员防护。</w:t>
      </w:r>
    </w:p>
    <w:p>
      <w:pPr>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5.如涉及</w:t>
      </w:r>
      <w:r>
        <w:rPr>
          <w:rFonts w:hint="eastAsia" w:ascii="宋体" w:hAnsi="宋体" w:eastAsia="宋体" w:cs="宋体"/>
          <w:color w:val="auto"/>
          <w:sz w:val="32"/>
          <w:szCs w:val="32"/>
          <w:highlight w:val="none"/>
        </w:rPr>
        <w:t>动火作业</w:t>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rPr>
        <w:t>应在作业开始</w:t>
      </w:r>
      <w:r>
        <w:rPr>
          <w:rFonts w:hint="eastAsia" w:ascii="宋体" w:hAnsi="宋体" w:eastAsia="宋体" w:cs="宋体"/>
          <w:color w:val="auto"/>
          <w:sz w:val="32"/>
          <w:szCs w:val="32"/>
          <w:highlight w:val="none"/>
          <w:lang w:eastAsia="zh-CN"/>
        </w:rPr>
        <w:t>前</w:t>
      </w:r>
      <w:r>
        <w:rPr>
          <w:rFonts w:hint="eastAsia" w:ascii="宋体" w:hAnsi="宋体" w:eastAsia="宋体" w:cs="宋体"/>
          <w:color w:val="auto"/>
          <w:sz w:val="32"/>
          <w:szCs w:val="32"/>
          <w:highlight w:val="none"/>
        </w:rPr>
        <w:t>办理动火审批手续，并按审批表要求落实防火措施，措施落实后方可进行作业。</w:t>
      </w:r>
    </w:p>
    <w:p>
      <w:pPr>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6.</w:t>
      </w:r>
      <w:r>
        <w:rPr>
          <w:rFonts w:hint="eastAsia" w:ascii="宋体" w:hAnsi="宋体" w:eastAsia="宋体" w:cs="宋体"/>
          <w:color w:val="auto"/>
          <w:sz w:val="32"/>
          <w:szCs w:val="32"/>
          <w:highlight w:val="none"/>
        </w:rPr>
        <w:t>维修过程要注意场地、环境、设施设备的安全保护，不得野蛮拆装，不得损坏周边设施</w:t>
      </w:r>
      <w:r>
        <w:rPr>
          <w:rFonts w:hint="eastAsia" w:ascii="宋体" w:hAnsi="宋体" w:eastAsia="宋体" w:cs="宋体"/>
          <w:color w:val="auto"/>
          <w:sz w:val="32"/>
          <w:szCs w:val="32"/>
          <w:highlight w:val="none"/>
          <w:lang w:val="en-US" w:eastAsia="zh-CN"/>
        </w:rPr>
        <w:t>设备</w:t>
      </w:r>
      <w:r>
        <w:rPr>
          <w:rFonts w:hint="eastAsia" w:ascii="宋体" w:hAnsi="宋体" w:eastAsia="宋体" w:cs="宋体"/>
          <w:color w:val="auto"/>
          <w:sz w:val="32"/>
          <w:szCs w:val="32"/>
          <w:highlight w:val="none"/>
        </w:rPr>
        <w:t>。</w:t>
      </w:r>
    </w:p>
    <w:p>
      <w:pPr>
        <w:pageBreakBefore w:val="0"/>
        <w:widowControl w:val="0"/>
        <w:kinsoku/>
        <w:wordWrap/>
        <w:overflowPunct/>
        <w:topLinePunct w:val="0"/>
        <w:autoSpaceDE/>
        <w:autoSpaceDN/>
        <w:bidi w:val="0"/>
        <w:adjustRightInd w:val="0"/>
        <w:snapToGrid w:val="0"/>
        <w:spacing w:line="540" w:lineRule="exact"/>
        <w:ind w:firstLine="640" w:firstLineChars="200"/>
        <w:textAlignment w:val="auto"/>
        <w:outlineLvl w:val="9"/>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7.</w:t>
      </w:r>
      <w:r>
        <w:rPr>
          <w:rFonts w:hint="eastAsia" w:ascii="宋体" w:hAnsi="宋体" w:eastAsia="宋体" w:cs="宋体"/>
          <w:color w:val="auto"/>
          <w:sz w:val="32"/>
          <w:szCs w:val="32"/>
          <w:highlight w:val="none"/>
        </w:rPr>
        <w:t>严格按照合同规定及保养工艺要求的内容提供清洁、润滑、调整和检查等保养服务，承担本合同项下电梯保养质量责任</w:t>
      </w:r>
      <w:r>
        <w:rPr>
          <w:rFonts w:hint="eastAsia" w:ascii="宋体" w:hAnsi="宋体" w:eastAsia="宋体" w:cs="宋体"/>
          <w:color w:val="auto"/>
          <w:sz w:val="32"/>
          <w:szCs w:val="32"/>
          <w:highlight w:val="none"/>
          <w:lang w:eastAsia="zh-CN"/>
        </w:rPr>
        <w:t>；</w:t>
      </w:r>
      <w:r>
        <w:rPr>
          <w:rFonts w:hint="eastAsia" w:ascii="宋体" w:hAnsi="宋体" w:eastAsia="宋体" w:cs="宋体"/>
          <w:color w:val="auto"/>
          <w:sz w:val="32"/>
          <w:szCs w:val="32"/>
          <w:highlight w:val="none"/>
        </w:rPr>
        <w:t>对甲方指出的未达到保养或</w:t>
      </w:r>
      <w:r>
        <w:rPr>
          <w:rFonts w:hint="eastAsia" w:ascii="宋体" w:hAnsi="宋体" w:eastAsia="宋体" w:cs="宋体"/>
          <w:color w:val="auto"/>
          <w:sz w:val="32"/>
          <w:szCs w:val="32"/>
          <w:highlight w:val="none"/>
          <w:lang w:val="en-US" w:eastAsia="zh-CN"/>
        </w:rPr>
        <w:t>维修</w:t>
      </w:r>
      <w:r>
        <w:rPr>
          <w:rFonts w:hint="eastAsia" w:ascii="宋体" w:hAnsi="宋体" w:eastAsia="宋体" w:cs="宋体"/>
          <w:color w:val="auto"/>
          <w:sz w:val="32"/>
          <w:szCs w:val="32"/>
          <w:highlight w:val="none"/>
        </w:rPr>
        <w:t>标准和规定的项目乙方必须无条件进行返工。</w:t>
      </w:r>
    </w:p>
    <w:p>
      <w:pPr>
        <w:pageBreakBefore w:val="0"/>
        <w:widowControl w:val="0"/>
        <w:kinsoku/>
        <w:wordWrap/>
        <w:overflowPunct/>
        <w:topLinePunct w:val="0"/>
        <w:autoSpaceDE/>
        <w:autoSpaceDN/>
        <w:bidi w:val="0"/>
        <w:adjustRightInd w:val="0"/>
        <w:snapToGrid w:val="0"/>
        <w:spacing w:line="540" w:lineRule="exact"/>
        <w:ind w:firstLine="643" w:firstLineChars="200"/>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bCs/>
          <w:color w:val="auto"/>
          <w:sz w:val="32"/>
          <w:szCs w:val="32"/>
          <w:highlight w:val="none"/>
          <w:lang w:val="en-US" w:eastAsia="zh-CN"/>
        </w:rPr>
        <w:t>七、</w:t>
      </w:r>
      <w:r>
        <w:rPr>
          <w:rFonts w:hint="eastAsia" w:ascii="宋体" w:hAnsi="宋体" w:eastAsia="宋体" w:cs="宋体"/>
          <w:b/>
          <w:color w:val="auto"/>
          <w:kern w:val="2"/>
          <w:sz w:val="32"/>
          <w:szCs w:val="32"/>
          <w:highlight w:val="none"/>
          <w:lang w:val="en-US" w:eastAsia="zh-CN" w:bidi="ar-SA"/>
        </w:rPr>
        <w:t>维保人员配置要求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1.乙方负责维护保养的人员为本公司员工，提供员工名册、社保证明在甲方处存档备案；现场从事维保作业人员需购买意外险，提供复印件在甲方处存档备案。</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到本项目从事维保作业的人员必须按国家有关规定持有相关上岗证件，其中项目负责人应持有特种设备安全管理和作业人员证件(作业项目为电梯作业）并具有三年以上维修资格，技术人员应持有作业人员证件(作业项目为电梯作业），以上人员均须提供证件复印件在甲方处存档备案。</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3.乙方应严格按照投标文件中的人员名单及资质要求履行合同，若确需调整更换，应提供同等资质人员，并向甲方提交变更申请。</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4.除日常故障维修处理外，乙方每次开展保养工作均由项目负责人组织实施,并在保养单上签字。</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5.现场维保人员必须着工装，保持着装整洁，遵守甲方现场相关管理规定。</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6.专业设备必须由具备设备原厂专业技术能力的乙方本单位技术人员，或经厂家授权的公司安排的专业工程技术人员提供服务。禁止临时聘用不具备专业技能的人员，否则由此产生的不良后果由乙方承担。</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bCs/>
          <w:color w:val="auto"/>
          <w:sz w:val="32"/>
          <w:szCs w:val="32"/>
          <w:highlight w:val="none"/>
          <w:lang w:val="en-US" w:eastAsia="zh-CN"/>
        </w:rPr>
        <w:t>八、</w:t>
      </w:r>
      <w:r>
        <w:rPr>
          <w:rFonts w:hint="eastAsia" w:ascii="宋体" w:hAnsi="宋体" w:eastAsia="宋体" w:cs="宋体"/>
          <w:b/>
          <w:color w:val="auto"/>
          <w:kern w:val="2"/>
          <w:sz w:val="32"/>
          <w:szCs w:val="32"/>
          <w:highlight w:val="none"/>
          <w:lang w:val="en-US" w:eastAsia="zh-CN" w:bidi="ar-SA"/>
        </w:rPr>
        <w:t>资料管理要求</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1.乙方应于合同生效后的15日内向甲方提交年度保养计划；</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乙方应于每月的25日前向甲方提交下月的保养计划，经甲方审批后按计划实施；同时在每月的5日前提供上月的保养总结，内容应包含对设备设施的关键性数据及关键节点作出真实记录等（现场拍照需留有水印时间）。</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3.季度、半年度、年度保养等总结，乙方应在完成保养工作后的5个工作日内提交对应的总结报告。</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4.乙方应根据本项目的实际情况，并结合本技术规范书、设备清单与使用说明等相关文件要求，对应编制各类表单，形成过程保养记录并作为保养总结附表。</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5.乙方委托设备厂家或检测单位的出具的运行评估报告和检测报告应提供原件；</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6.甲方因管理需要编制的表单，乙方应按要求填写及签收。</w:t>
      </w:r>
    </w:p>
    <w:p>
      <w:pPr>
        <w:pageBreakBefore w:val="0"/>
        <w:widowControl w:val="0"/>
        <w:tabs>
          <w:tab w:val="left" w:pos="7920"/>
        </w:tabs>
        <w:kinsoku/>
        <w:wordWrap/>
        <w:overflowPunct/>
        <w:topLinePunct w:val="0"/>
        <w:autoSpaceDE/>
        <w:autoSpaceDN/>
        <w:bidi w:val="0"/>
        <w:adjustRightInd w:val="0"/>
        <w:snapToGrid w:val="0"/>
        <w:spacing w:line="540" w:lineRule="exact"/>
        <w:ind w:firstLine="643" w:firstLineChars="200"/>
        <w:jc w:val="both"/>
        <w:textAlignment w:val="auto"/>
        <w:outlineLvl w:val="9"/>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九、考核与评价</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1.在合同期到期前一个结款周期内，甲方组织乙方对委托管理设备状况进行履约检查，如发现问题，甲方书面告知乙方进行限期整改，限期内如乙方未完成整改，甲方委托第三方进行询价维修，维修费从乙方最后一个结算周期的结算款中扣除。</w:t>
      </w:r>
    </w:p>
    <w:p>
      <w:pPr>
        <w:pageBreakBefore w:val="0"/>
        <w:widowControl w:val="0"/>
        <w:tabs>
          <w:tab w:val="left" w:pos="7920"/>
        </w:tabs>
        <w:kinsoku/>
        <w:wordWrap/>
        <w:overflowPunct/>
        <w:topLinePunct w:val="0"/>
        <w:autoSpaceDE/>
        <w:autoSpaceDN/>
        <w:bidi w:val="0"/>
        <w:adjustRightInd w:val="0"/>
        <w:snapToGrid w:val="0"/>
        <w:spacing w:line="540" w:lineRule="exact"/>
        <w:ind w:firstLine="640" w:firstLineChars="200"/>
        <w:jc w:val="both"/>
        <w:textAlignment w:val="auto"/>
        <w:outlineLvl w:val="9"/>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2.质量考评：甲方按照约定内容每月对乙方服务质量进行考评，具体考评内容详见下表：</w:t>
      </w:r>
    </w:p>
    <w:p>
      <w:pPr>
        <w:keepNext w:val="0"/>
        <w:keepLines w:val="0"/>
        <w:pageBreakBefore w:val="0"/>
        <w:widowControl w:val="0"/>
        <w:tabs>
          <w:tab w:val="left" w:pos="2373"/>
        </w:tabs>
        <w:kinsoku/>
        <w:wordWrap/>
        <w:overflowPunct/>
        <w:topLinePunct w:val="0"/>
        <w:autoSpaceDE/>
        <w:autoSpaceDN/>
        <w:bidi w:val="0"/>
        <w:adjustRightInd w:val="0"/>
        <w:snapToGrid w:val="0"/>
        <w:spacing w:beforeAutospacing="0" w:afterAutospacing="0" w:line="540" w:lineRule="exact"/>
        <w:jc w:val="center"/>
        <w:textAlignment w:val="auto"/>
        <w:outlineLvl w:val="9"/>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lang w:val="en-US" w:eastAsia="zh-CN"/>
        </w:rPr>
        <w:t>电梯</w:t>
      </w:r>
      <w:r>
        <w:rPr>
          <w:rFonts w:hint="eastAsia" w:ascii="仿宋" w:hAnsi="仿宋" w:eastAsia="仿宋" w:cs="仿宋"/>
          <w:b/>
          <w:bCs/>
          <w:color w:val="auto"/>
          <w:sz w:val="32"/>
          <w:szCs w:val="32"/>
          <w:highlight w:val="none"/>
        </w:rPr>
        <w:t>设备维护保养服务项目质量考核表</w:t>
      </w:r>
    </w:p>
    <w:p>
      <w:pPr>
        <w:keepNext w:val="0"/>
        <w:keepLines w:val="0"/>
        <w:pageBreakBefore w:val="0"/>
        <w:widowControl w:val="0"/>
        <w:kinsoku/>
        <w:wordWrap/>
        <w:overflowPunct/>
        <w:topLinePunct w:val="0"/>
        <w:autoSpaceDE/>
        <w:autoSpaceDN/>
        <w:bidi w:val="0"/>
        <w:spacing w:line="540" w:lineRule="exact"/>
        <w:ind w:left="0" w:lef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维护保养单位：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考核时间：</w:t>
      </w:r>
    </w:p>
    <w:tbl>
      <w:tblPr>
        <w:tblStyle w:val="4"/>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3750"/>
        <w:gridCol w:w="2746"/>
        <w:gridCol w:w="915"/>
        <w:gridCol w:w="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728"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考核项目</w:t>
            </w:r>
          </w:p>
        </w:tc>
        <w:tc>
          <w:tcPr>
            <w:tcW w:w="375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考核内容</w:t>
            </w:r>
          </w:p>
        </w:tc>
        <w:tc>
          <w:tcPr>
            <w:tcW w:w="2746"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评分标准</w:t>
            </w:r>
          </w:p>
        </w:tc>
        <w:tc>
          <w:tcPr>
            <w:tcW w:w="915"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考评得分</w:t>
            </w:r>
          </w:p>
        </w:tc>
        <w:tc>
          <w:tcPr>
            <w:tcW w:w="600" w:type="dxa"/>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应急20%</w:t>
            </w: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电梯出现故障停止运行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小时内</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rPr>
              <w:t>到达现场</w:t>
            </w:r>
            <w:r>
              <w:rPr>
                <w:rFonts w:hint="eastAsia" w:ascii="宋体" w:hAnsi="宋体" w:eastAsia="宋体" w:cs="宋体"/>
                <w:color w:val="auto"/>
                <w:sz w:val="21"/>
                <w:szCs w:val="21"/>
                <w:highlight w:val="none"/>
                <w:lang w:val="en-US" w:eastAsia="zh-CN"/>
              </w:rPr>
              <w:t>处理</w:t>
            </w:r>
            <w:r>
              <w:rPr>
                <w:rFonts w:hint="eastAsia" w:ascii="宋体" w:hAnsi="宋体" w:eastAsia="宋体" w:cs="宋体"/>
                <w:color w:val="auto"/>
                <w:sz w:val="21"/>
                <w:szCs w:val="21"/>
                <w:highlight w:val="none"/>
              </w:rPr>
              <w:t>故障。</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单项单次扣2分。本项满分</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0" w:hRule="atLeast"/>
          <w:jc w:val="center"/>
        </w:trPr>
        <w:tc>
          <w:tcPr>
            <w:tcW w:w="728" w:type="dxa"/>
            <w:vMerge w:val="restart"/>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维保 质量</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0%</w:t>
            </w: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1.未在约定时间内提交计划、总结和故障报告，或者是提交的计划、总结和报告需甲方反复多次提醒后才符合要求。</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检查资料，单项单次扣3分。本项满分3分。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2.例行维护保养记录资料不全或不符合要求。</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检查资料，单项单次扣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分。本项满分</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.例行维护保养质量不符合技术规范书相关要求。</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资料与现场核对，单项单次扣3分。本项满分18分。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.现场维护</w:t>
            </w:r>
            <w:r>
              <w:rPr>
                <w:rFonts w:hint="eastAsia" w:ascii="宋体" w:hAnsi="宋体" w:eastAsia="宋体" w:cs="宋体"/>
                <w:color w:val="auto"/>
                <w:sz w:val="21"/>
                <w:szCs w:val="21"/>
                <w:highlight w:val="none"/>
                <w:lang w:val="en-US" w:eastAsia="zh-CN"/>
              </w:rPr>
              <w:t>保养</w:t>
            </w:r>
            <w:r>
              <w:rPr>
                <w:rFonts w:hint="eastAsia" w:ascii="宋体" w:hAnsi="宋体" w:eastAsia="宋体" w:cs="宋体"/>
                <w:color w:val="auto"/>
                <w:sz w:val="21"/>
                <w:szCs w:val="21"/>
                <w:highlight w:val="none"/>
              </w:rPr>
              <w:t>作业不遵守安全管理规定，存在现场作业安全隐患。</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现场抽查，单项单次扣5分。本项满分5分。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.现场作业人员技术及经验不足造成系统故障或保养后系统未复位。</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现场或事后分析，单项单次扣5分。本项满分5分。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.对隐患现场未采取处理措施，影响系统其它设施运行。</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现场或事后分析，单项单次扣5分。本项满分5分。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.对隐患未及时</w:t>
            </w:r>
            <w:r>
              <w:rPr>
                <w:rFonts w:hint="eastAsia" w:ascii="宋体" w:hAnsi="宋体" w:eastAsia="宋体" w:cs="宋体"/>
                <w:color w:val="auto"/>
                <w:sz w:val="21"/>
                <w:szCs w:val="21"/>
                <w:highlight w:val="none"/>
                <w:lang w:val="en-US" w:eastAsia="zh-CN"/>
              </w:rPr>
              <w:t>填写</w:t>
            </w:r>
            <w:r>
              <w:rPr>
                <w:rFonts w:hint="eastAsia" w:ascii="宋体" w:hAnsi="宋体" w:eastAsia="宋体" w:cs="宋体"/>
                <w:color w:val="auto"/>
                <w:sz w:val="21"/>
                <w:szCs w:val="21"/>
                <w:highlight w:val="none"/>
              </w:rPr>
              <w:t>工作联系单</w:t>
            </w:r>
            <w:r>
              <w:rPr>
                <w:rFonts w:hint="eastAsia" w:ascii="宋体" w:hAnsi="宋体" w:eastAsia="宋体" w:cs="宋体"/>
                <w:color w:val="auto"/>
                <w:sz w:val="21"/>
                <w:szCs w:val="21"/>
                <w:highlight w:val="none"/>
                <w:lang w:val="en-US" w:eastAsia="zh-CN"/>
              </w:rPr>
              <w:t>/维修单提交</w:t>
            </w:r>
            <w:r>
              <w:rPr>
                <w:rFonts w:hint="eastAsia" w:ascii="宋体" w:hAnsi="宋体" w:eastAsia="宋体" w:cs="宋体"/>
                <w:color w:val="auto"/>
                <w:sz w:val="21"/>
                <w:szCs w:val="21"/>
                <w:highlight w:val="none"/>
              </w:rPr>
              <w:t>甲方进行审核。</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检查资料，单项单次扣5分。本项满分5分。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2"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.隐患方案或报价确认后，</w:t>
            </w:r>
            <w:r>
              <w:rPr>
                <w:rFonts w:hint="eastAsia" w:ascii="宋体" w:hAnsi="宋体" w:eastAsia="宋体" w:cs="宋体"/>
                <w:color w:val="auto"/>
                <w:sz w:val="21"/>
                <w:szCs w:val="21"/>
                <w:highlight w:val="none"/>
                <w:lang w:val="en-US" w:eastAsia="zh-CN"/>
              </w:rPr>
              <w:t>7天内未</w:t>
            </w:r>
            <w:r>
              <w:rPr>
                <w:rFonts w:hint="eastAsia" w:ascii="宋体" w:hAnsi="宋体" w:eastAsia="宋体" w:cs="宋体"/>
                <w:color w:val="auto"/>
                <w:sz w:val="21"/>
                <w:szCs w:val="21"/>
                <w:highlight w:val="none"/>
              </w:rPr>
              <w:t>进行整改。</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检查资料，单项单次扣5分。本项满分5分。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restart"/>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其它</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w:t>
            </w: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1.现场维护作业人员未按规定着工装。</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现场检查，单项单次扣</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分。本项满分</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2.不严格遵守甲方管理、不服从甲方合理工作安排。</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资料与现场检查，单项单次扣4分。本项满分8分。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3.现场维保作业发生客户有效投诉。</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核查属实，单项单次扣10分。本项满分10分。</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kern w:val="2"/>
                <w:sz w:val="21"/>
                <w:szCs w:val="21"/>
                <w:highlight w:val="none"/>
                <w:lang w:val="en-US" w:eastAsia="zh-CN" w:bidi="ar-SA"/>
              </w:rPr>
              <w:t>4.每月例行维保开展少于2次，或每次相隔超过15日。现场作业人员少于两人，或到项目从事维保作业的人员未按国家有关规定及技术规范书要求持有相应上岗证件资质，维护保养完成后未如实记录本次维护保养内容并签名。</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核查属实，单项</w:t>
            </w:r>
            <w:r>
              <w:rPr>
                <w:rFonts w:hint="eastAsia" w:ascii="宋体" w:hAnsi="宋体" w:eastAsia="宋体" w:cs="宋体"/>
                <w:color w:val="auto"/>
                <w:sz w:val="21"/>
                <w:szCs w:val="21"/>
                <w:highlight w:val="none"/>
                <w:lang w:val="en-US" w:eastAsia="zh-CN"/>
              </w:rPr>
              <w:t>单次扣4分。</w:t>
            </w:r>
            <w:r>
              <w:rPr>
                <w:rFonts w:hint="eastAsia" w:ascii="宋体" w:hAnsi="宋体" w:eastAsia="宋体" w:cs="宋体"/>
                <w:color w:val="auto"/>
                <w:sz w:val="21"/>
                <w:szCs w:val="21"/>
                <w:highlight w:val="none"/>
              </w:rPr>
              <w:t>本项满分</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restart"/>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直接扣款项</w:t>
            </w:r>
          </w:p>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b/>
                <w:bCs/>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在合同期内</w:t>
            </w:r>
            <w:r>
              <w:rPr>
                <w:rFonts w:hint="eastAsia" w:ascii="宋体" w:hAnsi="宋体" w:eastAsia="宋体" w:cs="宋体"/>
                <w:color w:val="auto"/>
                <w:sz w:val="21"/>
                <w:szCs w:val="21"/>
                <w:highlight w:val="none"/>
                <w:lang w:val="en-US" w:eastAsia="zh-CN"/>
              </w:rPr>
              <w:t>因乙方单方责任导致</w:t>
            </w:r>
            <w:r>
              <w:rPr>
                <w:rFonts w:hint="eastAsia" w:ascii="宋体" w:hAnsi="宋体" w:eastAsia="宋体" w:cs="宋体"/>
                <w:color w:val="auto"/>
                <w:sz w:val="21"/>
                <w:szCs w:val="21"/>
                <w:highlight w:val="none"/>
              </w:rPr>
              <w:t>未通过质检验收</w:t>
            </w:r>
            <w:r>
              <w:rPr>
                <w:rFonts w:hint="eastAsia" w:ascii="宋体" w:hAnsi="宋体" w:eastAsia="宋体" w:cs="宋体"/>
                <w:color w:val="auto"/>
                <w:sz w:val="21"/>
                <w:szCs w:val="21"/>
                <w:highlight w:val="none"/>
                <w:lang w:val="en-US" w:eastAsia="zh-CN"/>
              </w:rPr>
              <w:t>或</w:t>
            </w:r>
            <w:r>
              <w:rPr>
                <w:rFonts w:hint="eastAsia" w:ascii="宋体" w:hAnsi="宋体" w:eastAsia="宋体" w:cs="宋体"/>
                <w:color w:val="auto"/>
                <w:sz w:val="21"/>
                <w:szCs w:val="21"/>
                <w:highlight w:val="none"/>
              </w:rPr>
              <w:t>未协助甲方取得合格证。</w:t>
            </w:r>
          </w:p>
        </w:tc>
        <w:tc>
          <w:tcPr>
            <w:tcW w:w="2746" w:type="dxa"/>
            <w:shd w:val="clear" w:color="auto" w:fill="auto"/>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合同总价扣款</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%比例。</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2.电梯出现困人情形，30分内未到达现场并安全解救人员。</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扣款1000-5000元/次。</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3.未</w:t>
            </w:r>
            <w:r>
              <w:rPr>
                <w:rFonts w:hint="eastAsia" w:ascii="宋体" w:hAnsi="宋体" w:eastAsia="宋体" w:cs="宋体"/>
                <w:color w:val="auto"/>
                <w:sz w:val="21"/>
                <w:szCs w:val="21"/>
                <w:highlight w:val="none"/>
                <w:lang w:eastAsia="zh-CN"/>
              </w:rPr>
              <w:t>严格按照投标文件中的人员名单及资质履行合同或提交变更申请。</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未经允许更换</w:t>
            </w:r>
            <w:r>
              <w:rPr>
                <w:rFonts w:hint="eastAsia" w:ascii="宋体" w:hAnsi="宋体" w:eastAsia="宋体" w:cs="宋体"/>
                <w:color w:val="auto"/>
                <w:sz w:val="21"/>
                <w:szCs w:val="21"/>
                <w:highlight w:val="none"/>
                <w:lang w:eastAsia="zh-CN"/>
              </w:rPr>
              <w:t>项目负责人，</w:t>
            </w:r>
            <w:r>
              <w:rPr>
                <w:rFonts w:hint="eastAsia" w:ascii="宋体" w:hAnsi="宋体" w:eastAsia="宋体" w:cs="宋体"/>
                <w:color w:val="auto"/>
                <w:sz w:val="21"/>
                <w:szCs w:val="21"/>
                <w:highlight w:val="none"/>
                <w:lang w:val="en-US" w:eastAsia="zh-CN"/>
              </w:rPr>
              <w:t>扣款500元/月；未经允许更换技术人员，扣款200元/月。</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bCs/>
                <w:color w:val="auto"/>
                <w:sz w:val="21"/>
                <w:szCs w:val="21"/>
                <w:highlight w:val="none"/>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4.未严格按照合同要求进行维保工作，出现漏保缺次等情况。</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若出现漏保缺次情况</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不予支付当项费用，且月度扣款500元/台；未按要求进行季度检查，扣款1000元/次；未按要求进行半年/年度检查，扣款3000元/次。</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bCs/>
                <w:color w:val="auto"/>
                <w:sz w:val="21"/>
                <w:szCs w:val="21"/>
                <w:highlight w:val="none"/>
                <w:lang w:val="en-US" w:eastAsia="zh-CN"/>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color w:val="auto"/>
                <w:sz w:val="21"/>
                <w:szCs w:val="21"/>
                <w:highlight w:val="none"/>
              </w:rPr>
              <w:t>多次维保出现问题，设备故障多发频发</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经甲方要求整改后改善效果不佳</w:t>
            </w:r>
            <w:r>
              <w:rPr>
                <w:rFonts w:hint="eastAsia" w:ascii="宋体" w:hAnsi="宋体" w:eastAsia="宋体" w:cs="宋体"/>
                <w:color w:val="auto"/>
                <w:sz w:val="21"/>
                <w:szCs w:val="21"/>
                <w:highlight w:val="none"/>
                <w:lang w:eastAsia="zh-CN"/>
              </w:rPr>
              <w:t>。</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视情况扣除当月服务费</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00-</w:t>
            </w:r>
            <w:r>
              <w:rPr>
                <w:rFonts w:hint="eastAsia" w:ascii="宋体" w:hAnsi="宋体" w:eastAsia="宋体" w:cs="宋体"/>
                <w:color w:val="auto"/>
                <w:sz w:val="21"/>
                <w:szCs w:val="21"/>
                <w:highlight w:val="none"/>
                <w:lang w:val="en-US" w:eastAsia="zh-CN"/>
              </w:rPr>
              <w:t>20</w:t>
            </w:r>
            <w:r>
              <w:rPr>
                <w:rFonts w:hint="eastAsia" w:ascii="宋体" w:hAnsi="宋体" w:eastAsia="宋体" w:cs="宋体"/>
                <w:color w:val="auto"/>
                <w:sz w:val="21"/>
                <w:szCs w:val="21"/>
                <w:highlight w:val="none"/>
              </w:rPr>
              <w:t>00元</w:t>
            </w:r>
            <w:r>
              <w:rPr>
                <w:rFonts w:hint="eastAsia" w:ascii="宋体" w:hAnsi="宋体" w:eastAsia="宋体" w:cs="宋体"/>
                <w:color w:val="auto"/>
                <w:sz w:val="21"/>
                <w:szCs w:val="21"/>
                <w:highlight w:val="none"/>
                <w:lang w:eastAsia="zh-CN"/>
              </w:rPr>
              <w:t>。</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bCs/>
                <w:color w:val="auto"/>
                <w:sz w:val="21"/>
                <w:szCs w:val="21"/>
                <w:highlight w:val="none"/>
                <w:lang w:val="en-US" w:eastAsia="zh-CN"/>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6.维护保养、应急抢险作业中未落实现场安全防护措施（作业前在维护保养的电梯主要入口处未设置围栏并张贴温馨提示“检修停用”、“例行检查保养”，维修检查电梯时载客载货，或不佩戴、未规范佩戴个人安全防护器具）。</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视情况扣除当月服务费500-1000元</w:t>
            </w:r>
            <w:r>
              <w:rPr>
                <w:rFonts w:hint="eastAsia" w:ascii="宋体" w:hAnsi="宋体" w:eastAsia="宋体" w:cs="宋体"/>
                <w:color w:val="auto"/>
                <w:sz w:val="21"/>
                <w:szCs w:val="21"/>
                <w:highlight w:val="none"/>
                <w:lang w:eastAsia="zh-CN"/>
              </w:rPr>
              <w:t>。</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8" w:type="dxa"/>
            <w:vMerge w:val="continue"/>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bCs/>
                <w:color w:val="auto"/>
                <w:sz w:val="21"/>
                <w:szCs w:val="21"/>
                <w:highlight w:val="none"/>
                <w:lang w:val="en-US" w:eastAsia="zh-CN"/>
              </w:rPr>
            </w:pPr>
          </w:p>
        </w:tc>
        <w:tc>
          <w:tcPr>
            <w:tcW w:w="3750"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7.在发生电梯困人故障、重大安全故障，或者是甲方认为威胁到安全运行的故障后，经甲方多次提醒仍不提交故障分析报告。</w:t>
            </w:r>
          </w:p>
        </w:tc>
        <w:tc>
          <w:tcPr>
            <w:tcW w:w="2746" w:type="dxa"/>
            <w:noWrap w:val="0"/>
            <w:vAlign w:val="center"/>
          </w:tcPr>
          <w:p>
            <w:pPr>
              <w:pageBreakBefore w:val="0"/>
              <w:widowControl w:val="0"/>
              <w:kinsoku/>
              <w:wordWrap/>
              <w:overflowPunct/>
              <w:topLinePunct w:val="0"/>
              <w:autoSpaceDE/>
              <w:autoSpaceDN/>
              <w:bidi w:val="0"/>
              <w:spacing w:line="240" w:lineRule="auto"/>
              <w:jc w:val="both"/>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视情况扣除当月服务费</w:t>
            </w: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00-</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000元</w:t>
            </w:r>
            <w:r>
              <w:rPr>
                <w:rFonts w:hint="eastAsia" w:ascii="宋体" w:hAnsi="宋体" w:eastAsia="宋体" w:cs="宋体"/>
                <w:color w:val="auto"/>
                <w:sz w:val="21"/>
                <w:szCs w:val="21"/>
                <w:highlight w:val="none"/>
                <w:lang w:eastAsia="zh-CN"/>
              </w:rPr>
              <w:t>。</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1"/>
                <w:szCs w:val="21"/>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9" w:hRule="atLeast"/>
          <w:jc w:val="center"/>
        </w:trPr>
        <w:tc>
          <w:tcPr>
            <w:tcW w:w="7224" w:type="dxa"/>
            <w:gridSpan w:val="3"/>
            <w:noWrap w:val="0"/>
            <w:vAlign w:val="center"/>
          </w:tcPr>
          <w:p>
            <w:pPr>
              <w:pageBreakBefore w:val="0"/>
              <w:widowControl w:val="0"/>
              <w:kinsoku/>
              <w:wordWrap/>
              <w:overflowPunct/>
              <w:topLinePunct w:val="0"/>
              <w:autoSpaceDE/>
              <w:autoSpaceDN/>
              <w:bidi w:val="0"/>
              <w:spacing w:line="240" w:lineRule="auto"/>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合  计</w:t>
            </w:r>
          </w:p>
        </w:tc>
        <w:tc>
          <w:tcPr>
            <w:tcW w:w="915" w:type="dxa"/>
            <w:noWrap w:val="0"/>
            <w:vAlign w:val="center"/>
          </w:tcPr>
          <w:p>
            <w:pPr>
              <w:pageBreakBefore w:val="0"/>
              <w:widowControl w:val="0"/>
              <w:kinsoku/>
              <w:wordWrap/>
              <w:overflowPunct/>
              <w:topLinePunct w:val="0"/>
              <w:autoSpaceDE/>
              <w:autoSpaceDN/>
              <w:bidi w:val="0"/>
              <w:spacing w:line="29" w:lineRule="atLeast"/>
              <w:jc w:val="center"/>
              <w:textAlignment w:val="auto"/>
              <w:outlineLvl w:val="9"/>
              <w:rPr>
                <w:rFonts w:hint="eastAsia" w:ascii="宋体" w:hAnsi="宋体" w:eastAsia="宋体" w:cs="宋体"/>
                <w:color w:val="auto"/>
                <w:sz w:val="24"/>
                <w:szCs w:val="24"/>
                <w:highlight w:val="none"/>
              </w:rPr>
            </w:pPr>
          </w:p>
        </w:tc>
        <w:tc>
          <w:tcPr>
            <w:tcW w:w="600" w:type="dxa"/>
            <w:noWrap w:val="0"/>
            <w:vAlign w:val="center"/>
          </w:tcPr>
          <w:p>
            <w:pPr>
              <w:pageBreakBefore w:val="0"/>
              <w:widowControl w:val="0"/>
              <w:kinsoku/>
              <w:wordWrap/>
              <w:overflowPunct/>
              <w:topLinePunct w:val="0"/>
              <w:autoSpaceDE/>
              <w:autoSpaceDN/>
              <w:bidi w:val="0"/>
              <w:spacing w:line="29" w:lineRule="atLeast"/>
              <w:jc w:val="both"/>
              <w:textAlignment w:val="auto"/>
              <w:outlineLvl w:val="9"/>
              <w:rPr>
                <w:rFonts w:hint="eastAsia" w:ascii="宋体" w:hAnsi="宋体" w:eastAsia="宋体" w:cs="宋体"/>
                <w:color w:val="auto"/>
                <w:sz w:val="24"/>
                <w:szCs w:val="24"/>
                <w:highlight w:val="none"/>
              </w:rPr>
            </w:pPr>
          </w:p>
        </w:tc>
      </w:tr>
    </w:tbl>
    <w:p>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left="0" w:lef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考核说明：</w:t>
      </w:r>
    </w:p>
    <w:p>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1.此表考核内容作为合同付款依据之一。</w:t>
      </w:r>
    </w:p>
    <w:p>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left="0" w:lef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2.每月考核分90分（含）</w:t>
      </w:r>
      <w:r>
        <w:rPr>
          <w:rFonts w:hint="eastAsia" w:ascii="宋体" w:hAnsi="宋体" w:eastAsia="宋体" w:cs="宋体"/>
          <w:color w:val="auto"/>
          <w:sz w:val="24"/>
          <w:szCs w:val="24"/>
          <w:highlight w:val="none"/>
          <w:lang w:val="en-US" w:eastAsia="zh-CN"/>
        </w:rPr>
        <w:t>以上</w:t>
      </w:r>
      <w:r>
        <w:rPr>
          <w:rFonts w:hint="eastAsia" w:ascii="宋体" w:hAnsi="宋体" w:eastAsia="宋体" w:cs="宋体"/>
          <w:color w:val="auto"/>
          <w:sz w:val="24"/>
          <w:szCs w:val="24"/>
          <w:highlight w:val="none"/>
        </w:rPr>
        <w:t>为合格，不折合扣款；在80（含）-90分区间内，每分折合扣款100元；在</w:t>
      </w:r>
      <w:r>
        <w:rPr>
          <w:rFonts w:hint="eastAsia" w:ascii="宋体" w:hAnsi="宋体" w:eastAsia="宋体" w:cs="宋体"/>
          <w:color w:val="auto"/>
          <w:sz w:val="24"/>
          <w:szCs w:val="24"/>
          <w:highlight w:val="none"/>
          <w:lang w:val="en-US" w:eastAsia="zh-CN"/>
        </w:rPr>
        <w:t>80分以下</w:t>
      </w:r>
      <w:r>
        <w:rPr>
          <w:rFonts w:hint="eastAsia" w:ascii="宋体" w:hAnsi="宋体" w:eastAsia="宋体" w:cs="宋体"/>
          <w:color w:val="auto"/>
          <w:sz w:val="24"/>
          <w:szCs w:val="24"/>
          <w:highlight w:val="none"/>
        </w:rPr>
        <w:t>区间内，每分折合扣款200元。每</w:t>
      </w:r>
      <w:r>
        <w:rPr>
          <w:rFonts w:hint="eastAsia" w:ascii="宋体" w:hAnsi="宋体" w:eastAsia="宋体" w:cs="宋体"/>
          <w:color w:val="auto"/>
          <w:sz w:val="24"/>
          <w:szCs w:val="24"/>
          <w:highlight w:val="none"/>
          <w:lang w:eastAsia="zh-CN"/>
        </w:rPr>
        <w:t>个支付周期</w:t>
      </w:r>
      <w:r>
        <w:rPr>
          <w:rFonts w:hint="eastAsia" w:ascii="宋体" w:hAnsi="宋体" w:eastAsia="宋体" w:cs="宋体"/>
          <w:color w:val="auto"/>
          <w:sz w:val="24"/>
          <w:szCs w:val="24"/>
          <w:highlight w:val="none"/>
        </w:rPr>
        <w:t>进行汇总，不计算平均分。</w:t>
      </w:r>
    </w:p>
    <w:p>
      <w:pPr>
        <w:keepNext w:val="0"/>
        <w:keepLines w:val="0"/>
        <w:pageBreakBefore w:val="0"/>
        <w:widowControl w:val="0"/>
        <w:kinsoku/>
        <w:wordWrap/>
        <w:overflowPunct/>
        <w:topLinePunct w:val="0"/>
        <w:autoSpaceDE/>
        <w:autoSpaceDN/>
        <w:bidi w:val="0"/>
        <w:adjustRightInd w:val="0"/>
        <w:snapToGrid w:val="0"/>
        <w:spacing w:beforeAutospacing="0" w:afterAutospacing="0" w:line="480" w:lineRule="exact"/>
        <w:ind w:left="0" w:leftChars="0" w:firstLine="480" w:firstLineChars="200"/>
        <w:textAlignment w:val="auto"/>
        <w:outlineLvl w:val="9"/>
        <w:rPr>
          <w:rFonts w:hint="eastAsia"/>
          <w:color w:val="auto"/>
          <w:sz w:val="24"/>
          <w:szCs w:val="24"/>
          <w:highlight w:val="none"/>
          <w:lang w:val="en-US" w:eastAsia="zh-CN"/>
        </w:rPr>
      </w:pPr>
      <w:r>
        <w:rPr>
          <w:rFonts w:hint="eastAsia" w:ascii="宋体" w:hAnsi="宋体" w:eastAsia="宋体" w:cs="宋体"/>
          <w:color w:val="auto"/>
          <w:sz w:val="24"/>
          <w:szCs w:val="24"/>
          <w:highlight w:val="none"/>
        </w:rPr>
        <w:t>3.此表由甲方依据合同约定与考核项目对乙方进行考核，单项扣分不设上限。</w:t>
      </w:r>
    </w:p>
    <w:sectPr>
      <w:pgSz w:w="11906" w:h="16838"/>
      <w:pgMar w:top="1440" w:right="1474" w:bottom="1440" w:left="1587"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50789"/>
    <w:rsid w:val="00153EB8"/>
    <w:rsid w:val="00202B31"/>
    <w:rsid w:val="00231050"/>
    <w:rsid w:val="0023570B"/>
    <w:rsid w:val="00247662"/>
    <w:rsid w:val="00292733"/>
    <w:rsid w:val="004047DD"/>
    <w:rsid w:val="00415D8F"/>
    <w:rsid w:val="004811F6"/>
    <w:rsid w:val="004C0639"/>
    <w:rsid w:val="005B0721"/>
    <w:rsid w:val="006604F9"/>
    <w:rsid w:val="007625A2"/>
    <w:rsid w:val="007B3DF3"/>
    <w:rsid w:val="00AD557C"/>
    <w:rsid w:val="00B10C52"/>
    <w:rsid w:val="00F3541C"/>
    <w:rsid w:val="00F63CAC"/>
    <w:rsid w:val="00F714EE"/>
    <w:rsid w:val="00FB4766"/>
    <w:rsid w:val="00FC665C"/>
    <w:rsid w:val="010574E6"/>
    <w:rsid w:val="013F75D8"/>
    <w:rsid w:val="016149C2"/>
    <w:rsid w:val="01672104"/>
    <w:rsid w:val="017D59BF"/>
    <w:rsid w:val="017F22F2"/>
    <w:rsid w:val="01977B4D"/>
    <w:rsid w:val="019C545C"/>
    <w:rsid w:val="01A44083"/>
    <w:rsid w:val="01C80C27"/>
    <w:rsid w:val="01CA5A48"/>
    <w:rsid w:val="01E302DE"/>
    <w:rsid w:val="01F42351"/>
    <w:rsid w:val="02007D61"/>
    <w:rsid w:val="02255A5B"/>
    <w:rsid w:val="02371399"/>
    <w:rsid w:val="024C7952"/>
    <w:rsid w:val="02657A08"/>
    <w:rsid w:val="026E783C"/>
    <w:rsid w:val="02746DCA"/>
    <w:rsid w:val="02B110B3"/>
    <w:rsid w:val="02B76935"/>
    <w:rsid w:val="02C94590"/>
    <w:rsid w:val="02CD4F56"/>
    <w:rsid w:val="02D45C7F"/>
    <w:rsid w:val="02E02CF5"/>
    <w:rsid w:val="02E14804"/>
    <w:rsid w:val="02E64D7F"/>
    <w:rsid w:val="02EB448F"/>
    <w:rsid w:val="03124D85"/>
    <w:rsid w:val="03181074"/>
    <w:rsid w:val="033247B1"/>
    <w:rsid w:val="03447417"/>
    <w:rsid w:val="03447FAB"/>
    <w:rsid w:val="035D2C13"/>
    <w:rsid w:val="036B5BA7"/>
    <w:rsid w:val="03842166"/>
    <w:rsid w:val="038E1E43"/>
    <w:rsid w:val="03A11C3E"/>
    <w:rsid w:val="03AB0297"/>
    <w:rsid w:val="03AD5133"/>
    <w:rsid w:val="03D67707"/>
    <w:rsid w:val="03DC77A6"/>
    <w:rsid w:val="03DD6503"/>
    <w:rsid w:val="03DF6366"/>
    <w:rsid w:val="03E14DD6"/>
    <w:rsid w:val="03F95247"/>
    <w:rsid w:val="04327722"/>
    <w:rsid w:val="043A6748"/>
    <w:rsid w:val="043C20F2"/>
    <w:rsid w:val="043C3D8D"/>
    <w:rsid w:val="043D5744"/>
    <w:rsid w:val="044C199C"/>
    <w:rsid w:val="044D1992"/>
    <w:rsid w:val="044E5367"/>
    <w:rsid w:val="046243FB"/>
    <w:rsid w:val="04926796"/>
    <w:rsid w:val="049C3478"/>
    <w:rsid w:val="04A23C88"/>
    <w:rsid w:val="04A73792"/>
    <w:rsid w:val="04A87800"/>
    <w:rsid w:val="04B038AA"/>
    <w:rsid w:val="04C356E5"/>
    <w:rsid w:val="04D06B20"/>
    <w:rsid w:val="04E354CD"/>
    <w:rsid w:val="04EF2122"/>
    <w:rsid w:val="05045112"/>
    <w:rsid w:val="050B5A53"/>
    <w:rsid w:val="05117C08"/>
    <w:rsid w:val="051B5D7A"/>
    <w:rsid w:val="05360368"/>
    <w:rsid w:val="053E0179"/>
    <w:rsid w:val="05446DE2"/>
    <w:rsid w:val="05597B9D"/>
    <w:rsid w:val="05734888"/>
    <w:rsid w:val="05751EE5"/>
    <w:rsid w:val="05DE29E7"/>
    <w:rsid w:val="05E01FFB"/>
    <w:rsid w:val="05EC1B69"/>
    <w:rsid w:val="05EE4E20"/>
    <w:rsid w:val="05F658DC"/>
    <w:rsid w:val="06104152"/>
    <w:rsid w:val="062110C7"/>
    <w:rsid w:val="06216A2A"/>
    <w:rsid w:val="063F62A3"/>
    <w:rsid w:val="06403652"/>
    <w:rsid w:val="06445D1B"/>
    <w:rsid w:val="06921ABF"/>
    <w:rsid w:val="06927165"/>
    <w:rsid w:val="069C2D23"/>
    <w:rsid w:val="06A6497D"/>
    <w:rsid w:val="07135820"/>
    <w:rsid w:val="072F0809"/>
    <w:rsid w:val="07344FAE"/>
    <w:rsid w:val="0740057E"/>
    <w:rsid w:val="074D3E1D"/>
    <w:rsid w:val="074D6879"/>
    <w:rsid w:val="07502DD9"/>
    <w:rsid w:val="07666CA8"/>
    <w:rsid w:val="07696465"/>
    <w:rsid w:val="07773DC4"/>
    <w:rsid w:val="077D56A8"/>
    <w:rsid w:val="078200FC"/>
    <w:rsid w:val="078271E1"/>
    <w:rsid w:val="07946593"/>
    <w:rsid w:val="07C07855"/>
    <w:rsid w:val="07C549EF"/>
    <w:rsid w:val="07C57FF2"/>
    <w:rsid w:val="080631CF"/>
    <w:rsid w:val="08207DE9"/>
    <w:rsid w:val="08325C98"/>
    <w:rsid w:val="083F5655"/>
    <w:rsid w:val="08583A3F"/>
    <w:rsid w:val="085B5B17"/>
    <w:rsid w:val="08646F37"/>
    <w:rsid w:val="088D14AE"/>
    <w:rsid w:val="088F55CA"/>
    <w:rsid w:val="08A56A8E"/>
    <w:rsid w:val="08AF2B77"/>
    <w:rsid w:val="08AF70C3"/>
    <w:rsid w:val="08B25A31"/>
    <w:rsid w:val="08C25D14"/>
    <w:rsid w:val="08C9551D"/>
    <w:rsid w:val="08F44FF9"/>
    <w:rsid w:val="090032A7"/>
    <w:rsid w:val="09125F9D"/>
    <w:rsid w:val="0917687C"/>
    <w:rsid w:val="09221864"/>
    <w:rsid w:val="095477CD"/>
    <w:rsid w:val="09614D69"/>
    <w:rsid w:val="09666749"/>
    <w:rsid w:val="09682B58"/>
    <w:rsid w:val="09754743"/>
    <w:rsid w:val="09942FE3"/>
    <w:rsid w:val="09A8281D"/>
    <w:rsid w:val="09BB3B88"/>
    <w:rsid w:val="09C122D9"/>
    <w:rsid w:val="09CA6833"/>
    <w:rsid w:val="0A0C2BC1"/>
    <w:rsid w:val="0A10781A"/>
    <w:rsid w:val="0A1922E5"/>
    <w:rsid w:val="0A49503D"/>
    <w:rsid w:val="0A497D84"/>
    <w:rsid w:val="0A4D6C49"/>
    <w:rsid w:val="0A505369"/>
    <w:rsid w:val="0A6F7152"/>
    <w:rsid w:val="0AB355A1"/>
    <w:rsid w:val="0ACC403B"/>
    <w:rsid w:val="0AD576AC"/>
    <w:rsid w:val="0AE17346"/>
    <w:rsid w:val="0B1351FB"/>
    <w:rsid w:val="0B21414C"/>
    <w:rsid w:val="0B2C0D5C"/>
    <w:rsid w:val="0B5A37B3"/>
    <w:rsid w:val="0B77251C"/>
    <w:rsid w:val="0B806A83"/>
    <w:rsid w:val="0B88129D"/>
    <w:rsid w:val="0BA400A8"/>
    <w:rsid w:val="0BAA066A"/>
    <w:rsid w:val="0BC35523"/>
    <w:rsid w:val="0BD70E5F"/>
    <w:rsid w:val="0BE4215F"/>
    <w:rsid w:val="0C027902"/>
    <w:rsid w:val="0C03723B"/>
    <w:rsid w:val="0C091A36"/>
    <w:rsid w:val="0C0E5ED3"/>
    <w:rsid w:val="0C3B2A6A"/>
    <w:rsid w:val="0C447241"/>
    <w:rsid w:val="0C45550C"/>
    <w:rsid w:val="0C471275"/>
    <w:rsid w:val="0C4B3375"/>
    <w:rsid w:val="0C566FA1"/>
    <w:rsid w:val="0C5873A8"/>
    <w:rsid w:val="0C5E0BC8"/>
    <w:rsid w:val="0CAD0896"/>
    <w:rsid w:val="0CB42352"/>
    <w:rsid w:val="0CBE48F4"/>
    <w:rsid w:val="0CBE7B30"/>
    <w:rsid w:val="0CC11294"/>
    <w:rsid w:val="0CC1305D"/>
    <w:rsid w:val="0CD7731A"/>
    <w:rsid w:val="0CDC2CF4"/>
    <w:rsid w:val="0CE362C1"/>
    <w:rsid w:val="0CF77E01"/>
    <w:rsid w:val="0D2534E0"/>
    <w:rsid w:val="0D466AFB"/>
    <w:rsid w:val="0D4F1069"/>
    <w:rsid w:val="0D637087"/>
    <w:rsid w:val="0D6B6566"/>
    <w:rsid w:val="0D774C17"/>
    <w:rsid w:val="0D7F596B"/>
    <w:rsid w:val="0D88430E"/>
    <w:rsid w:val="0D94714F"/>
    <w:rsid w:val="0DBD4E63"/>
    <w:rsid w:val="0DF77AF7"/>
    <w:rsid w:val="0E133897"/>
    <w:rsid w:val="0E342EC6"/>
    <w:rsid w:val="0E514112"/>
    <w:rsid w:val="0E7A7C39"/>
    <w:rsid w:val="0E820337"/>
    <w:rsid w:val="0E941176"/>
    <w:rsid w:val="0EA945A7"/>
    <w:rsid w:val="0EC565CC"/>
    <w:rsid w:val="0F0A0791"/>
    <w:rsid w:val="0F675286"/>
    <w:rsid w:val="0F736AD2"/>
    <w:rsid w:val="0F792685"/>
    <w:rsid w:val="0FA074A1"/>
    <w:rsid w:val="0FA40946"/>
    <w:rsid w:val="0FC10ECE"/>
    <w:rsid w:val="0FD508AB"/>
    <w:rsid w:val="0FD737E7"/>
    <w:rsid w:val="0FDE5259"/>
    <w:rsid w:val="0FE84A14"/>
    <w:rsid w:val="0FEE29CB"/>
    <w:rsid w:val="1001511A"/>
    <w:rsid w:val="10401B4D"/>
    <w:rsid w:val="104B0C76"/>
    <w:rsid w:val="105503E9"/>
    <w:rsid w:val="105C52FD"/>
    <w:rsid w:val="106E3CD1"/>
    <w:rsid w:val="109E4F63"/>
    <w:rsid w:val="10B9319E"/>
    <w:rsid w:val="10BB60CF"/>
    <w:rsid w:val="10BC15C0"/>
    <w:rsid w:val="10E839CD"/>
    <w:rsid w:val="11143CD9"/>
    <w:rsid w:val="111C0EDD"/>
    <w:rsid w:val="1126453B"/>
    <w:rsid w:val="11275FA3"/>
    <w:rsid w:val="112B6D88"/>
    <w:rsid w:val="11364FEF"/>
    <w:rsid w:val="1155703C"/>
    <w:rsid w:val="11585A4D"/>
    <w:rsid w:val="117F7EE8"/>
    <w:rsid w:val="11C36931"/>
    <w:rsid w:val="11CB31AC"/>
    <w:rsid w:val="11E061A8"/>
    <w:rsid w:val="12033A34"/>
    <w:rsid w:val="12162983"/>
    <w:rsid w:val="121F65FA"/>
    <w:rsid w:val="12676F9D"/>
    <w:rsid w:val="126B1CFE"/>
    <w:rsid w:val="12767EBE"/>
    <w:rsid w:val="12885308"/>
    <w:rsid w:val="129717B0"/>
    <w:rsid w:val="12B3556A"/>
    <w:rsid w:val="12C43F70"/>
    <w:rsid w:val="12D25834"/>
    <w:rsid w:val="12E13121"/>
    <w:rsid w:val="12FE6E87"/>
    <w:rsid w:val="130C2A2B"/>
    <w:rsid w:val="13181B7B"/>
    <w:rsid w:val="132309EE"/>
    <w:rsid w:val="13336A8A"/>
    <w:rsid w:val="135D0B7E"/>
    <w:rsid w:val="135D0CBC"/>
    <w:rsid w:val="137D7CE0"/>
    <w:rsid w:val="137E1DE6"/>
    <w:rsid w:val="138426AD"/>
    <w:rsid w:val="138456B3"/>
    <w:rsid w:val="13854BAD"/>
    <w:rsid w:val="13A93906"/>
    <w:rsid w:val="14401CB8"/>
    <w:rsid w:val="14416151"/>
    <w:rsid w:val="149C7214"/>
    <w:rsid w:val="14B95358"/>
    <w:rsid w:val="14D623AA"/>
    <w:rsid w:val="14DA1DE0"/>
    <w:rsid w:val="14E66E07"/>
    <w:rsid w:val="15052D78"/>
    <w:rsid w:val="15090991"/>
    <w:rsid w:val="151E0BE4"/>
    <w:rsid w:val="152448B5"/>
    <w:rsid w:val="153C0A11"/>
    <w:rsid w:val="153E23EF"/>
    <w:rsid w:val="15413EE7"/>
    <w:rsid w:val="154D4490"/>
    <w:rsid w:val="155E3E46"/>
    <w:rsid w:val="158703E8"/>
    <w:rsid w:val="15881084"/>
    <w:rsid w:val="158D22E5"/>
    <w:rsid w:val="15A835C1"/>
    <w:rsid w:val="15B3311C"/>
    <w:rsid w:val="15FA6757"/>
    <w:rsid w:val="15FB71BE"/>
    <w:rsid w:val="160B1D78"/>
    <w:rsid w:val="16336169"/>
    <w:rsid w:val="16384F17"/>
    <w:rsid w:val="16405023"/>
    <w:rsid w:val="166E0074"/>
    <w:rsid w:val="16931C8D"/>
    <w:rsid w:val="16AE7E75"/>
    <w:rsid w:val="16BB2080"/>
    <w:rsid w:val="16DD3E92"/>
    <w:rsid w:val="16E1489C"/>
    <w:rsid w:val="17161667"/>
    <w:rsid w:val="171656D8"/>
    <w:rsid w:val="171D4860"/>
    <w:rsid w:val="17231B4D"/>
    <w:rsid w:val="172B0093"/>
    <w:rsid w:val="172E0607"/>
    <w:rsid w:val="174724AE"/>
    <w:rsid w:val="17656868"/>
    <w:rsid w:val="17683B70"/>
    <w:rsid w:val="176E4E3B"/>
    <w:rsid w:val="17762096"/>
    <w:rsid w:val="17847CB4"/>
    <w:rsid w:val="179478DC"/>
    <w:rsid w:val="179629D2"/>
    <w:rsid w:val="17AD2638"/>
    <w:rsid w:val="17AD596A"/>
    <w:rsid w:val="17DB6781"/>
    <w:rsid w:val="17E1744D"/>
    <w:rsid w:val="1821103C"/>
    <w:rsid w:val="18260322"/>
    <w:rsid w:val="182E45E3"/>
    <w:rsid w:val="18320327"/>
    <w:rsid w:val="18535742"/>
    <w:rsid w:val="186076C3"/>
    <w:rsid w:val="186572E6"/>
    <w:rsid w:val="1867198D"/>
    <w:rsid w:val="186C3544"/>
    <w:rsid w:val="188469B7"/>
    <w:rsid w:val="189D356F"/>
    <w:rsid w:val="18A40770"/>
    <w:rsid w:val="18B0182E"/>
    <w:rsid w:val="18CA7B95"/>
    <w:rsid w:val="18EB1575"/>
    <w:rsid w:val="190102FC"/>
    <w:rsid w:val="1912666C"/>
    <w:rsid w:val="191E02C5"/>
    <w:rsid w:val="19346D5B"/>
    <w:rsid w:val="193D1D53"/>
    <w:rsid w:val="196D2C32"/>
    <w:rsid w:val="196E257A"/>
    <w:rsid w:val="197026C0"/>
    <w:rsid w:val="197B3872"/>
    <w:rsid w:val="198E34C4"/>
    <w:rsid w:val="199D5CF9"/>
    <w:rsid w:val="199F0008"/>
    <w:rsid w:val="19A87D3E"/>
    <w:rsid w:val="19BE388C"/>
    <w:rsid w:val="19C04FC4"/>
    <w:rsid w:val="19F41E2A"/>
    <w:rsid w:val="19F64A86"/>
    <w:rsid w:val="1A1B16C8"/>
    <w:rsid w:val="1A90570B"/>
    <w:rsid w:val="1AA26937"/>
    <w:rsid w:val="1AB628F9"/>
    <w:rsid w:val="1AB74C51"/>
    <w:rsid w:val="1ABC7036"/>
    <w:rsid w:val="1AD11262"/>
    <w:rsid w:val="1ADC24E4"/>
    <w:rsid w:val="1ADC631D"/>
    <w:rsid w:val="1B145F81"/>
    <w:rsid w:val="1B225040"/>
    <w:rsid w:val="1B533E15"/>
    <w:rsid w:val="1B536D5E"/>
    <w:rsid w:val="1B5E0EF6"/>
    <w:rsid w:val="1BAE00C1"/>
    <w:rsid w:val="1BC6275D"/>
    <w:rsid w:val="1BCA5ECF"/>
    <w:rsid w:val="1BDB53C9"/>
    <w:rsid w:val="1BDB66F7"/>
    <w:rsid w:val="1BDC00A1"/>
    <w:rsid w:val="1BE40474"/>
    <w:rsid w:val="1BE9633E"/>
    <w:rsid w:val="1BF72463"/>
    <w:rsid w:val="1C0B6775"/>
    <w:rsid w:val="1C0C023F"/>
    <w:rsid w:val="1C1226EA"/>
    <w:rsid w:val="1C17503D"/>
    <w:rsid w:val="1C1E57D8"/>
    <w:rsid w:val="1C253704"/>
    <w:rsid w:val="1C2F27AA"/>
    <w:rsid w:val="1C371A1C"/>
    <w:rsid w:val="1C3778A2"/>
    <w:rsid w:val="1C5A1447"/>
    <w:rsid w:val="1C665D30"/>
    <w:rsid w:val="1C681D67"/>
    <w:rsid w:val="1C6B2282"/>
    <w:rsid w:val="1C6E3A57"/>
    <w:rsid w:val="1C72473C"/>
    <w:rsid w:val="1C794DBE"/>
    <w:rsid w:val="1C7A1FEB"/>
    <w:rsid w:val="1C894D58"/>
    <w:rsid w:val="1C9A0316"/>
    <w:rsid w:val="1CA317AD"/>
    <w:rsid w:val="1CA858B9"/>
    <w:rsid w:val="1CA9386E"/>
    <w:rsid w:val="1CB24A47"/>
    <w:rsid w:val="1CC93390"/>
    <w:rsid w:val="1CCA7C9C"/>
    <w:rsid w:val="1CCF4C92"/>
    <w:rsid w:val="1CD43575"/>
    <w:rsid w:val="1CF76350"/>
    <w:rsid w:val="1D003CC9"/>
    <w:rsid w:val="1D0056E5"/>
    <w:rsid w:val="1D0F0093"/>
    <w:rsid w:val="1D142241"/>
    <w:rsid w:val="1D367DC1"/>
    <w:rsid w:val="1D393B9F"/>
    <w:rsid w:val="1D3A2FA9"/>
    <w:rsid w:val="1D3C4848"/>
    <w:rsid w:val="1D7266D8"/>
    <w:rsid w:val="1D752D1A"/>
    <w:rsid w:val="1D7B2283"/>
    <w:rsid w:val="1D9A3E97"/>
    <w:rsid w:val="1D9D31F9"/>
    <w:rsid w:val="1D9E1994"/>
    <w:rsid w:val="1DA94C94"/>
    <w:rsid w:val="1DC37017"/>
    <w:rsid w:val="1DCF1D27"/>
    <w:rsid w:val="1DD35E5A"/>
    <w:rsid w:val="1DEA3F88"/>
    <w:rsid w:val="1DF7017A"/>
    <w:rsid w:val="1E624884"/>
    <w:rsid w:val="1E691B57"/>
    <w:rsid w:val="1E713BCF"/>
    <w:rsid w:val="1E7D3B96"/>
    <w:rsid w:val="1E7F4798"/>
    <w:rsid w:val="1E864C1A"/>
    <w:rsid w:val="1E893C22"/>
    <w:rsid w:val="1EA638CC"/>
    <w:rsid w:val="1F097629"/>
    <w:rsid w:val="1F1764F2"/>
    <w:rsid w:val="1F1F04A4"/>
    <w:rsid w:val="1F2266AB"/>
    <w:rsid w:val="1F335234"/>
    <w:rsid w:val="1F346397"/>
    <w:rsid w:val="1F4056D9"/>
    <w:rsid w:val="1F440534"/>
    <w:rsid w:val="1F4A50E5"/>
    <w:rsid w:val="1F4E30A7"/>
    <w:rsid w:val="1F4F7E2D"/>
    <w:rsid w:val="1F680436"/>
    <w:rsid w:val="1F70226E"/>
    <w:rsid w:val="1F797A47"/>
    <w:rsid w:val="1F812B12"/>
    <w:rsid w:val="1F837916"/>
    <w:rsid w:val="1F9551CF"/>
    <w:rsid w:val="1F9D045F"/>
    <w:rsid w:val="1FA72004"/>
    <w:rsid w:val="1FC21197"/>
    <w:rsid w:val="1FC428A7"/>
    <w:rsid w:val="1FC4526D"/>
    <w:rsid w:val="1FCC7430"/>
    <w:rsid w:val="1FDB2BF7"/>
    <w:rsid w:val="1FE95551"/>
    <w:rsid w:val="1FF548F7"/>
    <w:rsid w:val="20062B87"/>
    <w:rsid w:val="20066626"/>
    <w:rsid w:val="20144FA4"/>
    <w:rsid w:val="201A321E"/>
    <w:rsid w:val="20262D9A"/>
    <w:rsid w:val="204350DF"/>
    <w:rsid w:val="204E3D43"/>
    <w:rsid w:val="20564C95"/>
    <w:rsid w:val="205B7E74"/>
    <w:rsid w:val="206063BE"/>
    <w:rsid w:val="20733424"/>
    <w:rsid w:val="2078054A"/>
    <w:rsid w:val="207B327B"/>
    <w:rsid w:val="20863D62"/>
    <w:rsid w:val="20BB67C9"/>
    <w:rsid w:val="20C702E7"/>
    <w:rsid w:val="20CA5090"/>
    <w:rsid w:val="20CC6032"/>
    <w:rsid w:val="20DF7AE7"/>
    <w:rsid w:val="20E6402D"/>
    <w:rsid w:val="20F77364"/>
    <w:rsid w:val="212F4DFE"/>
    <w:rsid w:val="21516894"/>
    <w:rsid w:val="215A639B"/>
    <w:rsid w:val="215F5AB9"/>
    <w:rsid w:val="21726B75"/>
    <w:rsid w:val="21746825"/>
    <w:rsid w:val="2193516C"/>
    <w:rsid w:val="21A1123E"/>
    <w:rsid w:val="21A61912"/>
    <w:rsid w:val="21A65DAB"/>
    <w:rsid w:val="21A75D3E"/>
    <w:rsid w:val="21B25D8A"/>
    <w:rsid w:val="21B76266"/>
    <w:rsid w:val="21BF4F26"/>
    <w:rsid w:val="21C132C2"/>
    <w:rsid w:val="21C63156"/>
    <w:rsid w:val="21E64772"/>
    <w:rsid w:val="21E92927"/>
    <w:rsid w:val="2206061D"/>
    <w:rsid w:val="22410FB3"/>
    <w:rsid w:val="2244006E"/>
    <w:rsid w:val="2250335D"/>
    <w:rsid w:val="22572466"/>
    <w:rsid w:val="226973D5"/>
    <w:rsid w:val="227F0CD4"/>
    <w:rsid w:val="228326C7"/>
    <w:rsid w:val="228E402F"/>
    <w:rsid w:val="22B365CD"/>
    <w:rsid w:val="22B82F5E"/>
    <w:rsid w:val="22C2430A"/>
    <w:rsid w:val="22E25DE2"/>
    <w:rsid w:val="23167D88"/>
    <w:rsid w:val="23442A00"/>
    <w:rsid w:val="236256E6"/>
    <w:rsid w:val="236C548C"/>
    <w:rsid w:val="23840E95"/>
    <w:rsid w:val="238612C3"/>
    <w:rsid w:val="23871832"/>
    <w:rsid w:val="238F5D95"/>
    <w:rsid w:val="23B64623"/>
    <w:rsid w:val="23C1543E"/>
    <w:rsid w:val="23CF28CE"/>
    <w:rsid w:val="23D06370"/>
    <w:rsid w:val="23DB2F58"/>
    <w:rsid w:val="23F3255D"/>
    <w:rsid w:val="240679AE"/>
    <w:rsid w:val="242434F8"/>
    <w:rsid w:val="24350269"/>
    <w:rsid w:val="24390B76"/>
    <w:rsid w:val="243932FC"/>
    <w:rsid w:val="243E3804"/>
    <w:rsid w:val="248E729F"/>
    <w:rsid w:val="24A128BB"/>
    <w:rsid w:val="24AB29D8"/>
    <w:rsid w:val="24D52877"/>
    <w:rsid w:val="24E51828"/>
    <w:rsid w:val="251A52AD"/>
    <w:rsid w:val="25295486"/>
    <w:rsid w:val="252A1FC9"/>
    <w:rsid w:val="25510DB6"/>
    <w:rsid w:val="255517CE"/>
    <w:rsid w:val="256A17DD"/>
    <w:rsid w:val="25862186"/>
    <w:rsid w:val="25A72905"/>
    <w:rsid w:val="25B739C6"/>
    <w:rsid w:val="25D070F3"/>
    <w:rsid w:val="25D2750D"/>
    <w:rsid w:val="25E20ED9"/>
    <w:rsid w:val="25F70E0C"/>
    <w:rsid w:val="260A227B"/>
    <w:rsid w:val="26154152"/>
    <w:rsid w:val="26157EE2"/>
    <w:rsid w:val="263405B7"/>
    <w:rsid w:val="26382BB8"/>
    <w:rsid w:val="264F09A6"/>
    <w:rsid w:val="265A22F5"/>
    <w:rsid w:val="267321AE"/>
    <w:rsid w:val="26830D75"/>
    <w:rsid w:val="268431DA"/>
    <w:rsid w:val="269D3385"/>
    <w:rsid w:val="26AF5214"/>
    <w:rsid w:val="26FF68DA"/>
    <w:rsid w:val="27014314"/>
    <w:rsid w:val="27201309"/>
    <w:rsid w:val="27213D7C"/>
    <w:rsid w:val="272E130E"/>
    <w:rsid w:val="273D7E49"/>
    <w:rsid w:val="27773707"/>
    <w:rsid w:val="27903D3B"/>
    <w:rsid w:val="279C3C96"/>
    <w:rsid w:val="279D1A18"/>
    <w:rsid w:val="279F02E4"/>
    <w:rsid w:val="27B87191"/>
    <w:rsid w:val="27C360EE"/>
    <w:rsid w:val="27D25FCC"/>
    <w:rsid w:val="27EC2DCB"/>
    <w:rsid w:val="28151856"/>
    <w:rsid w:val="282A5E6E"/>
    <w:rsid w:val="283268E7"/>
    <w:rsid w:val="284D1B13"/>
    <w:rsid w:val="285C31BB"/>
    <w:rsid w:val="28702C2B"/>
    <w:rsid w:val="287C4603"/>
    <w:rsid w:val="2883570A"/>
    <w:rsid w:val="28A36B4C"/>
    <w:rsid w:val="28AC7A8B"/>
    <w:rsid w:val="28BA4580"/>
    <w:rsid w:val="28BB4342"/>
    <w:rsid w:val="28BD6D83"/>
    <w:rsid w:val="29164DED"/>
    <w:rsid w:val="29244DDE"/>
    <w:rsid w:val="293734B8"/>
    <w:rsid w:val="2942763F"/>
    <w:rsid w:val="294930D9"/>
    <w:rsid w:val="295B58C9"/>
    <w:rsid w:val="296B4769"/>
    <w:rsid w:val="296F53C1"/>
    <w:rsid w:val="299D4594"/>
    <w:rsid w:val="29A51A7F"/>
    <w:rsid w:val="29C36445"/>
    <w:rsid w:val="29C86F1C"/>
    <w:rsid w:val="29D527CF"/>
    <w:rsid w:val="29D63B0E"/>
    <w:rsid w:val="2A0017D0"/>
    <w:rsid w:val="2A0E6F72"/>
    <w:rsid w:val="2A1353A4"/>
    <w:rsid w:val="2A234E16"/>
    <w:rsid w:val="2A2741C2"/>
    <w:rsid w:val="2A27537E"/>
    <w:rsid w:val="2A2C0101"/>
    <w:rsid w:val="2A344161"/>
    <w:rsid w:val="2A361C58"/>
    <w:rsid w:val="2A377F55"/>
    <w:rsid w:val="2A3C02E9"/>
    <w:rsid w:val="2A471BC5"/>
    <w:rsid w:val="2A4B71D0"/>
    <w:rsid w:val="2A4E576A"/>
    <w:rsid w:val="2A8D6C90"/>
    <w:rsid w:val="2ABA4E43"/>
    <w:rsid w:val="2AC512F7"/>
    <w:rsid w:val="2AC94F33"/>
    <w:rsid w:val="2AE83D76"/>
    <w:rsid w:val="2AEF118E"/>
    <w:rsid w:val="2AF01D95"/>
    <w:rsid w:val="2AF75E15"/>
    <w:rsid w:val="2B275C9E"/>
    <w:rsid w:val="2B4D7CAB"/>
    <w:rsid w:val="2B5D44F3"/>
    <w:rsid w:val="2B6604E5"/>
    <w:rsid w:val="2B67663C"/>
    <w:rsid w:val="2B926CB6"/>
    <w:rsid w:val="2BB36C7F"/>
    <w:rsid w:val="2BB77BA7"/>
    <w:rsid w:val="2BBA29AA"/>
    <w:rsid w:val="2BBF2411"/>
    <w:rsid w:val="2BC966C7"/>
    <w:rsid w:val="2BCF7915"/>
    <w:rsid w:val="2BDC4A20"/>
    <w:rsid w:val="2BE46D36"/>
    <w:rsid w:val="2C0111E7"/>
    <w:rsid w:val="2C017D1E"/>
    <w:rsid w:val="2C097B56"/>
    <w:rsid w:val="2C0B589D"/>
    <w:rsid w:val="2C215396"/>
    <w:rsid w:val="2C220ED7"/>
    <w:rsid w:val="2C3B061E"/>
    <w:rsid w:val="2C8C68A3"/>
    <w:rsid w:val="2CAE46DA"/>
    <w:rsid w:val="2CBB6B2D"/>
    <w:rsid w:val="2CC57664"/>
    <w:rsid w:val="2CD14E10"/>
    <w:rsid w:val="2CE50367"/>
    <w:rsid w:val="2CF17E19"/>
    <w:rsid w:val="2CF35F5E"/>
    <w:rsid w:val="2CF408C8"/>
    <w:rsid w:val="2CF715CB"/>
    <w:rsid w:val="2D085D99"/>
    <w:rsid w:val="2D0B3B83"/>
    <w:rsid w:val="2D2045EF"/>
    <w:rsid w:val="2D3F5899"/>
    <w:rsid w:val="2D653AB1"/>
    <w:rsid w:val="2D6D7A2C"/>
    <w:rsid w:val="2D70714E"/>
    <w:rsid w:val="2D760339"/>
    <w:rsid w:val="2DAC6F1E"/>
    <w:rsid w:val="2DB61639"/>
    <w:rsid w:val="2DB632A9"/>
    <w:rsid w:val="2DBA3E17"/>
    <w:rsid w:val="2DCE55A6"/>
    <w:rsid w:val="2DD91F62"/>
    <w:rsid w:val="2DDD5384"/>
    <w:rsid w:val="2DED172E"/>
    <w:rsid w:val="2DF53EE4"/>
    <w:rsid w:val="2E0A535D"/>
    <w:rsid w:val="2E644896"/>
    <w:rsid w:val="2E7E3E25"/>
    <w:rsid w:val="2E8E2306"/>
    <w:rsid w:val="2E977DC5"/>
    <w:rsid w:val="2E993022"/>
    <w:rsid w:val="2EB4774F"/>
    <w:rsid w:val="2EB82CBA"/>
    <w:rsid w:val="2EBE4A5C"/>
    <w:rsid w:val="2EC41DA3"/>
    <w:rsid w:val="2ED86DF3"/>
    <w:rsid w:val="2EFE5D82"/>
    <w:rsid w:val="2F0361AC"/>
    <w:rsid w:val="2F084699"/>
    <w:rsid w:val="2F0B2F0E"/>
    <w:rsid w:val="2F0D65D5"/>
    <w:rsid w:val="2F0F7C4D"/>
    <w:rsid w:val="2F6421FE"/>
    <w:rsid w:val="2F6967E8"/>
    <w:rsid w:val="2F7A4AEE"/>
    <w:rsid w:val="2F872A40"/>
    <w:rsid w:val="2F9019A8"/>
    <w:rsid w:val="2F957D4B"/>
    <w:rsid w:val="2FA9553C"/>
    <w:rsid w:val="2FAE44D0"/>
    <w:rsid w:val="2FB44E07"/>
    <w:rsid w:val="2FBC564C"/>
    <w:rsid w:val="2FC67FA0"/>
    <w:rsid w:val="2FDF1142"/>
    <w:rsid w:val="2FE113F3"/>
    <w:rsid w:val="2FE869DE"/>
    <w:rsid w:val="2FED28EC"/>
    <w:rsid w:val="2FF04165"/>
    <w:rsid w:val="2FF824F4"/>
    <w:rsid w:val="300356C5"/>
    <w:rsid w:val="30071691"/>
    <w:rsid w:val="30115306"/>
    <w:rsid w:val="3049287B"/>
    <w:rsid w:val="305C79B8"/>
    <w:rsid w:val="30810B34"/>
    <w:rsid w:val="30A35700"/>
    <w:rsid w:val="30A9034B"/>
    <w:rsid w:val="30B2614B"/>
    <w:rsid w:val="30BD0DD3"/>
    <w:rsid w:val="30C60E46"/>
    <w:rsid w:val="30F87732"/>
    <w:rsid w:val="3100422F"/>
    <w:rsid w:val="31033FC8"/>
    <w:rsid w:val="31274279"/>
    <w:rsid w:val="31297516"/>
    <w:rsid w:val="312E5F31"/>
    <w:rsid w:val="313B36CA"/>
    <w:rsid w:val="31553704"/>
    <w:rsid w:val="3168229A"/>
    <w:rsid w:val="316C179D"/>
    <w:rsid w:val="3170016C"/>
    <w:rsid w:val="317D0A8D"/>
    <w:rsid w:val="31847748"/>
    <w:rsid w:val="31890FC1"/>
    <w:rsid w:val="319849FD"/>
    <w:rsid w:val="31A84080"/>
    <w:rsid w:val="31C567DE"/>
    <w:rsid w:val="31CD552E"/>
    <w:rsid w:val="31D81004"/>
    <w:rsid w:val="31DF56B0"/>
    <w:rsid w:val="31E75D4B"/>
    <w:rsid w:val="31EB732F"/>
    <w:rsid w:val="31F82506"/>
    <w:rsid w:val="31F94DEB"/>
    <w:rsid w:val="32011001"/>
    <w:rsid w:val="32044BC0"/>
    <w:rsid w:val="321B5ECF"/>
    <w:rsid w:val="323570DA"/>
    <w:rsid w:val="324249D4"/>
    <w:rsid w:val="32520A32"/>
    <w:rsid w:val="32642FFC"/>
    <w:rsid w:val="326B1DE1"/>
    <w:rsid w:val="327205A6"/>
    <w:rsid w:val="32765708"/>
    <w:rsid w:val="32A74CE0"/>
    <w:rsid w:val="32B26BD4"/>
    <w:rsid w:val="32BE00F8"/>
    <w:rsid w:val="32C4074E"/>
    <w:rsid w:val="32E409B8"/>
    <w:rsid w:val="33072452"/>
    <w:rsid w:val="331E46F9"/>
    <w:rsid w:val="33450ABF"/>
    <w:rsid w:val="33465713"/>
    <w:rsid w:val="334C337F"/>
    <w:rsid w:val="33524549"/>
    <w:rsid w:val="336E3A84"/>
    <w:rsid w:val="3371277C"/>
    <w:rsid w:val="337F6EBD"/>
    <w:rsid w:val="338F541B"/>
    <w:rsid w:val="339C47B1"/>
    <w:rsid w:val="33A476CF"/>
    <w:rsid w:val="33A561B1"/>
    <w:rsid w:val="33AB27A0"/>
    <w:rsid w:val="33CE7154"/>
    <w:rsid w:val="33E443E5"/>
    <w:rsid w:val="3403532F"/>
    <w:rsid w:val="341112DE"/>
    <w:rsid w:val="341D6DBD"/>
    <w:rsid w:val="342D11E8"/>
    <w:rsid w:val="345C3708"/>
    <w:rsid w:val="346347A8"/>
    <w:rsid w:val="34746F5B"/>
    <w:rsid w:val="347634DA"/>
    <w:rsid w:val="347B0E80"/>
    <w:rsid w:val="347F071A"/>
    <w:rsid w:val="34866E9B"/>
    <w:rsid w:val="348764A9"/>
    <w:rsid w:val="34881562"/>
    <w:rsid w:val="34A03CE7"/>
    <w:rsid w:val="34B316D4"/>
    <w:rsid w:val="34B87608"/>
    <w:rsid w:val="34C00531"/>
    <w:rsid w:val="34D224AE"/>
    <w:rsid w:val="34E47287"/>
    <w:rsid w:val="34FD086D"/>
    <w:rsid w:val="3500141B"/>
    <w:rsid w:val="35041519"/>
    <w:rsid w:val="35376BE5"/>
    <w:rsid w:val="353A6DC9"/>
    <w:rsid w:val="353F0ECE"/>
    <w:rsid w:val="35681F6E"/>
    <w:rsid w:val="35716212"/>
    <w:rsid w:val="357F7A53"/>
    <w:rsid w:val="358A41E9"/>
    <w:rsid w:val="359B546E"/>
    <w:rsid w:val="35C10B70"/>
    <w:rsid w:val="35F316E5"/>
    <w:rsid w:val="36020C14"/>
    <w:rsid w:val="360A1612"/>
    <w:rsid w:val="360B364F"/>
    <w:rsid w:val="36190D7C"/>
    <w:rsid w:val="361F7334"/>
    <w:rsid w:val="36293DE1"/>
    <w:rsid w:val="3636586F"/>
    <w:rsid w:val="36495B1F"/>
    <w:rsid w:val="364D1884"/>
    <w:rsid w:val="36516935"/>
    <w:rsid w:val="366318B8"/>
    <w:rsid w:val="36731312"/>
    <w:rsid w:val="3681049C"/>
    <w:rsid w:val="36895CB6"/>
    <w:rsid w:val="36953651"/>
    <w:rsid w:val="36AC7A9E"/>
    <w:rsid w:val="36AD32EC"/>
    <w:rsid w:val="36DB5671"/>
    <w:rsid w:val="36F065FC"/>
    <w:rsid w:val="37000D10"/>
    <w:rsid w:val="374A4416"/>
    <w:rsid w:val="374C3508"/>
    <w:rsid w:val="377C763A"/>
    <w:rsid w:val="3783746D"/>
    <w:rsid w:val="37AD3722"/>
    <w:rsid w:val="37AF1B3B"/>
    <w:rsid w:val="37BE0616"/>
    <w:rsid w:val="37CE2138"/>
    <w:rsid w:val="37E82B67"/>
    <w:rsid w:val="37F01AD0"/>
    <w:rsid w:val="380868B4"/>
    <w:rsid w:val="38197FE6"/>
    <w:rsid w:val="381A1EC0"/>
    <w:rsid w:val="381A21FF"/>
    <w:rsid w:val="38397574"/>
    <w:rsid w:val="384458A4"/>
    <w:rsid w:val="384C577D"/>
    <w:rsid w:val="385E2B80"/>
    <w:rsid w:val="388014A2"/>
    <w:rsid w:val="388D60B5"/>
    <w:rsid w:val="389C3FD2"/>
    <w:rsid w:val="38A25B50"/>
    <w:rsid w:val="38A813C7"/>
    <w:rsid w:val="38AF0F16"/>
    <w:rsid w:val="38BA78CD"/>
    <w:rsid w:val="38C51A7C"/>
    <w:rsid w:val="38CF6898"/>
    <w:rsid w:val="397A0E4B"/>
    <w:rsid w:val="397F775B"/>
    <w:rsid w:val="39841FBE"/>
    <w:rsid w:val="39934B28"/>
    <w:rsid w:val="3998724F"/>
    <w:rsid w:val="399F270C"/>
    <w:rsid w:val="39B41C60"/>
    <w:rsid w:val="39B502FE"/>
    <w:rsid w:val="39E22577"/>
    <w:rsid w:val="39ED61EA"/>
    <w:rsid w:val="39F53FD0"/>
    <w:rsid w:val="3A1F1AB6"/>
    <w:rsid w:val="3A337853"/>
    <w:rsid w:val="3A36549A"/>
    <w:rsid w:val="3A5C70D7"/>
    <w:rsid w:val="3A6C056B"/>
    <w:rsid w:val="3A8A6411"/>
    <w:rsid w:val="3AB1492A"/>
    <w:rsid w:val="3AC502B9"/>
    <w:rsid w:val="3AE72680"/>
    <w:rsid w:val="3AE94205"/>
    <w:rsid w:val="3AF0700E"/>
    <w:rsid w:val="3AFB3E49"/>
    <w:rsid w:val="3B152732"/>
    <w:rsid w:val="3B161511"/>
    <w:rsid w:val="3B1D1724"/>
    <w:rsid w:val="3B2121A4"/>
    <w:rsid w:val="3B415B30"/>
    <w:rsid w:val="3B451835"/>
    <w:rsid w:val="3B4B7B16"/>
    <w:rsid w:val="3B5B56BF"/>
    <w:rsid w:val="3B744B04"/>
    <w:rsid w:val="3B79788F"/>
    <w:rsid w:val="3B7A25E2"/>
    <w:rsid w:val="3BB211EA"/>
    <w:rsid w:val="3BC037A4"/>
    <w:rsid w:val="3BC14A8D"/>
    <w:rsid w:val="3C42513B"/>
    <w:rsid w:val="3C69316D"/>
    <w:rsid w:val="3C7B36F5"/>
    <w:rsid w:val="3C833A1D"/>
    <w:rsid w:val="3C886AF3"/>
    <w:rsid w:val="3C9E2B5B"/>
    <w:rsid w:val="3CC42F31"/>
    <w:rsid w:val="3CCE4F1E"/>
    <w:rsid w:val="3CD15F8E"/>
    <w:rsid w:val="3CDD5524"/>
    <w:rsid w:val="3CDF0A6D"/>
    <w:rsid w:val="3CEA7A8F"/>
    <w:rsid w:val="3CFA3AAF"/>
    <w:rsid w:val="3CFD1BAB"/>
    <w:rsid w:val="3CFF5D7A"/>
    <w:rsid w:val="3D085E8A"/>
    <w:rsid w:val="3D0B52AC"/>
    <w:rsid w:val="3D651183"/>
    <w:rsid w:val="3D884F41"/>
    <w:rsid w:val="3DB6363E"/>
    <w:rsid w:val="3E170D09"/>
    <w:rsid w:val="3E1C02D3"/>
    <w:rsid w:val="3E587DE0"/>
    <w:rsid w:val="3E756424"/>
    <w:rsid w:val="3E820E22"/>
    <w:rsid w:val="3E8F1588"/>
    <w:rsid w:val="3E933410"/>
    <w:rsid w:val="3EAE6F8D"/>
    <w:rsid w:val="3EB62121"/>
    <w:rsid w:val="3F06246C"/>
    <w:rsid w:val="3F0E5951"/>
    <w:rsid w:val="3F2C044E"/>
    <w:rsid w:val="3F4A4224"/>
    <w:rsid w:val="3F504287"/>
    <w:rsid w:val="3F587914"/>
    <w:rsid w:val="3F591119"/>
    <w:rsid w:val="3F9B57F9"/>
    <w:rsid w:val="3FA9156D"/>
    <w:rsid w:val="3FB24A84"/>
    <w:rsid w:val="3FC912E8"/>
    <w:rsid w:val="400E58CD"/>
    <w:rsid w:val="40223E34"/>
    <w:rsid w:val="402A4F0B"/>
    <w:rsid w:val="40321238"/>
    <w:rsid w:val="404A047F"/>
    <w:rsid w:val="405C0B7A"/>
    <w:rsid w:val="408414A4"/>
    <w:rsid w:val="40870A37"/>
    <w:rsid w:val="408F73DE"/>
    <w:rsid w:val="40BD0AB5"/>
    <w:rsid w:val="40CC4F66"/>
    <w:rsid w:val="40F132C1"/>
    <w:rsid w:val="40FA095A"/>
    <w:rsid w:val="410531E1"/>
    <w:rsid w:val="41346F7C"/>
    <w:rsid w:val="414F73C9"/>
    <w:rsid w:val="41582C8D"/>
    <w:rsid w:val="41597393"/>
    <w:rsid w:val="4171759F"/>
    <w:rsid w:val="41960EB5"/>
    <w:rsid w:val="41AD18FB"/>
    <w:rsid w:val="41C163EC"/>
    <w:rsid w:val="41CE2DFA"/>
    <w:rsid w:val="41DB1631"/>
    <w:rsid w:val="41F2596A"/>
    <w:rsid w:val="41F72450"/>
    <w:rsid w:val="420D34E0"/>
    <w:rsid w:val="420E6D18"/>
    <w:rsid w:val="4229302D"/>
    <w:rsid w:val="422A1F53"/>
    <w:rsid w:val="42476E2A"/>
    <w:rsid w:val="427A5345"/>
    <w:rsid w:val="42831B07"/>
    <w:rsid w:val="428433D0"/>
    <w:rsid w:val="42927D35"/>
    <w:rsid w:val="42A87111"/>
    <w:rsid w:val="42AC4CBE"/>
    <w:rsid w:val="42B64A72"/>
    <w:rsid w:val="42C44ABE"/>
    <w:rsid w:val="42F66914"/>
    <w:rsid w:val="42FC465B"/>
    <w:rsid w:val="43212AEA"/>
    <w:rsid w:val="43242F2A"/>
    <w:rsid w:val="435C6D52"/>
    <w:rsid w:val="43795B98"/>
    <w:rsid w:val="43930BE7"/>
    <w:rsid w:val="43B33DA5"/>
    <w:rsid w:val="43B52B87"/>
    <w:rsid w:val="43BC79B1"/>
    <w:rsid w:val="43C2694F"/>
    <w:rsid w:val="43DF611F"/>
    <w:rsid w:val="43E11C2D"/>
    <w:rsid w:val="43F1204F"/>
    <w:rsid w:val="43FE51DB"/>
    <w:rsid w:val="4404753A"/>
    <w:rsid w:val="44303374"/>
    <w:rsid w:val="44352B48"/>
    <w:rsid w:val="443F1DB8"/>
    <w:rsid w:val="443F4321"/>
    <w:rsid w:val="44443C83"/>
    <w:rsid w:val="444844E4"/>
    <w:rsid w:val="447A1B78"/>
    <w:rsid w:val="447D0597"/>
    <w:rsid w:val="447E4324"/>
    <w:rsid w:val="448F7920"/>
    <w:rsid w:val="44AE5F75"/>
    <w:rsid w:val="44B02604"/>
    <w:rsid w:val="44B63047"/>
    <w:rsid w:val="44CB4353"/>
    <w:rsid w:val="44D235E6"/>
    <w:rsid w:val="45117E48"/>
    <w:rsid w:val="45370769"/>
    <w:rsid w:val="454256C1"/>
    <w:rsid w:val="454E56FA"/>
    <w:rsid w:val="45502035"/>
    <w:rsid w:val="45A20AFA"/>
    <w:rsid w:val="45A978E9"/>
    <w:rsid w:val="45B61BDE"/>
    <w:rsid w:val="4634046F"/>
    <w:rsid w:val="46360BFA"/>
    <w:rsid w:val="463F3901"/>
    <w:rsid w:val="46451454"/>
    <w:rsid w:val="464C3CF9"/>
    <w:rsid w:val="468E6698"/>
    <w:rsid w:val="46994CDD"/>
    <w:rsid w:val="46A56E00"/>
    <w:rsid w:val="46CF03B7"/>
    <w:rsid w:val="46DE3CD2"/>
    <w:rsid w:val="46E45103"/>
    <w:rsid w:val="46E5019F"/>
    <w:rsid w:val="46E93443"/>
    <w:rsid w:val="46EF795D"/>
    <w:rsid w:val="47004E59"/>
    <w:rsid w:val="4711387D"/>
    <w:rsid w:val="471C7568"/>
    <w:rsid w:val="472209DB"/>
    <w:rsid w:val="47390F6E"/>
    <w:rsid w:val="4740618E"/>
    <w:rsid w:val="475B7FD0"/>
    <w:rsid w:val="475F524F"/>
    <w:rsid w:val="476138A6"/>
    <w:rsid w:val="476831C3"/>
    <w:rsid w:val="478175A0"/>
    <w:rsid w:val="478678EB"/>
    <w:rsid w:val="478C0488"/>
    <w:rsid w:val="479670E4"/>
    <w:rsid w:val="47A8556A"/>
    <w:rsid w:val="47A86F18"/>
    <w:rsid w:val="47AB074F"/>
    <w:rsid w:val="47CE6B98"/>
    <w:rsid w:val="47D65DD7"/>
    <w:rsid w:val="47EF3757"/>
    <w:rsid w:val="47F44532"/>
    <w:rsid w:val="480F6F71"/>
    <w:rsid w:val="481560E6"/>
    <w:rsid w:val="481B0F52"/>
    <w:rsid w:val="481C318A"/>
    <w:rsid w:val="481D57A6"/>
    <w:rsid w:val="4850797E"/>
    <w:rsid w:val="48616402"/>
    <w:rsid w:val="487D651F"/>
    <w:rsid w:val="488C1C09"/>
    <w:rsid w:val="48BF7422"/>
    <w:rsid w:val="48DD34EF"/>
    <w:rsid w:val="48E05E18"/>
    <w:rsid w:val="48F77F6B"/>
    <w:rsid w:val="49241520"/>
    <w:rsid w:val="49296CFD"/>
    <w:rsid w:val="492D6E44"/>
    <w:rsid w:val="49385B90"/>
    <w:rsid w:val="493F0A39"/>
    <w:rsid w:val="49421AA7"/>
    <w:rsid w:val="49563C30"/>
    <w:rsid w:val="495D0C5D"/>
    <w:rsid w:val="496B355E"/>
    <w:rsid w:val="49720F2D"/>
    <w:rsid w:val="4988206F"/>
    <w:rsid w:val="49977609"/>
    <w:rsid w:val="499A2781"/>
    <w:rsid w:val="49A552BB"/>
    <w:rsid w:val="49AE6650"/>
    <w:rsid w:val="49B90301"/>
    <w:rsid w:val="49B91A4F"/>
    <w:rsid w:val="49BB5382"/>
    <w:rsid w:val="49BE59A5"/>
    <w:rsid w:val="49CD4C5E"/>
    <w:rsid w:val="49E64AA5"/>
    <w:rsid w:val="49F959E9"/>
    <w:rsid w:val="4A217A70"/>
    <w:rsid w:val="4A432F7F"/>
    <w:rsid w:val="4A5A16AF"/>
    <w:rsid w:val="4A5B1216"/>
    <w:rsid w:val="4A5F0901"/>
    <w:rsid w:val="4A7716CA"/>
    <w:rsid w:val="4A7E3232"/>
    <w:rsid w:val="4AA63F7C"/>
    <w:rsid w:val="4AF64FB8"/>
    <w:rsid w:val="4AF90784"/>
    <w:rsid w:val="4AF91671"/>
    <w:rsid w:val="4B053A5C"/>
    <w:rsid w:val="4B122470"/>
    <w:rsid w:val="4B3857FF"/>
    <w:rsid w:val="4B5A46A5"/>
    <w:rsid w:val="4B857004"/>
    <w:rsid w:val="4B921457"/>
    <w:rsid w:val="4BC23784"/>
    <w:rsid w:val="4BC67353"/>
    <w:rsid w:val="4BF736FC"/>
    <w:rsid w:val="4C19079E"/>
    <w:rsid w:val="4C274B0C"/>
    <w:rsid w:val="4C28031F"/>
    <w:rsid w:val="4C4C6618"/>
    <w:rsid w:val="4C765BE2"/>
    <w:rsid w:val="4C83428D"/>
    <w:rsid w:val="4C95465B"/>
    <w:rsid w:val="4CE352F7"/>
    <w:rsid w:val="4CE4576A"/>
    <w:rsid w:val="4CFB5583"/>
    <w:rsid w:val="4D0B1E03"/>
    <w:rsid w:val="4D0B39CE"/>
    <w:rsid w:val="4D110217"/>
    <w:rsid w:val="4D535FF7"/>
    <w:rsid w:val="4D60788B"/>
    <w:rsid w:val="4D625521"/>
    <w:rsid w:val="4D667269"/>
    <w:rsid w:val="4D6A6EFC"/>
    <w:rsid w:val="4D6B59B2"/>
    <w:rsid w:val="4D8E1CD6"/>
    <w:rsid w:val="4D971B3D"/>
    <w:rsid w:val="4DAE116E"/>
    <w:rsid w:val="4DB4437B"/>
    <w:rsid w:val="4DE10328"/>
    <w:rsid w:val="4DE51437"/>
    <w:rsid w:val="4DE93C4F"/>
    <w:rsid w:val="4DF8242A"/>
    <w:rsid w:val="4E3F1AAF"/>
    <w:rsid w:val="4E5C1D92"/>
    <w:rsid w:val="4E645F5C"/>
    <w:rsid w:val="4E725BBB"/>
    <w:rsid w:val="4E74773B"/>
    <w:rsid w:val="4E783554"/>
    <w:rsid w:val="4E950ECB"/>
    <w:rsid w:val="4EA1767B"/>
    <w:rsid w:val="4EAD1778"/>
    <w:rsid w:val="4EB72432"/>
    <w:rsid w:val="4EC1736E"/>
    <w:rsid w:val="4EC271A9"/>
    <w:rsid w:val="4ED275BB"/>
    <w:rsid w:val="4ED52950"/>
    <w:rsid w:val="4ED81781"/>
    <w:rsid w:val="4EE2359D"/>
    <w:rsid w:val="4EE4412C"/>
    <w:rsid w:val="4EE87EC4"/>
    <w:rsid w:val="4EF10B28"/>
    <w:rsid w:val="4EFA3BA1"/>
    <w:rsid w:val="4F4536D6"/>
    <w:rsid w:val="4F4B4847"/>
    <w:rsid w:val="4F755900"/>
    <w:rsid w:val="4F792AF4"/>
    <w:rsid w:val="4F7C06AC"/>
    <w:rsid w:val="4F7D2969"/>
    <w:rsid w:val="4F9C5D54"/>
    <w:rsid w:val="4FA22705"/>
    <w:rsid w:val="4FAA5140"/>
    <w:rsid w:val="4FBF0BA6"/>
    <w:rsid w:val="4FD40D07"/>
    <w:rsid w:val="4FD6729A"/>
    <w:rsid w:val="4FDD4B3E"/>
    <w:rsid w:val="4FE2066D"/>
    <w:rsid w:val="4FE43F41"/>
    <w:rsid w:val="4FE86E81"/>
    <w:rsid w:val="50054222"/>
    <w:rsid w:val="500861F4"/>
    <w:rsid w:val="50226BF1"/>
    <w:rsid w:val="505C6A5E"/>
    <w:rsid w:val="50605CFB"/>
    <w:rsid w:val="507C7CF3"/>
    <w:rsid w:val="509609D2"/>
    <w:rsid w:val="50E53E35"/>
    <w:rsid w:val="50F053D1"/>
    <w:rsid w:val="50FE701C"/>
    <w:rsid w:val="510D1708"/>
    <w:rsid w:val="511A1C93"/>
    <w:rsid w:val="511A429F"/>
    <w:rsid w:val="511C6A55"/>
    <w:rsid w:val="511F783E"/>
    <w:rsid w:val="512A4498"/>
    <w:rsid w:val="51672422"/>
    <w:rsid w:val="516D5A95"/>
    <w:rsid w:val="51810869"/>
    <w:rsid w:val="518C3786"/>
    <w:rsid w:val="518E0117"/>
    <w:rsid w:val="51955C1A"/>
    <w:rsid w:val="51B32111"/>
    <w:rsid w:val="51C35175"/>
    <w:rsid w:val="51CB2CDF"/>
    <w:rsid w:val="51CF65DE"/>
    <w:rsid w:val="51D6038F"/>
    <w:rsid w:val="51F43B6F"/>
    <w:rsid w:val="51FB3CBA"/>
    <w:rsid w:val="520317EB"/>
    <w:rsid w:val="52055F12"/>
    <w:rsid w:val="520A1E9C"/>
    <w:rsid w:val="521A1DBA"/>
    <w:rsid w:val="522470C8"/>
    <w:rsid w:val="526502E9"/>
    <w:rsid w:val="528632C9"/>
    <w:rsid w:val="529510F5"/>
    <w:rsid w:val="52997EAE"/>
    <w:rsid w:val="52AB0873"/>
    <w:rsid w:val="52BB647A"/>
    <w:rsid w:val="52D632C7"/>
    <w:rsid w:val="52FB4825"/>
    <w:rsid w:val="53044095"/>
    <w:rsid w:val="53062204"/>
    <w:rsid w:val="530675D2"/>
    <w:rsid w:val="530C4747"/>
    <w:rsid w:val="53305198"/>
    <w:rsid w:val="535507B1"/>
    <w:rsid w:val="537705B9"/>
    <w:rsid w:val="538756E2"/>
    <w:rsid w:val="538C59C6"/>
    <w:rsid w:val="53925ABB"/>
    <w:rsid w:val="53BC0517"/>
    <w:rsid w:val="53D137BC"/>
    <w:rsid w:val="54036CAB"/>
    <w:rsid w:val="540D26D3"/>
    <w:rsid w:val="541D5F9E"/>
    <w:rsid w:val="544C1BBC"/>
    <w:rsid w:val="54594619"/>
    <w:rsid w:val="547653DD"/>
    <w:rsid w:val="54A17FBE"/>
    <w:rsid w:val="54AB267B"/>
    <w:rsid w:val="54C05F05"/>
    <w:rsid w:val="54C263E2"/>
    <w:rsid w:val="54C42D8C"/>
    <w:rsid w:val="54CF16B0"/>
    <w:rsid w:val="54D557AF"/>
    <w:rsid w:val="54DC7FD3"/>
    <w:rsid w:val="55162BB5"/>
    <w:rsid w:val="55183309"/>
    <w:rsid w:val="552D3B9B"/>
    <w:rsid w:val="55366CCC"/>
    <w:rsid w:val="554B4F02"/>
    <w:rsid w:val="555600F2"/>
    <w:rsid w:val="55633D0C"/>
    <w:rsid w:val="557125DA"/>
    <w:rsid w:val="557522B8"/>
    <w:rsid w:val="55963168"/>
    <w:rsid w:val="559D2F1D"/>
    <w:rsid w:val="55B30CD4"/>
    <w:rsid w:val="55B37FCF"/>
    <w:rsid w:val="55CF5543"/>
    <w:rsid w:val="55D20F1F"/>
    <w:rsid w:val="55DA6106"/>
    <w:rsid w:val="55F47290"/>
    <w:rsid w:val="56142F7A"/>
    <w:rsid w:val="563622B5"/>
    <w:rsid w:val="565913CE"/>
    <w:rsid w:val="565C0AC3"/>
    <w:rsid w:val="56607972"/>
    <w:rsid w:val="56770A0D"/>
    <w:rsid w:val="56803EDA"/>
    <w:rsid w:val="56955020"/>
    <w:rsid w:val="569D77AE"/>
    <w:rsid w:val="56AE4E03"/>
    <w:rsid w:val="56AE7762"/>
    <w:rsid w:val="56BB56D3"/>
    <w:rsid w:val="56E5472F"/>
    <w:rsid w:val="56EA41DA"/>
    <w:rsid w:val="56F7363C"/>
    <w:rsid w:val="56FB1045"/>
    <w:rsid w:val="5701002A"/>
    <w:rsid w:val="570D01F2"/>
    <w:rsid w:val="571E6279"/>
    <w:rsid w:val="5727687A"/>
    <w:rsid w:val="573D4BBB"/>
    <w:rsid w:val="576B76F7"/>
    <w:rsid w:val="5782796C"/>
    <w:rsid w:val="57855415"/>
    <w:rsid w:val="57BA3562"/>
    <w:rsid w:val="57CC466B"/>
    <w:rsid w:val="57CE55DC"/>
    <w:rsid w:val="57DF364D"/>
    <w:rsid w:val="57E33CDC"/>
    <w:rsid w:val="57E55BB4"/>
    <w:rsid w:val="57FC1236"/>
    <w:rsid w:val="5806397F"/>
    <w:rsid w:val="580E75F7"/>
    <w:rsid w:val="58137019"/>
    <w:rsid w:val="581501B3"/>
    <w:rsid w:val="5857691C"/>
    <w:rsid w:val="58660824"/>
    <w:rsid w:val="58810AD5"/>
    <w:rsid w:val="588D4921"/>
    <w:rsid w:val="588F5C2D"/>
    <w:rsid w:val="58AC0E7D"/>
    <w:rsid w:val="58B303B3"/>
    <w:rsid w:val="58C0521C"/>
    <w:rsid w:val="58D85A1C"/>
    <w:rsid w:val="5912326C"/>
    <w:rsid w:val="59181631"/>
    <w:rsid w:val="591E10CF"/>
    <w:rsid w:val="59721137"/>
    <w:rsid w:val="59746728"/>
    <w:rsid w:val="59811066"/>
    <w:rsid w:val="598F59DA"/>
    <w:rsid w:val="599D03D6"/>
    <w:rsid w:val="59B964CB"/>
    <w:rsid w:val="59C17992"/>
    <w:rsid w:val="59D168FB"/>
    <w:rsid w:val="59E56030"/>
    <w:rsid w:val="59E864DE"/>
    <w:rsid w:val="59EE465C"/>
    <w:rsid w:val="59EF403D"/>
    <w:rsid w:val="5A1B4ED4"/>
    <w:rsid w:val="5A1F6870"/>
    <w:rsid w:val="5A206D51"/>
    <w:rsid w:val="5A2122E9"/>
    <w:rsid w:val="5A2F379F"/>
    <w:rsid w:val="5A470E09"/>
    <w:rsid w:val="5A8979D0"/>
    <w:rsid w:val="5A92674E"/>
    <w:rsid w:val="5A944317"/>
    <w:rsid w:val="5AA767E2"/>
    <w:rsid w:val="5AB4516E"/>
    <w:rsid w:val="5AB87DEA"/>
    <w:rsid w:val="5AB93F6E"/>
    <w:rsid w:val="5AC40C2E"/>
    <w:rsid w:val="5ACD0320"/>
    <w:rsid w:val="5ACF1125"/>
    <w:rsid w:val="5ACF4301"/>
    <w:rsid w:val="5AE4426F"/>
    <w:rsid w:val="5AE608F3"/>
    <w:rsid w:val="5AF0531D"/>
    <w:rsid w:val="5B32726E"/>
    <w:rsid w:val="5B3E2C6C"/>
    <w:rsid w:val="5B3E4378"/>
    <w:rsid w:val="5B8B6531"/>
    <w:rsid w:val="5B90728F"/>
    <w:rsid w:val="5BB5553C"/>
    <w:rsid w:val="5BB954F1"/>
    <w:rsid w:val="5BC57891"/>
    <w:rsid w:val="5BDC7BE3"/>
    <w:rsid w:val="5BE716B6"/>
    <w:rsid w:val="5BE8539F"/>
    <w:rsid w:val="5C050C78"/>
    <w:rsid w:val="5C143A24"/>
    <w:rsid w:val="5C401621"/>
    <w:rsid w:val="5C5E1461"/>
    <w:rsid w:val="5C6160C3"/>
    <w:rsid w:val="5C867673"/>
    <w:rsid w:val="5C962958"/>
    <w:rsid w:val="5C9D4063"/>
    <w:rsid w:val="5CAA1008"/>
    <w:rsid w:val="5CEF6EF4"/>
    <w:rsid w:val="5CF820EE"/>
    <w:rsid w:val="5CF9183F"/>
    <w:rsid w:val="5D2A39E6"/>
    <w:rsid w:val="5D4703D5"/>
    <w:rsid w:val="5D4D705E"/>
    <w:rsid w:val="5D4F3DFE"/>
    <w:rsid w:val="5D551C10"/>
    <w:rsid w:val="5D5579B7"/>
    <w:rsid w:val="5D5D621C"/>
    <w:rsid w:val="5D613648"/>
    <w:rsid w:val="5D641250"/>
    <w:rsid w:val="5D6E2116"/>
    <w:rsid w:val="5D7008F0"/>
    <w:rsid w:val="5D710BC2"/>
    <w:rsid w:val="5D9C70F5"/>
    <w:rsid w:val="5DB54DCA"/>
    <w:rsid w:val="5DC12195"/>
    <w:rsid w:val="5DCA602D"/>
    <w:rsid w:val="5DD765D7"/>
    <w:rsid w:val="5DD80F4A"/>
    <w:rsid w:val="5DEB5C6C"/>
    <w:rsid w:val="5DEC7A52"/>
    <w:rsid w:val="5E0019CA"/>
    <w:rsid w:val="5E122F8B"/>
    <w:rsid w:val="5E150BFE"/>
    <w:rsid w:val="5E265BA1"/>
    <w:rsid w:val="5E27657C"/>
    <w:rsid w:val="5E286D73"/>
    <w:rsid w:val="5E371046"/>
    <w:rsid w:val="5E3B6F6F"/>
    <w:rsid w:val="5E642D63"/>
    <w:rsid w:val="5E6A0F9C"/>
    <w:rsid w:val="5E7C5032"/>
    <w:rsid w:val="5E96079F"/>
    <w:rsid w:val="5EB41398"/>
    <w:rsid w:val="5EBD109F"/>
    <w:rsid w:val="5EDE2591"/>
    <w:rsid w:val="5EE01FB7"/>
    <w:rsid w:val="5EE31EB7"/>
    <w:rsid w:val="5EE74CEE"/>
    <w:rsid w:val="5EEC057F"/>
    <w:rsid w:val="5EEF0E94"/>
    <w:rsid w:val="5EF67340"/>
    <w:rsid w:val="5EF77BAB"/>
    <w:rsid w:val="5F011BC2"/>
    <w:rsid w:val="5F1B4B55"/>
    <w:rsid w:val="5F2615DC"/>
    <w:rsid w:val="5F2665E2"/>
    <w:rsid w:val="5F28725D"/>
    <w:rsid w:val="5F316EAB"/>
    <w:rsid w:val="5F321782"/>
    <w:rsid w:val="5F41099F"/>
    <w:rsid w:val="5F8F3859"/>
    <w:rsid w:val="5F9D0D45"/>
    <w:rsid w:val="5FB31D2D"/>
    <w:rsid w:val="5FB53BCC"/>
    <w:rsid w:val="5FB973B6"/>
    <w:rsid w:val="5FBE6C71"/>
    <w:rsid w:val="5FD401E6"/>
    <w:rsid w:val="5FD843B7"/>
    <w:rsid w:val="5FDB0101"/>
    <w:rsid w:val="5FEA5EE1"/>
    <w:rsid w:val="5FF2212F"/>
    <w:rsid w:val="60265537"/>
    <w:rsid w:val="60297EA6"/>
    <w:rsid w:val="603D0973"/>
    <w:rsid w:val="6056428B"/>
    <w:rsid w:val="605E17A9"/>
    <w:rsid w:val="60790E6E"/>
    <w:rsid w:val="608225F2"/>
    <w:rsid w:val="60AD2DF7"/>
    <w:rsid w:val="60E43C71"/>
    <w:rsid w:val="60E6184A"/>
    <w:rsid w:val="60E77A0F"/>
    <w:rsid w:val="60E85A61"/>
    <w:rsid w:val="60F264C7"/>
    <w:rsid w:val="60FB6529"/>
    <w:rsid w:val="61253CF6"/>
    <w:rsid w:val="61385B03"/>
    <w:rsid w:val="613B711C"/>
    <w:rsid w:val="61497518"/>
    <w:rsid w:val="61556C33"/>
    <w:rsid w:val="615C25D5"/>
    <w:rsid w:val="61680E2D"/>
    <w:rsid w:val="61685E72"/>
    <w:rsid w:val="617B53C8"/>
    <w:rsid w:val="619F33B8"/>
    <w:rsid w:val="61A8665E"/>
    <w:rsid w:val="61B1151B"/>
    <w:rsid w:val="61CB2F5D"/>
    <w:rsid w:val="61CC0F37"/>
    <w:rsid w:val="61E46AF5"/>
    <w:rsid w:val="61E761D0"/>
    <w:rsid w:val="620C6C02"/>
    <w:rsid w:val="623E3031"/>
    <w:rsid w:val="624B62DE"/>
    <w:rsid w:val="62551D33"/>
    <w:rsid w:val="62671F07"/>
    <w:rsid w:val="628C3EE3"/>
    <w:rsid w:val="629B4B30"/>
    <w:rsid w:val="62A13EC4"/>
    <w:rsid w:val="62B3079A"/>
    <w:rsid w:val="62C33CFE"/>
    <w:rsid w:val="62D656BC"/>
    <w:rsid w:val="62E36919"/>
    <w:rsid w:val="62E878DB"/>
    <w:rsid w:val="63027DF7"/>
    <w:rsid w:val="630775BF"/>
    <w:rsid w:val="633355C0"/>
    <w:rsid w:val="634E664E"/>
    <w:rsid w:val="635063AE"/>
    <w:rsid w:val="6367308D"/>
    <w:rsid w:val="637324D8"/>
    <w:rsid w:val="637869B1"/>
    <w:rsid w:val="63842726"/>
    <w:rsid w:val="6386642F"/>
    <w:rsid w:val="63A72AE5"/>
    <w:rsid w:val="63B45AF4"/>
    <w:rsid w:val="63B61DC3"/>
    <w:rsid w:val="63D05DF3"/>
    <w:rsid w:val="63DD5E15"/>
    <w:rsid w:val="63E17E19"/>
    <w:rsid w:val="63F64472"/>
    <w:rsid w:val="640D7532"/>
    <w:rsid w:val="640E5D72"/>
    <w:rsid w:val="641C2CA2"/>
    <w:rsid w:val="64224A57"/>
    <w:rsid w:val="64273123"/>
    <w:rsid w:val="642B4C19"/>
    <w:rsid w:val="644272F1"/>
    <w:rsid w:val="6444201C"/>
    <w:rsid w:val="644D1CDF"/>
    <w:rsid w:val="645A6E54"/>
    <w:rsid w:val="645B0307"/>
    <w:rsid w:val="648A686B"/>
    <w:rsid w:val="64B066B1"/>
    <w:rsid w:val="64B91DC7"/>
    <w:rsid w:val="64D32A0A"/>
    <w:rsid w:val="64E64FB6"/>
    <w:rsid w:val="64EC4F59"/>
    <w:rsid w:val="64F11906"/>
    <w:rsid w:val="64F35D73"/>
    <w:rsid w:val="65073E37"/>
    <w:rsid w:val="6520343F"/>
    <w:rsid w:val="65333B7C"/>
    <w:rsid w:val="653C5C56"/>
    <w:rsid w:val="653E4485"/>
    <w:rsid w:val="65491C8B"/>
    <w:rsid w:val="65515985"/>
    <w:rsid w:val="655E14A2"/>
    <w:rsid w:val="65602FF0"/>
    <w:rsid w:val="658664BE"/>
    <w:rsid w:val="658E2B81"/>
    <w:rsid w:val="65995BF7"/>
    <w:rsid w:val="65A20712"/>
    <w:rsid w:val="65A703BB"/>
    <w:rsid w:val="65C5021A"/>
    <w:rsid w:val="65C52FF3"/>
    <w:rsid w:val="65CC6EAA"/>
    <w:rsid w:val="65D25701"/>
    <w:rsid w:val="65F746A5"/>
    <w:rsid w:val="66054FB8"/>
    <w:rsid w:val="663D5BE5"/>
    <w:rsid w:val="663F5D10"/>
    <w:rsid w:val="66587DBA"/>
    <w:rsid w:val="66683236"/>
    <w:rsid w:val="666A6C7A"/>
    <w:rsid w:val="668E293B"/>
    <w:rsid w:val="66977EB6"/>
    <w:rsid w:val="669D2117"/>
    <w:rsid w:val="66C56BB2"/>
    <w:rsid w:val="66CD5831"/>
    <w:rsid w:val="66E02E5F"/>
    <w:rsid w:val="66E27F03"/>
    <w:rsid w:val="66EC0F2D"/>
    <w:rsid w:val="66FA1690"/>
    <w:rsid w:val="66FF6AA8"/>
    <w:rsid w:val="672F2DA9"/>
    <w:rsid w:val="67302569"/>
    <w:rsid w:val="674706AC"/>
    <w:rsid w:val="676519E8"/>
    <w:rsid w:val="678139DB"/>
    <w:rsid w:val="679939DC"/>
    <w:rsid w:val="679C6C7B"/>
    <w:rsid w:val="67A727BD"/>
    <w:rsid w:val="67A8095D"/>
    <w:rsid w:val="67C1297F"/>
    <w:rsid w:val="67C211DF"/>
    <w:rsid w:val="67CC322C"/>
    <w:rsid w:val="67D960B7"/>
    <w:rsid w:val="67E266F5"/>
    <w:rsid w:val="67E6651F"/>
    <w:rsid w:val="67EA6E9C"/>
    <w:rsid w:val="67F251EF"/>
    <w:rsid w:val="68067CD6"/>
    <w:rsid w:val="680C1D27"/>
    <w:rsid w:val="680F7934"/>
    <w:rsid w:val="681057CD"/>
    <w:rsid w:val="68382F74"/>
    <w:rsid w:val="68563703"/>
    <w:rsid w:val="68744340"/>
    <w:rsid w:val="689E0E7D"/>
    <w:rsid w:val="68A54585"/>
    <w:rsid w:val="68AE4B1D"/>
    <w:rsid w:val="68C03140"/>
    <w:rsid w:val="69002ADA"/>
    <w:rsid w:val="69171F5E"/>
    <w:rsid w:val="692700FB"/>
    <w:rsid w:val="69274E95"/>
    <w:rsid w:val="692865EE"/>
    <w:rsid w:val="69346A04"/>
    <w:rsid w:val="693A1566"/>
    <w:rsid w:val="694E16BE"/>
    <w:rsid w:val="69545874"/>
    <w:rsid w:val="695D0DB5"/>
    <w:rsid w:val="69616A76"/>
    <w:rsid w:val="69961297"/>
    <w:rsid w:val="69AE2C69"/>
    <w:rsid w:val="69BB35CC"/>
    <w:rsid w:val="69C2512B"/>
    <w:rsid w:val="69D4011B"/>
    <w:rsid w:val="69E67912"/>
    <w:rsid w:val="69EF309C"/>
    <w:rsid w:val="6A0F2E05"/>
    <w:rsid w:val="6A175DEC"/>
    <w:rsid w:val="6A191D53"/>
    <w:rsid w:val="6A4D6C73"/>
    <w:rsid w:val="6A505045"/>
    <w:rsid w:val="6A654A56"/>
    <w:rsid w:val="6A7A56C1"/>
    <w:rsid w:val="6A8432F7"/>
    <w:rsid w:val="6A987ED1"/>
    <w:rsid w:val="6AA22C6E"/>
    <w:rsid w:val="6AA30330"/>
    <w:rsid w:val="6AB56AD8"/>
    <w:rsid w:val="6AD84422"/>
    <w:rsid w:val="6ADB01D7"/>
    <w:rsid w:val="6AE707D5"/>
    <w:rsid w:val="6AF620A9"/>
    <w:rsid w:val="6B084079"/>
    <w:rsid w:val="6B0B4050"/>
    <w:rsid w:val="6B1B3FB9"/>
    <w:rsid w:val="6B4E6FA2"/>
    <w:rsid w:val="6B5F1088"/>
    <w:rsid w:val="6B622AE8"/>
    <w:rsid w:val="6B696101"/>
    <w:rsid w:val="6B743DCD"/>
    <w:rsid w:val="6B992FEB"/>
    <w:rsid w:val="6BA55120"/>
    <w:rsid w:val="6BB354BA"/>
    <w:rsid w:val="6BD83524"/>
    <w:rsid w:val="6BE247F1"/>
    <w:rsid w:val="6BE96FB6"/>
    <w:rsid w:val="6BF030BE"/>
    <w:rsid w:val="6BF14499"/>
    <w:rsid w:val="6C0471EB"/>
    <w:rsid w:val="6C0A1DFF"/>
    <w:rsid w:val="6C6517F3"/>
    <w:rsid w:val="6C8D5D86"/>
    <w:rsid w:val="6C8F52B2"/>
    <w:rsid w:val="6C9B3995"/>
    <w:rsid w:val="6CC61F0F"/>
    <w:rsid w:val="6CC62A6B"/>
    <w:rsid w:val="6CE53314"/>
    <w:rsid w:val="6CF26041"/>
    <w:rsid w:val="6CF27339"/>
    <w:rsid w:val="6CF344D7"/>
    <w:rsid w:val="6D031B6D"/>
    <w:rsid w:val="6D276FFE"/>
    <w:rsid w:val="6D2F787F"/>
    <w:rsid w:val="6D42736A"/>
    <w:rsid w:val="6D43092F"/>
    <w:rsid w:val="6D5738CF"/>
    <w:rsid w:val="6D5E10BE"/>
    <w:rsid w:val="6D6430B1"/>
    <w:rsid w:val="6D724D38"/>
    <w:rsid w:val="6D964AB0"/>
    <w:rsid w:val="6DA90751"/>
    <w:rsid w:val="6DB5666E"/>
    <w:rsid w:val="6DBA60CF"/>
    <w:rsid w:val="6DCA60CA"/>
    <w:rsid w:val="6DCE2903"/>
    <w:rsid w:val="6DEB2BE9"/>
    <w:rsid w:val="6E007609"/>
    <w:rsid w:val="6E095CC7"/>
    <w:rsid w:val="6E0D4320"/>
    <w:rsid w:val="6E1860B6"/>
    <w:rsid w:val="6E267F9B"/>
    <w:rsid w:val="6E2E75D2"/>
    <w:rsid w:val="6E4570E1"/>
    <w:rsid w:val="6E4B54D5"/>
    <w:rsid w:val="6E50092E"/>
    <w:rsid w:val="6E546268"/>
    <w:rsid w:val="6E5524E2"/>
    <w:rsid w:val="6E610926"/>
    <w:rsid w:val="6E6D7228"/>
    <w:rsid w:val="6E973C70"/>
    <w:rsid w:val="6EA536A5"/>
    <w:rsid w:val="6EBF216F"/>
    <w:rsid w:val="6EC666EF"/>
    <w:rsid w:val="6ED215F8"/>
    <w:rsid w:val="6EE66DB8"/>
    <w:rsid w:val="6EF61EB6"/>
    <w:rsid w:val="6F2B3E19"/>
    <w:rsid w:val="6F4B2F40"/>
    <w:rsid w:val="6F500255"/>
    <w:rsid w:val="6F5660C9"/>
    <w:rsid w:val="6F5E4BE3"/>
    <w:rsid w:val="6F601C95"/>
    <w:rsid w:val="6F66157B"/>
    <w:rsid w:val="6F6B27A8"/>
    <w:rsid w:val="6FAE13BE"/>
    <w:rsid w:val="6FBC7483"/>
    <w:rsid w:val="6FC35893"/>
    <w:rsid w:val="6FC96708"/>
    <w:rsid w:val="6FD55B7D"/>
    <w:rsid w:val="6FE675F7"/>
    <w:rsid w:val="6FE862D0"/>
    <w:rsid w:val="6FFB132E"/>
    <w:rsid w:val="70226002"/>
    <w:rsid w:val="703C5D88"/>
    <w:rsid w:val="704E74E1"/>
    <w:rsid w:val="705325B0"/>
    <w:rsid w:val="70567048"/>
    <w:rsid w:val="70584E45"/>
    <w:rsid w:val="70752DC7"/>
    <w:rsid w:val="708B2F32"/>
    <w:rsid w:val="70903D3E"/>
    <w:rsid w:val="70AB35B3"/>
    <w:rsid w:val="70B44D33"/>
    <w:rsid w:val="70C54E91"/>
    <w:rsid w:val="70CA0BD0"/>
    <w:rsid w:val="70D72D5A"/>
    <w:rsid w:val="70D975E6"/>
    <w:rsid w:val="70F21142"/>
    <w:rsid w:val="71055632"/>
    <w:rsid w:val="71216E48"/>
    <w:rsid w:val="712C685C"/>
    <w:rsid w:val="712F2D30"/>
    <w:rsid w:val="713439B8"/>
    <w:rsid w:val="715B06C0"/>
    <w:rsid w:val="716A052C"/>
    <w:rsid w:val="71701239"/>
    <w:rsid w:val="71851CBF"/>
    <w:rsid w:val="718A2532"/>
    <w:rsid w:val="71C152F2"/>
    <w:rsid w:val="71D8039D"/>
    <w:rsid w:val="71DC301C"/>
    <w:rsid w:val="721C68E2"/>
    <w:rsid w:val="72211EB4"/>
    <w:rsid w:val="72261B3D"/>
    <w:rsid w:val="723319CF"/>
    <w:rsid w:val="723A3C94"/>
    <w:rsid w:val="723D173B"/>
    <w:rsid w:val="7248560D"/>
    <w:rsid w:val="72493257"/>
    <w:rsid w:val="7254404E"/>
    <w:rsid w:val="72606D04"/>
    <w:rsid w:val="726574E1"/>
    <w:rsid w:val="72673F85"/>
    <w:rsid w:val="72714BC5"/>
    <w:rsid w:val="727428B0"/>
    <w:rsid w:val="729D0625"/>
    <w:rsid w:val="72AB1728"/>
    <w:rsid w:val="72AB1AA0"/>
    <w:rsid w:val="72C44DD2"/>
    <w:rsid w:val="72CF40D9"/>
    <w:rsid w:val="72D9147F"/>
    <w:rsid w:val="72E15C4F"/>
    <w:rsid w:val="72F62DD2"/>
    <w:rsid w:val="72F654AB"/>
    <w:rsid w:val="7336701B"/>
    <w:rsid w:val="73523C47"/>
    <w:rsid w:val="73574259"/>
    <w:rsid w:val="73690A32"/>
    <w:rsid w:val="736D0FD4"/>
    <w:rsid w:val="73831321"/>
    <w:rsid w:val="739941A4"/>
    <w:rsid w:val="73C32B2A"/>
    <w:rsid w:val="73C85814"/>
    <w:rsid w:val="73CE25B4"/>
    <w:rsid w:val="73D92AB6"/>
    <w:rsid w:val="73D92F72"/>
    <w:rsid w:val="73DC3D7E"/>
    <w:rsid w:val="73E0544F"/>
    <w:rsid w:val="73E4173A"/>
    <w:rsid w:val="73FB5405"/>
    <w:rsid w:val="73FF6628"/>
    <w:rsid w:val="740F3429"/>
    <w:rsid w:val="742651FB"/>
    <w:rsid w:val="745C677C"/>
    <w:rsid w:val="74641D08"/>
    <w:rsid w:val="746956F2"/>
    <w:rsid w:val="747A2DC7"/>
    <w:rsid w:val="74852507"/>
    <w:rsid w:val="74A70055"/>
    <w:rsid w:val="74D90B90"/>
    <w:rsid w:val="74DA704D"/>
    <w:rsid w:val="74DF5459"/>
    <w:rsid w:val="74E20BA9"/>
    <w:rsid w:val="74E70346"/>
    <w:rsid w:val="75080168"/>
    <w:rsid w:val="750921E9"/>
    <w:rsid w:val="750D2845"/>
    <w:rsid w:val="75107A76"/>
    <w:rsid w:val="752E0DF7"/>
    <w:rsid w:val="752F3282"/>
    <w:rsid w:val="75340D77"/>
    <w:rsid w:val="75343B8A"/>
    <w:rsid w:val="757C1451"/>
    <w:rsid w:val="759B2019"/>
    <w:rsid w:val="75AD6B16"/>
    <w:rsid w:val="75D04ACD"/>
    <w:rsid w:val="75E05E38"/>
    <w:rsid w:val="75ED055E"/>
    <w:rsid w:val="760071DA"/>
    <w:rsid w:val="76074583"/>
    <w:rsid w:val="761E25CA"/>
    <w:rsid w:val="766862D7"/>
    <w:rsid w:val="766A444C"/>
    <w:rsid w:val="767F6AE6"/>
    <w:rsid w:val="768F07F8"/>
    <w:rsid w:val="76A17727"/>
    <w:rsid w:val="76B0453E"/>
    <w:rsid w:val="76C242E5"/>
    <w:rsid w:val="76C84B50"/>
    <w:rsid w:val="76D14A02"/>
    <w:rsid w:val="76F45BBB"/>
    <w:rsid w:val="76F50A5C"/>
    <w:rsid w:val="76FB08CD"/>
    <w:rsid w:val="772A1AEA"/>
    <w:rsid w:val="773F38C6"/>
    <w:rsid w:val="77413278"/>
    <w:rsid w:val="774B22FC"/>
    <w:rsid w:val="775651BD"/>
    <w:rsid w:val="775938E6"/>
    <w:rsid w:val="777F1A73"/>
    <w:rsid w:val="778A0478"/>
    <w:rsid w:val="77B027AE"/>
    <w:rsid w:val="77B31D2A"/>
    <w:rsid w:val="77D205A0"/>
    <w:rsid w:val="77E169E2"/>
    <w:rsid w:val="78155F3C"/>
    <w:rsid w:val="78306A68"/>
    <w:rsid w:val="78382735"/>
    <w:rsid w:val="784268FE"/>
    <w:rsid w:val="78602865"/>
    <w:rsid w:val="786259A5"/>
    <w:rsid w:val="786B0872"/>
    <w:rsid w:val="786C6D1E"/>
    <w:rsid w:val="78741F7B"/>
    <w:rsid w:val="78A85D82"/>
    <w:rsid w:val="78AD1D8B"/>
    <w:rsid w:val="78BD2EFC"/>
    <w:rsid w:val="78BE6CCD"/>
    <w:rsid w:val="78DC12D6"/>
    <w:rsid w:val="78FA3FAE"/>
    <w:rsid w:val="78FD3498"/>
    <w:rsid w:val="78FD3EE4"/>
    <w:rsid w:val="791E2420"/>
    <w:rsid w:val="791F0C79"/>
    <w:rsid w:val="79287499"/>
    <w:rsid w:val="79466A24"/>
    <w:rsid w:val="79486845"/>
    <w:rsid w:val="7957119F"/>
    <w:rsid w:val="795B3C16"/>
    <w:rsid w:val="79624F32"/>
    <w:rsid w:val="796A0150"/>
    <w:rsid w:val="79743062"/>
    <w:rsid w:val="79753720"/>
    <w:rsid w:val="798F0AA6"/>
    <w:rsid w:val="799C677B"/>
    <w:rsid w:val="79AA49FA"/>
    <w:rsid w:val="79BE1076"/>
    <w:rsid w:val="79F21C06"/>
    <w:rsid w:val="79F84F32"/>
    <w:rsid w:val="79FA215D"/>
    <w:rsid w:val="7A2572B6"/>
    <w:rsid w:val="7A321E22"/>
    <w:rsid w:val="7A345394"/>
    <w:rsid w:val="7A4D6031"/>
    <w:rsid w:val="7A5220C9"/>
    <w:rsid w:val="7A7023DE"/>
    <w:rsid w:val="7A7B0807"/>
    <w:rsid w:val="7AC54835"/>
    <w:rsid w:val="7ACF0F1B"/>
    <w:rsid w:val="7AD37414"/>
    <w:rsid w:val="7AFC186A"/>
    <w:rsid w:val="7B0E5C19"/>
    <w:rsid w:val="7B2C1964"/>
    <w:rsid w:val="7B43237B"/>
    <w:rsid w:val="7B455968"/>
    <w:rsid w:val="7B7D2493"/>
    <w:rsid w:val="7B854118"/>
    <w:rsid w:val="7B930164"/>
    <w:rsid w:val="7BA326E7"/>
    <w:rsid w:val="7BBA4F38"/>
    <w:rsid w:val="7BD32672"/>
    <w:rsid w:val="7C017576"/>
    <w:rsid w:val="7C0F0D6B"/>
    <w:rsid w:val="7C2D00C3"/>
    <w:rsid w:val="7C3A404D"/>
    <w:rsid w:val="7C4D057E"/>
    <w:rsid w:val="7C9D09AF"/>
    <w:rsid w:val="7C9D0E1D"/>
    <w:rsid w:val="7CF36118"/>
    <w:rsid w:val="7D0154B8"/>
    <w:rsid w:val="7D026AC9"/>
    <w:rsid w:val="7D150C09"/>
    <w:rsid w:val="7D2D357F"/>
    <w:rsid w:val="7D3709D5"/>
    <w:rsid w:val="7D382E82"/>
    <w:rsid w:val="7D5F7DD9"/>
    <w:rsid w:val="7D92272A"/>
    <w:rsid w:val="7DB06AF0"/>
    <w:rsid w:val="7DBB2987"/>
    <w:rsid w:val="7DCE0F40"/>
    <w:rsid w:val="7DCF4583"/>
    <w:rsid w:val="7DD647CF"/>
    <w:rsid w:val="7DE90F52"/>
    <w:rsid w:val="7DFB5649"/>
    <w:rsid w:val="7E0F0182"/>
    <w:rsid w:val="7E2074E9"/>
    <w:rsid w:val="7E2A45AB"/>
    <w:rsid w:val="7E4812D9"/>
    <w:rsid w:val="7E7A5F03"/>
    <w:rsid w:val="7E7E48E2"/>
    <w:rsid w:val="7E874535"/>
    <w:rsid w:val="7EA27B2B"/>
    <w:rsid w:val="7EA759BC"/>
    <w:rsid w:val="7EC13F0B"/>
    <w:rsid w:val="7EDF3F60"/>
    <w:rsid w:val="7EEB62D7"/>
    <w:rsid w:val="7EF42A33"/>
    <w:rsid w:val="7EFD5745"/>
    <w:rsid w:val="7F135157"/>
    <w:rsid w:val="7F146B73"/>
    <w:rsid w:val="7F1E2B6B"/>
    <w:rsid w:val="7F2F7D19"/>
    <w:rsid w:val="7F4520A6"/>
    <w:rsid w:val="7F634807"/>
    <w:rsid w:val="7F636B32"/>
    <w:rsid w:val="7F8C52C1"/>
    <w:rsid w:val="7F921A71"/>
    <w:rsid w:val="7FAD49A3"/>
    <w:rsid w:val="7FAE4534"/>
    <w:rsid w:val="7FC44811"/>
    <w:rsid w:val="7FE7241C"/>
    <w:rsid w:val="7FF34EC5"/>
    <w:rsid w:val="BDF7334A"/>
    <w:rsid w:val="DF734E47"/>
    <w:rsid w:val="F73CCC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qFormat/>
    <w:uiPriority w:val="0"/>
    <w:pPr>
      <w:jc w:val="left"/>
    </w:p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nt11"/>
    <w:basedOn w:val="6"/>
    <w:qFormat/>
    <w:uiPriority w:val="0"/>
    <w:rPr>
      <w:rFonts w:hint="eastAsia" w:ascii="宋体" w:hAnsi="宋体" w:eastAsia="宋体" w:cs="宋体"/>
      <w:b/>
      <w:color w:val="000000"/>
      <w:sz w:val="20"/>
      <w:szCs w:val="20"/>
      <w:u w:val="none"/>
    </w:rPr>
  </w:style>
  <w:style w:type="paragraph" w:customStyle="1" w:styleId="8">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9">
    <w:name w:val="font81"/>
    <w:basedOn w:val="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0</Words>
  <Characters>0</Characters>
  <Lines>0</Lines>
  <Paragraphs>0</Paragraphs>
  <TotalTime>48</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2022-01-28T22:38:00Z</dcterms:created>
  <dc:creator>ehv_mj_liweiming</dc:creator>
  <cp:lastModifiedBy>65B2C4ADC31B4C2DB104A09200D8CA67</cp:lastModifiedBy>
  <dcterms:modified xsi:type="dcterms:W3CDTF">2026-03-16T07:16:06Z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1408DDE69C8747B283EB32B5270BFC38</vt:lpwstr>
  </property>
</Properties>
</file>