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报价明细（需对采购清单的每项物资进行报价，且明确税率，报价有效期）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  <w:u w:val="single"/>
          <w:lang w:val="en-US" w:eastAsia="zh-CN"/>
        </w:rPr>
        <w:t xml:space="preserve">                     项目</w:t>
      </w: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1636"/>
        <w:gridCol w:w="1078"/>
        <w:gridCol w:w="1295"/>
        <w:gridCol w:w="1177"/>
        <w:gridCol w:w="1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物资名称</w:t>
            </w: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单位</w:t>
            </w: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数量</w:t>
            </w: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单价（元）</w:t>
            </w: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6536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合计（元）</w:t>
            </w: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ind w:left="210"/>
              <w:rPr>
                <w:rFonts w:hint="eastAsia" w:ascii="宋体" w:hAnsi="宋体" w:cs="宋体"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</w:rPr>
              <w:t>其他</w:t>
            </w:r>
          </w:p>
        </w:tc>
        <w:tc>
          <w:tcPr>
            <w:tcW w:w="7597" w:type="dxa"/>
            <w:gridSpan w:val="6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7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___%税率。报价有效期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“报价明细表”是招标人评审和判别单价组成、价格完整性和合理性的主要基础。本表的价格数据对投标人具有约束力。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0000FF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  <w:bookmarkStart w:id="1" w:name="_GoBack"/>
      <w:r>
        <w:rPr>
          <w:rFonts w:hint="eastAsia" w:ascii="宋体" w:hAnsi="宋体" w:cs="宋体"/>
          <w:color w:val="0000FF"/>
          <w:szCs w:val="21"/>
        </w:rPr>
        <w:t>报价等低于其对应最高限价的85%，应在投标文件中或评标澄清时提供成本分析报告，成本分析报告需充分说明单价和费用的组成、降低成本的合理措施及在其他项目中应用过的经验，否则视为实质上不响应招标文件要求，作否决投标处理</w:t>
      </w:r>
    </w:p>
    <w:bookmarkEnd w:id="1"/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4.上述格式适用物资类项目，工程、服务类项目可灵活调整格式。         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354402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庞世论</cp:lastModifiedBy>
  <dcterms:modified xsi:type="dcterms:W3CDTF">2026-03-17T07:07:10Z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DAEFDBCC6D384226BDB99C6413AD9856</vt:lpwstr>
  </property>
</Properties>
</file>