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jc w:val="center"/>
        <w:textAlignment w:val="auto"/>
        <w:outlineLvl w:val="1"/>
        <w:rPr>
          <w:rFonts w:hint="eastAsia" w:ascii="黑体" w:hAnsi="黑体" w:eastAsia="黑体" w:cs="黑体"/>
          <w:b/>
          <w:bCs w:val="0"/>
          <w:color w:val="auto"/>
          <w:sz w:val="44"/>
          <w:szCs w:val="44"/>
          <w:highlight w:val="none"/>
          <w:lang w:val="en-US" w:eastAsia="zh-CN"/>
        </w:rPr>
      </w:pPr>
      <w:bookmarkStart w:id="0" w:name="_Toc9012"/>
      <w:bookmarkStart w:id="1" w:name="_Toc2480"/>
      <w:r>
        <w:rPr>
          <w:rFonts w:hint="eastAsia" w:ascii="黑体" w:hAnsi="黑体" w:eastAsia="黑体" w:cs="黑体"/>
          <w:b/>
          <w:bCs w:val="0"/>
          <w:color w:val="auto"/>
          <w:sz w:val="44"/>
          <w:szCs w:val="44"/>
          <w:highlight w:val="none"/>
          <w:lang w:val="en-US" w:eastAsia="zh-CN"/>
        </w:rPr>
        <w:t>桂林周转仓2026年消防系统维保服务项目</w:t>
      </w:r>
      <w:bookmarkEnd w:id="0"/>
      <w:bookmarkEnd w:id="1"/>
    </w:p>
    <w:p>
      <w:pPr>
        <w:jc w:val="center"/>
        <w:rPr>
          <w:rFonts w:hint="eastAsia" w:ascii="黑体" w:hAnsi="黑体" w:eastAsia="黑体" w:cs="黑体"/>
          <w:b/>
          <w:bCs w:val="0"/>
          <w:color w:val="auto"/>
          <w:sz w:val="44"/>
          <w:szCs w:val="44"/>
          <w:highlight w:val="none"/>
          <w:lang w:val="en-US" w:eastAsia="zh-CN"/>
        </w:rPr>
      </w:pPr>
      <w:r>
        <w:rPr>
          <w:rFonts w:hint="eastAsia" w:ascii="黑体" w:hAnsi="黑体" w:eastAsia="黑体" w:cs="黑体"/>
          <w:b/>
          <w:bCs w:val="0"/>
          <w:color w:val="auto"/>
          <w:sz w:val="44"/>
          <w:szCs w:val="44"/>
          <w:highlight w:val="none"/>
          <w:lang w:val="en-US" w:eastAsia="zh-CN"/>
        </w:rPr>
        <w:t>服务标准及要求</w:t>
      </w:r>
    </w:p>
    <w:p>
      <w:pPr>
        <w:pStyle w:val="2"/>
        <w:rPr>
          <w:rFonts w:hint="eastAsia"/>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562" w:firstLineChars="200"/>
        <w:textAlignment w:val="auto"/>
        <w:outlineLvl w:val="2"/>
        <w:rPr>
          <w:rFonts w:hint="eastAsia" w:ascii="宋体" w:hAnsi="宋体" w:cs="宋体"/>
          <w:b/>
          <w:bCs/>
          <w:color w:val="auto"/>
          <w:sz w:val="28"/>
          <w:szCs w:val="28"/>
          <w:highlight w:val="none"/>
          <w:lang w:val="en-US" w:eastAsia="zh-CN"/>
        </w:rPr>
      </w:pPr>
      <w:bookmarkStart w:id="2" w:name="_Toc3024"/>
      <w:r>
        <w:rPr>
          <w:rFonts w:hint="eastAsia" w:ascii="宋体" w:hAnsi="宋体" w:cs="宋体"/>
          <w:b/>
          <w:bCs/>
          <w:color w:val="auto"/>
          <w:sz w:val="28"/>
          <w:szCs w:val="28"/>
          <w:highlight w:val="none"/>
          <w:lang w:val="en-US" w:eastAsia="zh-CN"/>
        </w:rPr>
        <w:t>1.服务范围</w:t>
      </w:r>
    </w:p>
    <w:p>
      <w:pPr>
        <w:pageBreakBefore w:val="0"/>
        <w:kinsoku/>
        <w:wordWrap/>
        <w:overflowPunct/>
        <w:topLinePunct w:val="0"/>
        <w:autoSpaceDE/>
        <w:autoSpaceDN/>
        <w:bidi w:val="0"/>
        <w:adjustRightInd/>
        <w:snapToGrid/>
        <w:spacing w:line="560" w:lineRule="exact"/>
        <w:ind w:firstLine="420" w:firstLineChars="200"/>
        <w:outlineLvl w:val="9"/>
        <w:rPr>
          <w:rFonts w:hint="eastAsia"/>
          <w:color w:val="auto"/>
          <w:sz w:val="28"/>
          <w:szCs w:val="28"/>
          <w:highlight w:val="none"/>
          <w:lang w:val="en-US" w:eastAsia="zh-CN"/>
        </w:rPr>
      </w:pPr>
      <w:r>
        <w:rPr>
          <w:rFonts w:hint="eastAsia"/>
          <w:lang w:val="en-US" w:eastAsia="zh-CN"/>
        </w:rPr>
        <w:t xml:space="preserve"> </w:t>
      </w:r>
      <w:r>
        <w:rPr>
          <w:rFonts w:hint="eastAsia"/>
          <w:color w:val="auto"/>
          <w:sz w:val="28"/>
          <w:szCs w:val="28"/>
          <w:highlight w:val="none"/>
          <w:lang w:val="en-US" w:eastAsia="zh-CN"/>
        </w:rPr>
        <w:t>1.1维护保养对象：桂林周转仓区域消防设备。</w:t>
      </w:r>
    </w:p>
    <w:p>
      <w:pPr>
        <w:pageBreakBefore w:val="0"/>
        <w:kinsoku/>
        <w:wordWrap/>
        <w:overflowPunct/>
        <w:topLinePunct w:val="0"/>
        <w:autoSpaceDE/>
        <w:autoSpaceDN/>
        <w:bidi w:val="0"/>
        <w:adjustRightInd/>
        <w:snapToGrid/>
        <w:spacing w:line="560" w:lineRule="exact"/>
        <w:ind w:firstLine="560" w:firstLineChars="200"/>
        <w:outlineLvl w:val="9"/>
        <w:rPr>
          <w:rFonts w:hint="default"/>
          <w:color w:val="auto"/>
          <w:sz w:val="28"/>
          <w:szCs w:val="28"/>
          <w:highlight w:val="none"/>
          <w:lang w:val="en-US" w:eastAsia="zh-CN"/>
        </w:rPr>
      </w:pPr>
      <w:r>
        <w:rPr>
          <w:rFonts w:hint="eastAsia"/>
          <w:color w:val="auto"/>
          <w:sz w:val="28"/>
          <w:szCs w:val="28"/>
          <w:highlight w:val="none"/>
          <w:lang w:val="en-US" w:eastAsia="zh-CN"/>
        </w:rPr>
        <w:t>1.2维护保养数量：详见附件1《桂林周转仓2026年消防系统维保服务项目基准价表》。如发生故障需更换配件的，按照附件2《桂林周转仓2026年消防系统维保服务项目常规配件基准价表》基准价格下浮后据实结算，更换的配件质保一年。</w:t>
      </w:r>
      <w:bookmarkStart w:id="8" w:name="_GoBack"/>
      <w:bookmarkEnd w:id="8"/>
    </w:p>
    <w:p>
      <w:pPr>
        <w:pStyle w:val="4"/>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562" w:firstLineChars="200"/>
        <w:textAlignment w:val="auto"/>
        <w:outlineLvl w:val="2"/>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2</w:t>
      </w:r>
      <w:r>
        <w:rPr>
          <w:rFonts w:hint="eastAsia" w:ascii="宋体" w:hAnsi="宋体" w:eastAsia="宋体" w:cs="宋体"/>
          <w:b/>
          <w:bCs/>
          <w:color w:val="auto"/>
          <w:sz w:val="28"/>
          <w:szCs w:val="28"/>
          <w:highlight w:val="none"/>
          <w:lang w:val="en-US" w:eastAsia="zh-CN"/>
        </w:rPr>
        <w:t>.</w:t>
      </w:r>
      <w:r>
        <w:rPr>
          <w:rFonts w:hint="eastAsia" w:ascii="宋体" w:hAnsi="宋体" w:eastAsia="宋体" w:cs="宋体"/>
          <w:b/>
          <w:bCs/>
          <w:color w:val="auto"/>
          <w:sz w:val="28"/>
          <w:szCs w:val="28"/>
          <w:highlight w:val="none"/>
        </w:rPr>
        <w:t>项目服务标准及要求</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562" w:firstLineChars="200"/>
        <w:textAlignment w:val="auto"/>
        <w:outlineLvl w:val="9"/>
        <w:rPr>
          <w:rFonts w:hint="eastAsia" w:ascii="宋体" w:hAnsi="宋体" w:eastAsia="宋体" w:cs="宋体"/>
          <w:b/>
          <w:bCs/>
          <w:color w:val="auto"/>
          <w:sz w:val="28"/>
          <w:szCs w:val="28"/>
          <w:highlight w:val="none"/>
          <w:lang w:val="en-US" w:eastAsia="zh-CN"/>
        </w:rPr>
      </w:pPr>
      <w:bookmarkStart w:id="3" w:name="_Toc32306"/>
      <w:r>
        <w:rPr>
          <w:rFonts w:hint="eastAsia" w:ascii="宋体" w:hAnsi="宋体" w:eastAsia="宋体" w:cs="宋体"/>
          <w:b/>
          <w:bCs/>
          <w:color w:val="auto"/>
          <w:sz w:val="28"/>
          <w:szCs w:val="28"/>
          <w:highlight w:val="none"/>
          <w:lang w:val="en-US" w:eastAsia="zh-CN"/>
        </w:rPr>
        <w:t>2.1</w:t>
      </w:r>
      <w:bookmarkEnd w:id="3"/>
      <w:r>
        <w:rPr>
          <w:rFonts w:hint="eastAsia" w:ascii="宋体" w:hAnsi="宋体" w:eastAsia="宋体" w:cs="宋体"/>
          <w:b/>
          <w:bCs/>
          <w:color w:val="auto"/>
          <w:sz w:val="28"/>
          <w:szCs w:val="28"/>
          <w:highlight w:val="none"/>
          <w:lang w:val="en-US" w:eastAsia="zh-CN"/>
        </w:rPr>
        <w:t>项目服务标准</w:t>
      </w:r>
    </w:p>
    <w:p>
      <w:pPr>
        <w:pageBreakBefore w:val="0"/>
        <w:kinsoku/>
        <w:wordWrap/>
        <w:overflowPunct/>
        <w:topLinePunct w:val="0"/>
        <w:autoSpaceDE/>
        <w:autoSpaceDN/>
        <w:bidi w:val="0"/>
        <w:adjustRightInd/>
        <w:snapToGrid/>
        <w:spacing w:line="560" w:lineRule="exact"/>
        <w:ind w:firstLine="560" w:firstLineChars="200"/>
        <w:outlineLvl w:val="9"/>
        <w:rPr>
          <w:rFonts w:hint="default" w:eastAsiaTheme="minorEastAsia"/>
          <w:color w:val="auto"/>
          <w:sz w:val="28"/>
          <w:szCs w:val="28"/>
          <w:highlight w:val="none"/>
          <w:lang w:val="en-US" w:eastAsia="zh-CN"/>
        </w:rPr>
      </w:pPr>
      <w:r>
        <w:rPr>
          <w:rFonts w:hint="eastAsia"/>
          <w:color w:val="auto"/>
          <w:sz w:val="28"/>
          <w:szCs w:val="28"/>
          <w:highlight w:val="none"/>
        </w:rPr>
        <w:t>服务商在提供消防系统维保服务时，需按照如下标准执行，要求所用标准必须为最新版本，如果这些标准有矛盾时，应按最高标准的条款执行或按双方商定的标准执行。此外，如果在合同执行期间国家颁布新的标准时，应按最新的条款执行。</w:t>
      </w:r>
      <w:r>
        <w:rPr>
          <w:rFonts w:hint="eastAsia"/>
          <w:color w:val="auto"/>
          <w:sz w:val="28"/>
          <w:szCs w:val="28"/>
          <w:highlight w:val="none"/>
          <w:lang w:val="en-US" w:eastAsia="zh-CN"/>
        </w:rPr>
        <w:t>详细如下：</w:t>
      </w:r>
    </w:p>
    <w:tbl>
      <w:tblPr>
        <w:tblStyle w:val="6"/>
        <w:tblW w:w="9675" w:type="dxa"/>
        <w:tblInd w:w="-4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8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blHeader/>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序号</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《中华人民共和国消防法》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2</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《社会消防技术服务管理规定》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hint="eastAsia" w:ascii="宋体" w:hAnsi="宋体" w:eastAsia="宋体" w:cs="宋体"/>
                <w:color w:val="auto"/>
                <w:kern w:val="0"/>
                <w:sz w:val="24"/>
                <w:highlight w:val="none"/>
                <w:lang w:eastAsia="zh-CN" w:bidi="ar"/>
              </w:rPr>
            </w:pPr>
            <w:r>
              <w:rPr>
                <w:rFonts w:hint="eastAsia" w:ascii="宋体" w:hAnsi="宋体" w:eastAsia="宋体" w:cs="宋体"/>
                <w:color w:val="auto"/>
                <w:kern w:val="0"/>
                <w:sz w:val="24"/>
                <w:highlight w:val="none"/>
                <w:lang w:val="en-US" w:eastAsia="zh-CN" w:bidi="ar"/>
              </w:rPr>
              <w:t>3</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《广西消防技术服务机构临时资质管理暂行办法》桂公消 [2017] 19号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4</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GB25201-2010《建筑消防设施的维护管理》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5</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GB50166-2019《火灾自动报警系统施工及验收规范》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6</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GB50084-2017《自动喷水灭火系统设计规范》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7</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GB50261-2017《自动喷水灭火系统施工及验收规范》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8</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GB50370-2005《气体灭火系统设计规范》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9</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GB50016-2014《建筑设计防火规范》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10</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GB51251-2017《建筑防烟排烟系统技术标准》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11</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GB50974-2014《消防给水及消火栓系统技术规范》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12</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GB/T 14194-2017</w:t>
            </w:r>
            <w:r>
              <w:rPr>
                <w:rFonts w:hint="eastAsia" w:ascii="宋体" w:hAnsi="宋体" w:eastAsia="宋体" w:cs="宋体"/>
                <w:color w:val="auto"/>
                <w:kern w:val="0"/>
                <w:sz w:val="24"/>
                <w:highlight w:val="none"/>
                <w:lang w:bidi="ar"/>
              </w:rPr>
              <w:t>《压缩气体气瓶充装规定》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13</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GB25972-2010《气体灭火系统及部件》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14</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TSG23-2021《气瓶安全技术规程》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15</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GB50263-2007《气体灭火系统施工及验收规范》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16</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GB50444-2008《建筑灭火器配置验收及检查规范》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17</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GB15630-1995《消防安全标志设置要求》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18</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G</w:t>
            </w:r>
            <w:r>
              <w:rPr>
                <w:rFonts w:ascii="宋体" w:hAnsi="宋体" w:eastAsia="宋体" w:cs="宋体"/>
                <w:color w:val="auto"/>
                <w:kern w:val="0"/>
                <w:sz w:val="24"/>
                <w:highlight w:val="none"/>
                <w:lang w:bidi="ar"/>
              </w:rPr>
              <w:t>A</w:t>
            </w:r>
            <w:r>
              <w:rPr>
                <w:rFonts w:hint="eastAsia" w:ascii="宋体" w:hAnsi="宋体" w:eastAsia="宋体" w:cs="宋体"/>
                <w:color w:val="auto"/>
                <w:kern w:val="0"/>
                <w:sz w:val="24"/>
                <w:highlight w:val="none"/>
                <w:lang w:bidi="ar"/>
              </w:rPr>
              <w:t>503-2004《建筑消防设施检测技术规程》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19</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outlineLvl w:val="9"/>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GB4717-2005《火灾报警控制器》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20</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GB16806-2006《消防联动控制系统》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21</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GB17945-2010《消防应急照明和疏散指示系统》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22</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GB14102-2005《防火卷帘》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23</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GB50116-2013《火灾自动报警系统设计规范》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24</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GB50015-2019《建筑给水排水设计标准》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25</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GB50275-2010《风机、压缩机、泵安装工程施工及验收规范》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26</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GB50171-2012《电气装置安装工程盘、柜及二次回路接线施工及验收规范》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27</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2019最新《建筑给水排水及采暖工程施工质量验收规范》GB50242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28</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GB50219-2014《水喷雾灭火系统设计规范》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29</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olor w:val="auto"/>
                <w:kern w:val="0"/>
                <w:sz w:val="24"/>
                <w:highlight w:val="none"/>
                <w:lang w:bidi="ar"/>
              </w:rPr>
              <w:t xml:space="preserve">GB/T 25203-2010 </w:t>
            </w:r>
            <w:r>
              <w:rPr>
                <w:rFonts w:hint="eastAsia"/>
                <w:color w:val="auto"/>
                <w:kern w:val="0"/>
                <w:sz w:val="24"/>
                <w:highlight w:val="none"/>
                <w:lang w:bidi="ar"/>
              </w:rPr>
              <w:t>《</w:t>
            </w:r>
            <w:r>
              <w:rPr>
                <w:rFonts w:hint="eastAsia" w:ascii="宋体" w:hAnsi="宋体" w:eastAsia="宋体"/>
                <w:color w:val="auto"/>
                <w:kern w:val="0"/>
                <w:sz w:val="24"/>
                <w:highlight w:val="none"/>
                <w:lang w:bidi="ar"/>
              </w:rPr>
              <w:t>消防监督技术装备配备</w:t>
            </w:r>
            <w:r>
              <w:rPr>
                <w:rFonts w:hint="eastAsia"/>
                <w:color w:val="auto"/>
                <w:kern w:val="0"/>
                <w:sz w:val="24"/>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30</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GB50229-2019《火力发电厂与变电站设计防火规范》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31</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GB17429-2011《火灾显示盘》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32</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GB50281-2006《泡沫灭火系统施工及验收规范》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33</w:t>
            </w:r>
          </w:p>
        </w:tc>
        <w:tc>
          <w:tcPr>
            <w:tcW w:w="8925"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CECS187 2005《油浸变压器排油注氮灭火装置技术规程》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50" w:type="dxa"/>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34</w:t>
            </w:r>
          </w:p>
        </w:tc>
        <w:tc>
          <w:tcPr>
            <w:tcW w:w="8925" w:type="dxa"/>
            <w:shd w:val="clear" w:color="auto" w:fill="auto"/>
            <w:noWrap/>
            <w:vAlign w:val="center"/>
          </w:tcPr>
          <w:p>
            <w:pPr>
              <w:pageBreakBefore w:val="0"/>
              <w:shd w:val="clear" w:color="auto" w:fill="FFFFFF"/>
              <w:kinsoku/>
              <w:wordWrap/>
              <w:overflowPunct/>
              <w:topLinePunct w:val="0"/>
              <w:autoSpaceDE/>
              <w:autoSpaceDN/>
              <w:bidi w:val="0"/>
              <w:adjustRightInd/>
              <w:snapToGrid/>
              <w:spacing w:before="0" w:beforeAutospacing="0" w:after="0" w:afterAutospacing="0" w:line="360" w:lineRule="atLeast"/>
              <w:jc w:val="center"/>
              <w:outlineLvl w:val="9"/>
              <w:rPr>
                <w:rFonts w:hint="eastAsia"/>
                <w:b w:val="0"/>
                <w:bCs w:val="0"/>
                <w:color w:val="auto"/>
                <w:kern w:val="0"/>
                <w:sz w:val="24"/>
                <w:szCs w:val="24"/>
                <w:highlight w:val="none"/>
                <w:lang w:bidi="ar"/>
              </w:rPr>
            </w:pPr>
            <w:r>
              <w:rPr>
                <w:rFonts w:hint="eastAsia"/>
                <w:b w:val="0"/>
                <w:bCs w:val="0"/>
                <w:color w:val="auto"/>
                <w:kern w:val="0"/>
                <w:sz w:val="24"/>
                <w:highlight w:val="none"/>
                <w:lang w:bidi="ar"/>
              </w:rPr>
              <w:t>DL5027-2015 《电力设备典型消防规程》</w:t>
            </w:r>
          </w:p>
        </w:tc>
      </w:tr>
    </w:tbl>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9"/>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2.</w:t>
      </w:r>
      <w:r>
        <w:rPr>
          <w:rFonts w:hint="eastAsia" w:ascii="宋体" w:hAnsi="宋体" w:eastAsia="宋体" w:cs="宋体"/>
          <w:b/>
          <w:bCs/>
          <w:color w:val="auto"/>
          <w:sz w:val="28"/>
          <w:szCs w:val="28"/>
          <w:highlight w:val="none"/>
          <w:lang w:val="en-US" w:eastAsia="zh-CN"/>
        </w:rPr>
        <w:t>2项目服务要求</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color w:val="auto"/>
          <w:sz w:val="28"/>
          <w:szCs w:val="28"/>
          <w:highlight w:val="none"/>
        </w:rPr>
      </w:pPr>
      <w:r>
        <w:rPr>
          <w:rFonts w:hint="eastAsia" w:ascii="宋体" w:hAnsi="宋体" w:eastAsia="宋体" w:cs="宋体"/>
          <w:b w:val="0"/>
          <w:bCs w:val="0"/>
          <w:color w:val="auto"/>
          <w:sz w:val="28"/>
          <w:szCs w:val="28"/>
          <w:highlight w:val="none"/>
          <w:lang w:val="en-US" w:eastAsia="zh-CN"/>
        </w:rPr>
        <w:t>2.2.1</w:t>
      </w:r>
      <w:r>
        <w:rPr>
          <w:rFonts w:hint="eastAsia" w:ascii="宋体" w:hAnsi="宋体"/>
          <w:color w:val="auto"/>
          <w:sz w:val="28"/>
          <w:szCs w:val="28"/>
          <w:highlight w:val="none"/>
        </w:rPr>
        <w:t>合同实施前，服务商需对采购方整体消防系统运行状况进行全面摸查，根据摸查情况，针对消防系统维保服务项目，需指派专人进行对接，熟悉和了解采购方消防系统构成</w:t>
      </w:r>
      <w:r>
        <w:rPr>
          <w:rFonts w:hint="eastAsia" w:ascii="宋体" w:hAnsi="宋体"/>
          <w:color w:val="auto"/>
          <w:sz w:val="28"/>
          <w:szCs w:val="28"/>
          <w:highlight w:val="none"/>
          <w:lang w:eastAsia="zh-CN"/>
        </w:rPr>
        <w:t>，协助采购商编制完善消防设施及器材台账</w:t>
      </w:r>
      <w:r>
        <w:rPr>
          <w:rFonts w:hint="eastAsia" w:ascii="宋体" w:hAnsi="宋体"/>
          <w:color w:val="auto"/>
          <w:sz w:val="28"/>
          <w:szCs w:val="28"/>
          <w:highlight w:val="none"/>
        </w:rPr>
        <w:t>。</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color w:val="auto"/>
          <w:sz w:val="28"/>
          <w:szCs w:val="28"/>
          <w:highlight w:val="none"/>
        </w:rPr>
      </w:pPr>
      <w:r>
        <w:rPr>
          <w:rFonts w:hint="eastAsia" w:ascii="宋体" w:hAnsi="宋体"/>
          <w:color w:val="auto"/>
          <w:sz w:val="28"/>
          <w:szCs w:val="28"/>
          <w:highlight w:val="none"/>
          <w:lang w:val="en-US" w:eastAsia="zh-CN"/>
        </w:rPr>
        <w:t>2.2.2</w:t>
      </w:r>
      <w:r>
        <w:rPr>
          <w:rFonts w:hint="eastAsia" w:ascii="宋体" w:hAnsi="宋体"/>
          <w:color w:val="auto"/>
          <w:sz w:val="28"/>
          <w:szCs w:val="28"/>
          <w:highlight w:val="none"/>
        </w:rPr>
        <w:t>为保证消防系统正常有效运转，</w:t>
      </w:r>
      <w:r>
        <w:rPr>
          <w:rFonts w:hint="eastAsia" w:ascii="宋体" w:hAnsi="宋体" w:eastAsia="宋体" w:cs="宋体"/>
          <w:bCs/>
          <w:color w:val="auto"/>
          <w:sz w:val="28"/>
          <w:szCs w:val="28"/>
          <w:highlight w:val="none"/>
        </w:rPr>
        <w:t>服务商必须按照采购方的要求执行</w:t>
      </w:r>
      <w:r>
        <w:rPr>
          <w:rFonts w:hint="eastAsia" w:ascii="宋体" w:hAnsi="宋体"/>
          <w:color w:val="auto"/>
          <w:sz w:val="28"/>
          <w:szCs w:val="28"/>
          <w:highlight w:val="none"/>
        </w:rPr>
        <w:t>，消防系统维保的周期由双方共同约定。</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color w:val="auto"/>
          <w:sz w:val="28"/>
          <w:szCs w:val="28"/>
          <w:highlight w:val="none"/>
        </w:rPr>
      </w:pPr>
      <w:r>
        <w:rPr>
          <w:rFonts w:hint="eastAsia" w:ascii="宋体" w:hAnsi="宋体"/>
          <w:color w:val="auto"/>
          <w:sz w:val="28"/>
          <w:szCs w:val="28"/>
          <w:highlight w:val="none"/>
          <w:lang w:val="en-US" w:eastAsia="zh-CN"/>
        </w:rPr>
        <w:t>2.2.3</w:t>
      </w:r>
      <w:r>
        <w:rPr>
          <w:rFonts w:hint="eastAsia" w:ascii="宋体" w:hAnsi="宋体" w:eastAsia="宋体" w:cs="宋体"/>
          <w:color w:val="auto"/>
          <w:sz w:val="28"/>
          <w:szCs w:val="28"/>
          <w:highlight w:val="none"/>
        </w:rPr>
        <w:t>服务商在日常开展保养发现故障隐患时，应向采购方报告并提出专业整改建议和意见。并且，服务商必须根据维护保养内容的要求，制定具体量化计划，严格按照计划组织实施，并作好设备检查记录，列明系统设施设备的运行情况、故障原因、处理结果。每月底向采购方提供盖有服务商公章的建筑消防设施维护保养报告。</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color w:val="auto"/>
          <w:sz w:val="28"/>
          <w:szCs w:val="28"/>
          <w:highlight w:val="none"/>
        </w:rPr>
      </w:pPr>
      <w:r>
        <w:rPr>
          <w:rFonts w:hint="eastAsia" w:ascii="宋体" w:hAnsi="宋体"/>
          <w:color w:val="auto"/>
          <w:sz w:val="28"/>
          <w:szCs w:val="28"/>
          <w:highlight w:val="none"/>
          <w:lang w:val="en-US" w:eastAsia="zh-CN"/>
        </w:rPr>
        <w:t>2.2.4</w:t>
      </w:r>
      <w:r>
        <w:rPr>
          <w:rFonts w:hint="eastAsia" w:ascii="宋体" w:hAnsi="宋体"/>
          <w:color w:val="auto"/>
          <w:sz w:val="28"/>
          <w:szCs w:val="28"/>
          <w:highlight w:val="none"/>
        </w:rPr>
        <w:t>服务商</w:t>
      </w:r>
      <w:r>
        <w:rPr>
          <w:rFonts w:hint="eastAsia" w:ascii="宋体" w:hAnsi="宋体" w:eastAsia="宋体" w:cs="宋体"/>
          <w:color w:val="auto"/>
          <w:sz w:val="28"/>
          <w:szCs w:val="28"/>
          <w:highlight w:val="none"/>
        </w:rPr>
        <w:t>在保养时发现</w:t>
      </w:r>
      <w:r>
        <w:rPr>
          <w:rFonts w:hint="eastAsia" w:ascii="宋体" w:hAnsi="宋体"/>
          <w:color w:val="auto"/>
          <w:sz w:val="28"/>
          <w:szCs w:val="28"/>
          <w:highlight w:val="none"/>
        </w:rPr>
        <w:t>消防设备、管道、阀门出现了污染、腐蚀生锈等现象，根据采购方要求进行清洁、除锈、润滑、油漆。</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color w:val="auto"/>
          <w:sz w:val="28"/>
          <w:szCs w:val="28"/>
          <w:highlight w:val="none"/>
        </w:rPr>
      </w:pPr>
      <w:r>
        <w:rPr>
          <w:rFonts w:hint="eastAsia" w:ascii="宋体" w:hAnsi="宋体"/>
          <w:color w:val="auto"/>
          <w:sz w:val="28"/>
          <w:szCs w:val="28"/>
          <w:highlight w:val="none"/>
          <w:lang w:val="en-US" w:eastAsia="zh-CN"/>
        </w:rPr>
        <w:t>2.2.5</w:t>
      </w:r>
      <w:r>
        <w:rPr>
          <w:rFonts w:hint="eastAsia" w:ascii="宋体" w:hAnsi="宋体"/>
          <w:color w:val="auto"/>
          <w:sz w:val="28"/>
          <w:szCs w:val="28"/>
          <w:highlight w:val="none"/>
        </w:rPr>
        <w:t>服务商提供24小时的故障接受渠道（热线电话、微信、传真、电子邮件等）。服务商在接到故障报修电话后，必须在1小时内作出响应，并派出专业的技术人员按采购方的时间要求到达现场。在采购方规定的时间内，恢复故障，如果故障在检修24小时后仍无法排除，应与采购协商解决。</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2.2.6</w:t>
      </w:r>
      <w:r>
        <w:rPr>
          <w:rFonts w:hint="eastAsia" w:ascii="宋体" w:hAnsi="宋体" w:eastAsia="宋体" w:cs="宋体"/>
          <w:color w:val="auto"/>
          <w:sz w:val="28"/>
          <w:szCs w:val="28"/>
          <w:highlight w:val="none"/>
        </w:rPr>
        <w:t>服务商在提供服务时，不能擅自关停消防设施。检测时发现故障，应及时组织修复。因故障维修等原因需要暂时停用消防系统，应有确保消防安全的有效措施，并经采购方主管部门确认。</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color w:val="auto"/>
          <w:sz w:val="28"/>
          <w:szCs w:val="28"/>
          <w:highlight w:val="none"/>
          <w:lang w:val="en-US" w:eastAsia="zh-CN"/>
        </w:rPr>
        <w:t>2.2.7</w:t>
      </w:r>
      <w:r>
        <w:rPr>
          <w:rFonts w:hint="eastAsia" w:ascii="宋体" w:hAnsi="宋体" w:eastAsia="宋体" w:cs="宋体"/>
          <w:color w:val="auto"/>
          <w:sz w:val="28"/>
          <w:szCs w:val="28"/>
          <w:highlight w:val="none"/>
        </w:rPr>
        <w:t>服务商在维修、保养过程中对发生损坏的特殊零配件不能及时更换时，服务商应及时向采购方通报，提出计划修复的时间（上述时间应经采购方认可），并严格按计划时间争取尽早修复。</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2.2.8</w:t>
      </w:r>
      <w:r>
        <w:rPr>
          <w:rFonts w:hint="eastAsia" w:ascii="宋体" w:hAnsi="宋体" w:eastAsia="宋体" w:cs="宋体"/>
          <w:color w:val="auto"/>
          <w:sz w:val="28"/>
          <w:szCs w:val="28"/>
          <w:highlight w:val="none"/>
        </w:rPr>
        <w:t>在服务过程中如发现相关设备设施自身存在危险状态的，服务商应尽快前往修复/维护，同时应作好基本的安全防护措施，以免发生或扩大损失。</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2.2.9</w:t>
      </w:r>
      <w:r>
        <w:rPr>
          <w:rFonts w:hint="eastAsia" w:ascii="宋体" w:hAnsi="宋体" w:eastAsia="宋体" w:cs="宋体"/>
          <w:color w:val="auto"/>
          <w:sz w:val="28"/>
          <w:szCs w:val="28"/>
          <w:highlight w:val="none"/>
        </w:rPr>
        <w:t>服务商应自行配备工作所需的各种专业工具及设备，并在进场之前由相关专业人员检查合格后可在现场使用。此外，服务商在维修过程中所用零配件应为合格产品，其余辅助材料应符合国家相关技术规范及设备安全使用条例。</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2.2.1</w:t>
      </w:r>
      <w:r>
        <w:rPr>
          <w:rFonts w:hint="eastAsia" w:ascii="宋体" w:hAnsi="宋体" w:eastAsia="宋体" w:cs="宋体"/>
          <w:color w:val="auto"/>
          <w:sz w:val="28"/>
          <w:szCs w:val="28"/>
          <w:highlight w:val="none"/>
        </w:rPr>
        <w:t>0服务商为维修及更换过的零配件提供的质保期为12个月，自服务商签署确认记录表之日计算。质保期内出现同一问题的，服务商应免费予以维修，且质保期自免费维修后重新计算。</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2.2.1</w:t>
      </w:r>
      <w:r>
        <w:rPr>
          <w:rFonts w:hint="eastAsia" w:ascii="宋体" w:hAnsi="宋体" w:eastAsia="宋体" w:cs="宋体"/>
          <w:color w:val="auto"/>
          <w:sz w:val="28"/>
          <w:szCs w:val="28"/>
          <w:highlight w:val="none"/>
        </w:rPr>
        <w:t>1在每次巡检和故障维保时，服务商需填写《消防系统维护保养现场记录表》</w:t>
      </w:r>
      <w:r>
        <w:rPr>
          <w:rFonts w:hint="eastAsia" w:ascii="宋体" w:hAnsi="宋体" w:eastAsia="宋体" w:cs="宋体"/>
          <w:color w:val="auto"/>
          <w:sz w:val="28"/>
          <w:szCs w:val="28"/>
          <w:highlight w:val="none"/>
          <w:lang w:eastAsia="zh-CN"/>
        </w:rPr>
        <w:t>及维修确认单</w:t>
      </w:r>
      <w:r>
        <w:rPr>
          <w:rFonts w:hint="eastAsia" w:ascii="宋体" w:hAnsi="宋体" w:eastAsia="宋体" w:cs="宋体"/>
          <w:color w:val="auto"/>
          <w:sz w:val="28"/>
          <w:szCs w:val="28"/>
          <w:highlight w:val="none"/>
        </w:rPr>
        <w:t>并经采购方值班人员或管理员核实签字认可,作为服务商进行设备维保的重要依据。此外，根据采购方的实际需求，提供消防系统异常情况分析报告。</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2.2.1</w:t>
      </w:r>
      <w:r>
        <w:rPr>
          <w:rFonts w:hint="eastAsia" w:ascii="宋体" w:hAnsi="宋体" w:eastAsia="宋体" w:cs="宋体"/>
          <w:color w:val="auto"/>
          <w:sz w:val="28"/>
          <w:szCs w:val="28"/>
          <w:highlight w:val="none"/>
        </w:rPr>
        <w:t>2服务商负责制定服务范围内消防系统紧急事件的工作预案，经服务商和采购方双方审定后由服务商组织实施；在发生紧急事件或急迫性维修后，服务商须立即委派技术负责人到达现场妥善处理。</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2.2.1</w:t>
      </w:r>
      <w:r>
        <w:rPr>
          <w:rFonts w:hint="eastAsia" w:ascii="宋体" w:hAnsi="宋体" w:eastAsia="宋体" w:cs="宋体"/>
          <w:color w:val="auto"/>
          <w:sz w:val="28"/>
          <w:szCs w:val="28"/>
          <w:highlight w:val="none"/>
        </w:rPr>
        <w:t>3服务商应建立规范的档案管理制度，设立专人负责妥善保管和正确使用本合同范围内消防系统的档案资料，并负责及时记载有关变更、维修、保养情况。</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2.2.1</w:t>
      </w:r>
      <w:r>
        <w:rPr>
          <w:rFonts w:hint="eastAsia" w:ascii="宋体" w:hAnsi="宋体" w:eastAsia="宋体" w:cs="宋体"/>
          <w:color w:val="auto"/>
          <w:sz w:val="28"/>
          <w:szCs w:val="28"/>
          <w:highlight w:val="none"/>
        </w:rPr>
        <w:t>4服务商加强人员管理，合理安排人员，保障项目工作进度。确因不可抗力影响项目实施，需与采购人协商修订项目实施计划，达成一致后执行。</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color w:val="auto"/>
          <w:sz w:val="28"/>
          <w:szCs w:val="28"/>
          <w:highlight w:val="none"/>
          <w:lang w:val="en-US" w:eastAsia="zh-CN"/>
        </w:rPr>
        <w:t>2.2.1</w:t>
      </w:r>
      <w:r>
        <w:rPr>
          <w:rFonts w:hint="eastAsia" w:ascii="宋体" w:hAnsi="宋体"/>
          <w:color w:val="auto"/>
          <w:sz w:val="28"/>
          <w:szCs w:val="28"/>
          <w:highlight w:val="none"/>
        </w:rPr>
        <w:t>5服务商须配合采购方的专项防火检查、消防安全检查、各单位、相关消防验收并按相关规范提出意见或建议。</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2.2.1</w:t>
      </w:r>
      <w:r>
        <w:rPr>
          <w:rFonts w:hint="eastAsia" w:ascii="宋体" w:hAnsi="宋体" w:eastAsia="宋体" w:cs="宋体"/>
          <w:color w:val="auto"/>
          <w:sz w:val="28"/>
          <w:szCs w:val="28"/>
          <w:highlight w:val="none"/>
        </w:rPr>
        <w:t>6采购方在举办国家重大会议</w:t>
      </w:r>
      <w:r>
        <w:rPr>
          <w:rFonts w:hint="eastAsia" w:ascii="宋体" w:hAnsi="宋体"/>
          <w:color w:val="auto"/>
          <w:sz w:val="28"/>
          <w:szCs w:val="28"/>
          <w:highlight w:val="none"/>
        </w:rPr>
        <w:t>以及特殊保供电、安全演练等重要系统活动时</w:t>
      </w:r>
      <w:r>
        <w:rPr>
          <w:rFonts w:hint="eastAsia" w:ascii="宋体" w:hAnsi="宋体" w:eastAsia="宋体" w:cs="宋体"/>
          <w:color w:val="auto"/>
          <w:sz w:val="28"/>
          <w:szCs w:val="28"/>
          <w:highlight w:val="none"/>
        </w:rPr>
        <w:t>，服务商根据采购需要负责活动前对现场、设备设施进行检查，保证消防系统设备完好,运行正常，无安全隐患，确保设备、设施运行可靠性。活动期间，加强巡检力度，确保设备、设施安全可靠运行。</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2.2.1</w:t>
      </w:r>
      <w:r>
        <w:rPr>
          <w:rFonts w:hint="eastAsia" w:ascii="宋体" w:hAnsi="宋体" w:eastAsia="宋体" w:cs="宋体"/>
          <w:color w:val="auto"/>
          <w:sz w:val="28"/>
          <w:szCs w:val="28"/>
          <w:highlight w:val="none"/>
        </w:rPr>
        <w:t>7根据采购方的需求提供对应的培训。培训方式包括线上讲解、现场设备的实际操作、系统的实际操作。使采购方相关人员掌握有关监控硬件与平台的日常基础使用、维护和管理方法，达到能独立进行普通日常管理、故障排除、日常测试等基础工作。</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2.2.1</w:t>
      </w:r>
      <w:r>
        <w:rPr>
          <w:rFonts w:hint="eastAsia" w:ascii="宋体" w:hAnsi="宋体" w:eastAsia="宋体" w:cs="宋体"/>
          <w:color w:val="auto"/>
          <w:sz w:val="28"/>
          <w:szCs w:val="28"/>
          <w:highlight w:val="none"/>
        </w:rPr>
        <w:t>8服务商必须配备专业的维修人员完成本项目，维修人员具有设施设备维修经验并持有法定要求的职业资格证，如一级注册消防工程师证、特种作业操作证（电工）、建（构）筑物消防员证等。</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2.2.1</w:t>
      </w:r>
      <w:r>
        <w:rPr>
          <w:rFonts w:hint="eastAsia" w:ascii="宋体" w:hAnsi="宋体" w:eastAsia="宋体" w:cs="宋体"/>
          <w:color w:val="auto"/>
          <w:sz w:val="28"/>
          <w:szCs w:val="28"/>
          <w:highlight w:val="none"/>
        </w:rPr>
        <w:t>9服务商应具备足够的可随时调遣的消防系统维保后备人员，以便随时响应采购方的临时工作安排，后备人员具备相应的沟通能力、业务能力和技术能力。</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2.2.2</w:t>
      </w:r>
      <w:r>
        <w:rPr>
          <w:rFonts w:hint="eastAsia" w:ascii="宋体" w:hAnsi="宋体" w:eastAsia="宋体" w:cs="宋体"/>
          <w:color w:val="auto"/>
          <w:sz w:val="28"/>
          <w:szCs w:val="28"/>
          <w:highlight w:val="none"/>
        </w:rPr>
        <w:t>0服务商必须建立健全严格的安全管理制度，在开展消防系统维保服务工作中严格执行安全管理规定，深刻认识和领会采购方对安全工作的态度和要求，并给予相应的支持和配合。如因非采购方原因导致的安全问题，由服务商承担责任，并按国家法律法规及相关要求进行赔偿。</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2.2.2</w:t>
      </w:r>
      <w:r>
        <w:rPr>
          <w:rFonts w:hint="eastAsia" w:ascii="宋体" w:hAnsi="宋体" w:eastAsia="宋体" w:cs="宋体"/>
          <w:color w:val="auto"/>
          <w:sz w:val="28"/>
          <w:szCs w:val="28"/>
          <w:highlight w:val="none"/>
        </w:rPr>
        <w:t>1在消防系统维保工作期间，服务商应负责落实现场安全防护措施，建立可靠的安全防护措施和明显标志，保证安全作业。而且必须遵循采购方的安全管理，并采取必要的措施保障安全。确保不发生信息安全事件；不发生轻伤及以上人身事故；不发生有责任的设备损坏事故；不发生重大质量事故。</w:t>
      </w:r>
    </w:p>
    <w:p>
      <w:pPr>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2.2.2</w:t>
      </w:r>
      <w:r>
        <w:rPr>
          <w:rFonts w:hint="eastAsia" w:ascii="宋体" w:hAnsi="宋体" w:eastAsia="宋体" w:cs="宋体"/>
          <w:color w:val="auto"/>
          <w:sz w:val="28"/>
          <w:szCs w:val="28"/>
          <w:highlight w:val="none"/>
        </w:rPr>
        <w:t>2服务商的维修人员应严格遵守有关法律法规和采购人内部规章制度，不得擅自翻阅、复制、传播所接触的资料或数据。并且，服务商须遵守采购方信息保密制度，禁止窥窃采购方任何信息。服务商应与采购方签署保密协议书，并负责约束有关员工的保密工作。如服务商泄露采购方的资料或数据，服务商应全额赔偿采购方的损失。</w:t>
      </w:r>
    </w:p>
    <w:p>
      <w:pPr>
        <w:keepNext w:val="0"/>
        <w:pageBreakBefore w:val="0"/>
        <w:kinsoku/>
        <w:wordWrap/>
        <w:overflowPunct/>
        <w:topLinePunct w:val="0"/>
        <w:autoSpaceDE/>
        <w:autoSpaceDN/>
        <w:bidi w:val="0"/>
        <w:adjustRightInd/>
        <w:snapToGrid/>
        <w:spacing w:line="560" w:lineRule="exact"/>
        <w:ind w:firstLine="560" w:firstLineChars="200"/>
        <w:outlineLvl w:val="9"/>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2.2.2</w:t>
      </w:r>
      <w:r>
        <w:rPr>
          <w:rFonts w:hint="eastAsia" w:ascii="宋体" w:hAnsi="宋体" w:eastAsia="宋体" w:cs="宋体"/>
          <w:color w:val="auto"/>
          <w:sz w:val="28"/>
          <w:szCs w:val="28"/>
          <w:highlight w:val="none"/>
        </w:rPr>
        <w:t>3服务商须建立健全的各项规章制度（包含但不限于安全生产责任及管理制度、质量安全及事故呈报与处理制度、回访制度等）。</w:t>
      </w:r>
    </w:p>
    <w:p>
      <w:pPr>
        <w:keepNext w:val="0"/>
        <w:pageBreakBefore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color w:val="auto"/>
          <w:sz w:val="28"/>
          <w:szCs w:val="28"/>
          <w:highlight w:val="none"/>
          <w:lang w:val="en-US" w:eastAsia="zh-CN"/>
        </w:rPr>
      </w:pPr>
      <w:r>
        <w:rPr>
          <w:rFonts w:hint="eastAsia" w:ascii="宋体" w:hAnsi="宋体" w:eastAsia="宋体" w:cs="宋体"/>
          <w:b w:val="0"/>
          <w:color w:val="auto"/>
          <w:sz w:val="28"/>
          <w:szCs w:val="28"/>
          <w:highlight w:val="none"/>
          <w:lang w:val="en-US" w:eastAsia="zh-CN"/>
        </w:rPr>
        <w:t>2.2.2</w:t>
      </w:r>
      <w:r>
        <w:rPr>
          <w:rFonts w:hint="eastAsia" w:ascii="宋体" w:hAnsi="宋体" w:eastAsia="宋体" w:cs="宋体"/>
          <w:b w:val="0"/>
          <w:color w:val="auto"/>
          <w:sz w:val="28"/>
          <w:szCs w:val="28"/>
          <w:highlight w:val="none"/>
        </w:rPr>
        <w:t>4</w:t>
      </w:r>
      <w:r>
        <w:rPr>
          <w:rFonts w:hint="eastAsia" w:ascii="宋体" w:hAnsi="宋体" w:eastAsia="宋体" w:cs="宋体"/>
          <w:b w:val="0"/>
          <w:color w:val="auto"/>
          <w:sz w:val="28"/>
          <w:szCs w:val="28"/>
          <w:highlight w:val="none"/>
          <w:lang w:val="en-US" w:eastAsia="zh-CN"/>
        </w:rPr>
        <w:t>本项目禁止违规转包分包。</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2"/>
        <w:rPr>
          <w:rFonts w:hint="eastAsia" w:ascii="宋体" w:hAnsi="宋体" w:eastAsia="宋体" w:cs="宋体"/>
          <w:b/>
          <w:bCs/>
          <w:color w:val="auto"/>
          <w:sz w:val="28"/>
          <w:szCs w:val="28"/>
          <w:highlight w:val="none"/>
          <w:lang w:val="en-US" w:eastAsia="zh-CN"/>
        </w:rPr>
      </w:pPr>
      <w:bookmarkStart w:id="4" w:name="_Toc30767"/>
      <w:bookmarkStart w:id="5" w:name="_Toc29905"/>
      <w:r>
        <w:rPr>
          <w:rFonts w:hint="eastAsia" w:ascii="宋体" w:hAnsi="宋体" w:eastAsia="宋体" w:cs="宋体"/>
          <w:b/>
          <w:bCs/>
          <w:color w:val="auto"/>
          <w:sz w:val="28"/>
          <w:szCs w:val="28"/>
          <w:highlight w:val="none"/>
          <w:lang w:val="en-US" w:eastAsia="zh-CN"/>
        </w:rPr>
        <w:t>2.2服务达标要求</w:t>
      </w:r>
      <w:bookmarkEnd w:id="4"/>
      <w:bookmarkEnd w:id="5"/>
    </w:p>
    <w:p>
      <w:pPr>
        <w:keepNext w:val="0"/>
        <w:pageBreakBefore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color w:val="auto"/>
          <w:sz w:val="28"/>
          <w:szCs w:val="28"/>
          <w:highlight w:val="none"/>
          <w:lang w:val="en-US" w:eastAsia="zh-CN"/>
        </w:rPr>
      </w:pPr>
      <w:r>
        <w:rPr>
          <w:rFonts w:hint="eastAsia" w:ascii="宋体" w:hAnsi="宋体" w:eastAsia="宋体" w:cs="宋体"/>
          <w:b w:val="0"/>
          <w:color w:val="auto"/>
          <w:sz w:val="28"/>
          <w:szCs w:val="28"/>
          <w:highlight w:val="none"/>
          <w:lang w:val="en-US" w:eastAsia="zh-CN"/>
        </w:rPr>
        <w:t>2.2.1消防系统维保要求明细表</w:t>
      </w:r>
    </w:p>
    <w:tbl>
      <w:tblPr>
        <w:tblStyle w:val="6"/>
        <w:tblW w:w="9900" w:type="dxa"/>
        <w:tblInd w:w="-503" w:type="dxa"/>
        <w:tblLayout w:type="fixed"/>
        <w:tblCellMar>
          <w:top w:w="0" w:type="dxa"/>
          <w:left w:w="108" w:type="dxa"/>
          <w:bottom w:w="0" w:type="dxa"/>
          <w:right w:w="108" w:type="dxa"/>
        </w:tblCellMar>
      </w:tblPr>
      <w:tblGrid>
        <w:gridCol w:w="943"/>
        <w:gridCol w:w="1735"/>
        <w:gridCol w:w="7222"/>
      </w:tblGrid>
      <w:tr>
        <w:tblPrEx>
          <w:tblCellMar>
            <w:top w:w="0" w:type="dxa"/>
            <w:left w:w="108" w:type="dxa"/>
            <w:bottom w:w="0" w:type="dxa"/>
            <w:right w:w="108" w:type="dxa"/>
          </w:tblCellMar>
        </w:tblPrEx>
        <w:trPr>
          <w:trHeight w:val="736" w:hRule="atLeast"/>
          <w:tblHeader/>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序号</w:t>
            </w:r>
          </w:p>
        </w:tc>
        <w:tc>
          <w:tcPr>
            <w:tcW w:w="1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消防系统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检查维修保养要求</w:t>
            </w:r>
          </w:p>
        </w:tc>
      </w:tr>
      <w:tr>
        <w:tblPrEx>
          <w:tblCellMar>
            <w:top w:w="0" w:type="dxa"/>
            <w:left w:w="108" w:type="dxa"/>
            <w:bottom w:w="0" w:type="dxa"/>
            <w:right w:w="108" w:type="dxa"/>
          </w:tblCellMar>
        </w:tblPrEx>
        <w:trPr>
          <w:trHeight w:val="5475"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w:t>
            </w:r>
          </w:p>
        </w:tc>
        <w:tc>
          <w:tcPr>
            <w:tcW w:w="1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消防配电</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（1）低压配电箱（柜）</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①检查消防配电柜（箱）盘面的仪表、指示灯及控制按钮、消防配电设备标志等。</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②进行主备电切换功能、主备电源供电能力检查测试。</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③对箱（柜）内各配件、端子进行温度测试及牢固检查。</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（2）应急电源</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①检查应急电源的工作状态，仪表、开关和控制按钮。</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②对主电源和备用电源进行自动、手动切换实验并对电池进行充放电测试。</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③对箱（柜）内清洁并对各接线端子进行牢固检查。 </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（3）自备发电机组</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①检查备用发电机组的工作状态，发电机组的铭牌、仪表、指示灯及控制按钮等 。</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②对发电机组启动电池进行充放电测试，对油箱的储油量进行核对。</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③测试发电机组手动、自动启动功能。</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（4）消防配电线路防护</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①对进、出配电线路进行绝缘测试、接地测试。</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②对配电线路防护进行检查，穿金属导管或封闭式金属槽盒的防火保护措施应有效。</w:t>
            </w:r>
          </w:p>
        </w:tc>
      </w:tr>
      <w:tr>
        <w:tblPrEx>
          <w:tblCellMar>
            <w:top w:w="0" w:type="dxa"/>
            <w:left w:w="108" w:type="dxa"/>
            <w:bottom w:w="0" w:type="dxa"/>
            <w:right w:w="108" w:type="dxa"/>
          </w:tblCellMar>
        </w:tblPrEx>
        <w:trPr>
          <w:trHeight w:val="3707"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　消防供水设施系统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（1）检查补水情况，水位。</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（2）检查与水池、水箱连接的法兰、防水套管的螺栓，不应出现锈蚀和渗漏现象，结构材料完好，无破损、渗漏。</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3）确保水泵进出口阀门常开，水泵和阀门的标志清晰正确，压力表、试水阀及防超压装置等正常；水泵控制柜注明所属系统及编号的标志清晰，按钮、指示灯及仪表正常，控制柜转换开关处于自动状态；通过水泵控制柜按钮、消防控制室远程能正常启停水泵；消防控制室能显示消防水泵的启动、停止和故障状态，能显示消防水泵的电源工作状态；主泵不能投入正常运行时，能自动切换启动备用水泵。</w:t>
            </w:r>
          </w:p>
        </w:tc>
      </w:tr>
      <w:tr>
        <w:tblPrEx>
          <w:tblCellMar>
            <w:top w:w="0" w:type="dxa"/>
            <w:left w:w="108" w:type="dxa"/>
            <w:bottom w:w="0" w:type="dxa"/>
            <w:right w:w="108" w:type="dxa"/>
          </w:tblCellMar>
        </w:tblPrEx>
        <w:trPr>
          <w:trHeight w:val="1147"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火灾自动报警系统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检查火灾报警控制器自检功能、消音复位功能、故障报警功能、火灾优先功能、报警记忆功能和主、备电源自动转换功能（该项工作由消防控制室值班人员完成）。</w:t>
            </w:r>
          </w:p>
        </w:tc>
      </w:tr>
      <w:tr>
        <w:tblPrEx>
          <w:tblCellMar>
            <w:top w:w="0" w:type="dxa"/>
            <w:left w:w="108" w:type="dxa"/>
            <w:bottom w:w="0" w:type="dxa"/>
            <w:right w:w="108" w:type="dxa"/>
          </w:tblCellMar>
        </w:tblPrEx>
        <w:trPr>
          <w:trHeight w:val="863"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检查消防控制室或消防值班工作环境以及火灾报警控制、联动控制器、层显（或区域控制器）、手动报警按钮等是否处于正常完好状态。</w:t>
            </w:r>
          </w:p>
        </w:tc>
      </w:tr>
      <w:tr>
        <w:tblPrEx>
          <w:tblCellMar>
            <w:top w:w="0" w:type="dxa"/>
            <w:left w:w="108" w:type="dxa"/>
            <w:bottom w:w="0" w:type="dxa"/>
            <w:right w:w="108" w:type="dxa"/>
          </w:tblCellMar>
        </w:tblPrEx>
        <w:trPr>
          <w:trHeight w:val="2000"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（1）采用检测设备分期分批试验探测器的工作情况，检测数量不少于总数的30%。</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（2）试验手动报警按钮报警功能，抽检数量 不少于总数的30%。</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（3）对主机备用电源进行充放电试验。</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（4）自动或手动试验相关消防联动控制设备的控制和显示功能。</w:t>
            </w:r>
          </w:p>
        </w:tc>
      </w:tr>
      <w:tr>
        <w:tblPrEx>
          <w:tblCellMar>
            <w:top w:w="0" w:type="dxa"/>
            <w:left w:w="108" w:type="dxa"/>
            <w:bottom w:w="0" w:type="dxa"/>
            <w:right w:w="108" w:type="dxa"/>
          </w:tblCellMar>
        </w:tblPrEx>
        <w:trPr>
          <w:trHeight w:val="3138"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w:t>
            </w:r>
          </w:p>
        </w:tc>
        <w:tc>
          <w:tcPr>
            <w:tcW w:w="1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自动喷水灭火系统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（1）检查消防泵房工作环境及消防泵、稳压设备、电源控制柜、湿式报警阀、管网阀门、喷头、水泵接合器、储水设施等是否处于正常完好状态。试验内燃机驱动的消防泵能否正常工作。</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（2)启动消防泵，当消防泵为自动控制启动时，应模拟自动控制的条件进行启动。设备用泵时，应同时试验主、备泵的切换功能。</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（3）利用报警阀上的放水阀试验系统的供水情况。</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（4）利用末端放水装置放水，验证水流指示器和压力开关的报警功能、自动启泵功能和信号显示，抽查数量不少于总数的20%。</w:t>
            </w:r>
          </w:p>
        </w:tc>
      </w:tr>
      <w:tr>
        <w:tblPrEx>
          <w:tblCellMar>
            <w:top w:w="0" w:type="dxa"/>
            <w:left w:w="108" w:type="dxa"/>
            <w:bottom w:w="0" w:type="dxa"/>
            <w:right w:w="108" w:type="dxa"/>
          </w:tblCellMar>
        </w:tblPrEx>
        <w:trPr>
          <w:trHeight w:val="28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w:t>
            </w:r>
          </w:p>
        </w:tc>
        <w:tc>
          <w:tcPr>
            <w:tcW w:w="1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消火栓灭火系统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（1）检查消防泵工作环境及消防泵、稳压设备、电源控制柜、管网、阀门、水泵接合器、室内外消火栓、储水设施等是否处于正常完好的状态。试验内燃机驱动的消防泵能否正常工作。</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（2）启动消防泵，当消防水泵为自动控制启动时，应模拟自动控制条件进行启动。设备用泵时，应同时试验主、备泵的切换功能。</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（3）试验远距离启泵按钮启动消防泵，抽检数量不得少于总数的20%。</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（4）屋顶消火栓出水，检查管网压力和水质。</w:t>
            </w:r>
          </w:p>
        </w:tc>
      </w:tr>
      <w:tr>
        <w:tblPrEx>
          <w:tblCellMar>
            <w:top w:w="0" w:type="dxa"/>
            <w:left w:w="108" w:type="dxa"/>
            <w:bottom w:w="0" w:type="dxa"/>
            <w:right w:w="108" w:type="dxa"/>
          </w:tblCellMar>
        </w:tblPrEx>
        <w:trPr>
          <w:trHeight w:val="2569"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w:t>
            </w:r>
          </w:p>
        </w:tc>
        <w:tc>
          <w:tcPr>
            <w:tcW w:w="1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喷淋灭火系统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（1）每月检查消防泵房工作环境及消防、稳压设备、电源控制柜、管网、阀门、水泵接合器、喷头、储水设施是否处于正常完好状态，试验内燃机驱动的消防泵是否正常工作。</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（2）启动消防泵、当消防泵为自动控制启动时，应模拟自动控制的条件进行启动。设备用泵时，应同时试验主、备的切换功能。</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（3）模拟喷淋动作试验，检查喷淋动作情况，抽检贮藏数量不少于总数的30%。</w:t>
            </w:r>
          </w:p>
        </w:tc>
      </w:tr>
      <w:tr>
        <w:tblPrEx>
          <w:tblCellMar>
            <w:top w:w="0" w:type="dxa"/>
            <w:left w:w="108" w:type="dxa"/>
            <w:bottom w:w="0" w:type="dxa"/>
            <w:right w:w="108" w:type="dxa"/>
          </w:tblCellMar>
        </w:tblPrEx>
        <w:trPr>
          <w:trHeight w:val="1675"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泡沫灭火系统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（1）检查消防泵房泡沫液装置间工作环境及消防泵、电源控制柜、管网、阀门、水泵接合器、储水设施、泡沫混合器、泡沫发生器、泡沫栓等是否处于正常完好状态。试验内燃机驱动的消防泵能否正常工作。</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（2）启动消防泵，设备用泵时，应同时试验主、备泵的切换功能。</w:t>
            </w:r>
          </w:p>
        </w:tc>
      </w:tr>
      <w:tr>
        <w:tblPrEx>
          <w:tblCellMar>
            <w:top w:w="0" w:type="dxa"/>
            <w:left w:w="108" w:type="dxa"/>
            <w:bottom w:w="0" w:type="dxa"/>
            <w:right w:w="108" w:type="dxa"/>
          </w:tblCellMar>
        </w:tblPrEx>
        <w:trPr>
          <w:trHeight w:val="556"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年检时用泡沫栓检查泡沫质量。</w:t>
            </w:r>
          </w:p>
        </w:tc>
      </w:tr>
      <w:tr>
        <w:tblPrEx>
          <w:tblCellMar>
            <w:top w:w="0" w:type="dxa"/>
            <w:left w:w="108" w:type="dxa"/>
            <w:bottom w:w="0" w:type="dxa"/>
            <w:right w:w="108" w:type="dxa"/>
          </w:tblCellMar>
        </w:tblPrEx>
        <w:trPr>
          <w:trHeight w:val="1147"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气体灭火系统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检查贮瓶间及防护区的工作环境以及贮气瓶、选择阀、液体单向阀、高压软管、集流管、阀驱动装置、管网、喷嘴、紧急启动按钮、声光报警装置等是否处于正常完好状态。</w:t>
            </w:r>
          </w:p>
        </w:tc>
      </w:tr>
      <w:tr>
        <w:tblPrEx>
          <w:tblCellMar>
            <w:top w:w="0" w:type="dxa"/>
            <w:left w:w="108" w:type="dxa"/>
            <w:bottom w:w="0" w:type="dxa"/>
            <w:right w:w="108" w:type="dxa"/>
          </w:tblCellMar>
        </w:tblPrEx>
        <w:trPr>
          <w:trHeight w:val="1432"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（1）对灭火器剂贮存器进行秤重检查，灭火剂净重不得小于设计量的95%。</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（2）对每个防护区进行一次模拟自动启动试验，如有问题，则应对相关防护区进行一次模拟喷气试验。</w:t>
            </w:r>
          </w:p>
        </w:tc>
      </w:tr>
      <w:tr>
        <w:tblPrEx>
          <w:tblCellMar>
            <w:top w:w="0" w:type="dxa"/>
            <w:left w:w="108" w:type="dxa"/>
            <w:bottom w:w="0" w:type="dxa"/>
            <w:right w:w="108" w:type="dxa"/>
          </w:tblCellMar>
        </w:tblPrEx>
        <w:trPr>
          <w:trHeight w:val="5236"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防火分隔系统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（1）防火卷帘</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①防火卷帘底部应无阻挡物，“防火卷帘下禁放物品”警示类标识齐全，确保防火卷帘运行下降时的安全。</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②维保应重点对防火卷帘功能的检查，保证防火卷帘系统正常运行。</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③检查防火卷帘的完整性和整体封隔。防火卷帘上部、周围的缝隙应采用相同耐火极限的不燃材料填充、封隔。</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④测试防火卷帘在火灾模式下时的联动功能。</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（2）防火门</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①维保应重点对防火门系统功能的检查，保持防火门功能完整。</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②定期检查“常闭式防火门，请保持关闭”等警示类标识的齐全。</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③定期检查区间风井内防烟楼梯间前室和联络通道处的防火门。设置区间的联络通道内的防火门以及设置在区间风井内防烟楼梯间前室的防火门，要采取措施使防火门在过往列车及隧道通风的正、负压力作用下不会被打开。</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 xml:space="preserve"> ④对于易腐蚀生锈的防火门部件应定期清洁、除锈、加注润滑油。</w:t>
            </w:r>
          </w:p>
        </w:tc>
      </w:tr>
      <w:tr>
        <w:tblPrEx>
          <w:tblCellMar>
            <w:top w:w="0" w:type="dxa"/>
            <w:left w:w="108" w:type="dxa"/>
            <w:bottom w:w="0" w:type="dxa"/>
            <w:right w:w="108" w:type="dxa"/>
          </w:tblCellMar>
        </w:tblPrEx>
        <w:trPr>
          <w:trHeight w:val="1147"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（1）试验自动方式启动防火门。抽检数量不少于总数的30%。</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（2）用手动接钮启动防火卷帘门。抽检数不少于总数的30%。</w:t>
            </w:r>
          </w:p>
        </w:tc>
      </w:tr>
      <w:tr>
        <w:tblPrEx>
          <w:tblCellMar>
            <w:top w:w="0" w:type="dxa"/>
            <w:left w:w="108" w:type="dxa"/>
            <w:bottom w:w="0" w:type="dxa"/>
            <w:right w:w="108" w:type="dxa"/>
          </w:tblCellMar>
        </w:tblPrEx>
        <w:trPr>
          <w:trHeight w:val="863"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防排烟系统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检查送风、排烟机房工作环境以及送风机、排烟机、电源控制柜、送风口、排烟口、防火阀等是否处于正常完好状态。</w:t>
            </w:r>
          </w:p>
        </w:tc>
      </w:tr>
      <w:tr>
        <w:tblPrEx>
          <w:tblCellMar>
            <w:top w:w="0" w:type="dxa"/>
            <w:left w:w="108" w:type="dxa"/>
            <w:bottom w:w="0" w:type="dxa"/>
            <w:right w:w="108" w:type="dxa"/>
          </w:tblCellMar>
        </w:tblPrEx>
        <w:trPr>
          <w:trHeight w:val="1432"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（1）试验自动方式打开排烟口、启动送风机、排烟机。抽检楼层数量不少于总数50%。</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（2）试验自动方式关闭空调系统、电动防火阀。</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（3）试验手动方式关闭防火阀，抽检数量不少于总数的20%。</w:t>
            </w:r>
          </w:p>
        </w:tc>
      </w:tr>
      <w:tr>
        <w:tblPrEx>
          <w:tblCellMar>
            <w:top w:w="0" w:type="dxa"/>
            <w:left w:w="108" w:type="dxa"/>
            <w:bottom w:w="0" w:type="dxa"/>
            <w:right w:w="108" w:type="dxa"/>
          </w:tblCellMar>
        </w:tblPrEx>
        <w:trPr>
          <w:trHeight w:val="2569"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w:t>
            </w:r>
          </w:p>
        </w:tc>
        <w:tc>
          <w:tcPr>
            <w:tcW w:w="1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应急照明疏散指示</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（1）检查安全出口、疏散通道、重要场所的应急照明和疏散指示标志是否处于正常完好状态。</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（2）对自带蓄电池供电式消防应急照明灯具放电测试。</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（3）定期检查应急照明控制器、应急照明配电箱、应急照明分配电装置的指示灯及控制按钮等的外观状态指示、标识及各接线端子。</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（4）试验应急照明和疏散指示灯的工作照度和疏散照度。检查数量为总数的100%。</w:t>
            </w:r>
          </w:p>
        </w:tc>
      </w:tr>
      <w:tr>
        <w:tblPrEx>
          <w:tblCellMar>
            <w:top w:w="0" w:type="dxa"/>
            <w:left w:w="108" w:type="dxa"/>
            <w:bottom w:w="0" w:type="dxa"/>
            <w:right w:w="108" w:type="dxa"/>
          </w:tblCellMar>
        </w:tblPrEx>
        <w:trPr>
          <w:trHeight w:val="578"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消防通讯事故广播</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检查电话插孔、重要场所的对讲电话、播音设备、扬声器是否处于正常完好状态。</w:t>
            </w:r>
          </w:p>
        </w:tc>
      </w:tr>
      <w:tr>
        <w:tblPrEx>
          <w:tblCellMar>
            <w:top w:w="0" w:type="dxa"/>
            <w:left w:w="108" w:type="dxa"/>
            <w:bottom w:w="0" w:type="dxa"/>
            <w:right w:w="108" w:type="dxa"/>
          </w:tblCellMar>
        </w:tblPrEx>
        <w:trPr>
          <w:trHeight w:val="1197"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（1）试验电话插孔和对讲电话的通话质量，抽检数量为总数的100%。</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（2）试验选层广播。抽检数量为总数的100%。</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（3）试验从背景音乐状态下强切至事故应急广播状态的功能。</w:t>
            </w:r>
          </w:p>
        </w:tc>
      </w:tr>
      <w:tr>
        <w:tblPrEx>
          <w:tblCellMar>
            <w:top w:w="0" w:type="dxa"/>
            <w:left w:w="108" w:type="dxa"/>
            <w:bottom w:w="0" w:type="dxa"/>
            <w:right w:w="108" w:type="dxa"/>
          </w:tblCellMar>
        </w:tblPrEx>
        <w:trPr>
          <w:trHeight w:val="2050"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移动灭火器材</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检查灭火器种类、数量、设置位置、标志等是否符合要求。</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（1）服务商对不符合要求的消防器材进行统计并报采购方归口管理部门。</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（2）采购方负责提供符合标准要求的消防器材，由服务商负责更换。</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（3）服务商负责收回不符合要求的消防器材，运送到采购方指定的场所存放。</w:t>
            </w:r>
          </w:p>
        </w:tc>
      </w:tr>
      <w:tr>
        <w:tblPrEx>
          <w:tblCellMar>
            <w:top w:w="0" w:type="dxa"/>
            <w:left w:w="108" w:type="dxa"/>
            <w:bottom w:w="0" w:type="dxa"/>
            <w:right w:w="108" w:type="dxa"/>
          </w:tblCellMar>
        </w:tblPrEx>
        <w:trPr>
          <w:trHeight w:val="578"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检查灭火器压力、重量、有效期等必要时做喷射试验。抽检数量不少于总数的30%。</w:t>
            </w:r>
          </w:p>
        </w:tc>
      </w:tr>
      <w:tr>
        <w:tblPrEx>
          <w:tblCellMar>
            <w:top w:w="0" w:type="dxa"/>
            <w:left w:w="108" w:type="dxa"/>
            <w:bottom w:w="0" w:type="dxa"/>
            <w:right w:w="108" w:type="dxa"/>
          </w:tblCellMar>
        </w:tblPrEx>
        <w:trPr>
          <w:trHeight w:val="863"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adjustRightInd/>
              <w:snapToGrid/>
              <w:jc w:val="center"/>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其他设施</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检查消防电梯迫降按钮、缓降器、自救逃生设备，消防电源及切换设备是否处于正常完好状态。试验自备发电设施能否正常发电。</w:t>
            </w:r>
          </w:p>
        </w:tc>
      </w:tr>
      <w:tr>
        <w:tblPrEx>
          <w:tblCellMar>
            <w:top w:w="0" w:type="dxa"/>
            <w:left w:w="108" w:type="dxa"/>
            <w:bottom w:w="0" w:type="dxa"/>
            <w:right w:w="108" w:type="dxa"/>
          </w:tblCellMar>
        </w:tblPrEx>
        <w:trPr>
          <w:trHeight w:val="863"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（1）试验消防电源的末端切换功能。</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（2）切断非消防电源功能。</w:t>
            </w:r>
            <w:r>
              <w:rPr>
                <w:rFonts w:hint="eastAsia" w:ascii="宋体" w:hAnsi="宋体" w:eastAsia="宋体" w:cs="宋体"/>
                <w:color w:val="auto"/>
                <w:kern w:val="0"/>
                <w:sz w:val="24"/>
                <w:highlight w:val="none"/>
                <w:lang w:bidi="ar"/>
              </w:rPr>
              <w:br w:type="textWrapping"/>
            </w:r>
            <w:r>
              <w:rPr>
                <w:rFonts w:hint="eastAsia" w:ascii="宋体" w:hAnsi="宋体" w:eastAsia="宋体" w:cs="宋体"/>
                <w:color w:val="auto"/>
                <w:kern w:val="0"/>
                <w:sz w:val="24"/>
                <w:highlight w:val="none"/>
                <w:lang w:bidi="ar"/>
              </w:rPr>
              <w:t>（3）试验消防电梯的紧急迫降功能。</w:t>
            </w:r>
          </w:p>
        </w:tc>
      </w:tr>
      <w:tr>
        <w:tblPrEx>
          <w:tblCellMar>
            <w:top w:w="0" w:type="dxa"/>
            <w:left w:w="108" w:type="dxa"/>
            <w:bottom w:w="0" w:type="dxa"/>
            <w:right w:w="108" w:type="dxa"/>
          </w:tblCellMar>
        </w:tblPrEx>
        <w:trPr>
          <w:trHeight w:val="294"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kinsoku/>
              <w:wordWrap/>
              <w:overflowPunct/>
              <w:topLinePunct w:val="0"/>
              <w:autoSpaceDE/>
              <w:autoSpaceDN/>
              <w:bidi w:val="0"/>
              <w:adjustRightInd/>
              <w:snapToGrid/>
              <w:jc w:val="left"/>
              <w:textAlignment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检测防雷防静电及电器接地电阻。</w:t>
            </w:r>
          </w:p>
        </w:tc>
      </w:tr>
      <w:tr>
        <w:tblPrEx>
          <w:tblCellMar>
            <w:top w:w="0" w:type="dxa"/>
            <w:left w:w="108" w:type="dxa"/>
            <w:bottom w:w="0" w:type="dxa"/>
            <w:right w:w="108" w:type="dxa"/>
          </w:tblCellMar>
        </w:tblPrEx>
        <w:trPr>
          <w:trHeight w:val="588" w:hRule="atLeast"/>
        </w:trPr>
        <w:tc>
          <w:tcPr>
            <w:tcW w:w="99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pageBreakBefore w:val="0"/>
              <w:kinsoku/>
              <w:wordWrap/>
              <w:overflowPunct/>
              <w:topLinePunct w:val="0"/>
              <w:autoSpaceDE/>
              <w:autoSpaceDN/>
              <w:bidi w:val="0"/>
              <w:adjustRightInd/>
              <w:snapToGrid/>
              <w:jc w:val="left"/>
              <w:outlineLvl w:val="9"/>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备注：</w:t>
            </w:r>
          </w:p>
          <w:p>
            <w:pPr>
              <w:keepNext/>
              <w:pageBreakBefore w:val="0"/>
              <w:kinsoku/>
              <w:wordWrap/>
              <w:overflowPunct/>
              <w:topLinePunct w:val="0"/>
              <w:autoSpaceDE/>
              <w:autoSpaceDN/>
              <w:bidi w:val="0"/>
              <w:adjustRightInd/>
              <w:snapToGrid/>
              <w:jc w:val="left"/>
              <w:outlineLvl w:val="9"/>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本表所列消防设施是指常规配置设施，具体维保设施配置及数量以现场实际为准。设备维保要求以合同签订时的约定为准。</w:t>
            </w:r>
          </w:p>
        </w:tc>
      </w:tr>
    </w:tbl>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2"/>
        <w:rPr>
          <w:rFonts w:hint="eastAsia" w:ascii="宋体" w:hAnsi="宋体" w:eastAsia="宋体" w:cs="宋体"/>
          <w:b/>
          <w:bCs/>
          <w:color w:val="auto"/>
          <w:sz w:val="28"/>
          <w:szCs w:val="28"/>
          <w:highlight w:val="none"/>
          <w:lang w:val="en-US" w:eastAsia="zh-CN"/>
        </w:rPr>
      </w:pPr>
      <w:bookmarkStart w:id="6" w:name="_Toc11720"/>
      <w:bookmarkStart w:id="7" w:name="_Toc21890"/>
      <w:r>
        <w:rPr>
          <w:rFonts w:hint="eastAsia" w:ascii="宋体" w:hAnsi="宋体" w:eastAsia="宋体" w:cs="宋体"/>
          <w:b/>
          <w:bCs/>
          <w:color w:val="auto"/>
          <w:sz w:val="28"/>
          <w:szCs w:val="28"/>
          <w:highlight w:val="none"/>
          <w:lang w:val="en-US" w:eastAsia="zh-CN"/>
        </w:rPr>
        <w:t>3.服务履约考核</w:t>
      </w:r>
      <w:bookmarkEnd w:id="6"/>
      <w:bookmarkEnd w:id="7"/>
    </w:p>
    <w:p>
      <w:pPr>
        <w:pageBreakBefore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采购方</w:t>
      </w:r>
      <w:r>
        <w:rPr>
          <w:rFonts w:hint="eastAsia" w:ascii="宋体" w:hAnsi="宋体" w:eastAsia="宋体" w:cs="宋体"/>
          <w:b/>
          <w:bCs/>
          <w:color w:val="auto"/>
          <w:sz w:val="28"/>
          <w:szCs w:val="28"/>
          <w:highlight w:val="none"/>
          <w:lang w:val="en-US" w:eastAsia="zh-CN"/>
        </w:rPr>
        <w:t>每季度</w:t>
      </w:r>
      <w:r>
        <w:rPr>
          <w:rFonts w:hint="eastAsia" w:ascii="宋体" w:hAnsi="宋体" w:eastAsia="宋体" w:cs="宋体"/>
          <w:color w:val="auto"/>
          <w:sz w:val="28"/>
          <w:szCs w:val="28"/>
          <w:highlight w:val="none"/>
          <w:lang w:val="en-US" w:eastAsia="zh-CN"/>
        </w:rPr>
        <w:t>对服务商工作进行考核及结算，考核结果作为对服务商履约考核的评价。服务商履约考核评价结果的应用</w:t>
      </w:r>
      <w:r>
        <w:rPr>
          <w:rFonts w:hint="eastAsia" w:ascii="宋体" w:hAnsi="宋体" w:eastAsia="宋体" w:cs="宋体"/>
          <w:b/>
          <w:bCs/>
          <w:color w:val="auto"/>
          <w:sz w:val="28"/>
          <w:szCs w:val="28"/>
          <w:highlight w:val="none"/>
          <w:lang w:val="en-US" w:eastAsia="zh-CN"/>
        </w:rPr>
        <w:t>分为日常考核和供应商失信扣分两个部分</w:t>
      </w:r>
      <w:r>
        <w:rPr>
          <w:rFonts w:hint="eastAsia" w:ascii="宋体" w:hAnsi="宋体" w:eastAsia="宋体" w:cs="宋体"/>
          <w:b w:val="0"/>
          <w:bCs w:val="0"/>
          <w:color w:val="auto"/>
          <w:sz w:val="28"/>
          <w:szCs w:val="28"/>
          <w:highlight w:val="none"/>
          <w:lang w:val="en-US" w:eastAsia="zh-CN"/>
        </w:rPr>
        <w:t>。</w:t>
      </w:r>
    </w:p>
    <w:tbl>
      <w:tblPr>
        <w:tblStyle w:val="6"/>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126"/>
        <w:gridCol w:w="6458"/>
        <w:gridCol w:w="1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blHeader/>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126"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b/>
                <w:bCs/>
                <w:color w:val="auto"/>
                <w:sz w:val="24"/>
                <w:highlight w:val="none"/>
              </w:rPr>
            </w:pPr>
            <w:r>
              <w:rPr>
                <w:rFonts w:hint="eastAsia" w:ascii="宋体" w:hAnsi="宋体" w:eastAsia="宋体" w:cs="宋体"/>
                <w:b/>
                <w:bCs/>
                <w:color w:val="auto"/>
                <w:sz w:val="24"/>
                <w:highlight w:val="none"/>
              </w:rPr>
              <w:t>维度</w:t>
            </w:r>
          </w:p>
        </w:tc>
        <w:tc>
          <w:tcPr>
            <w:tcW w:w="6458"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b/>
                <w:bCs/>
                <w:color w:val="auto"/>
                <w:sz w:val="24"/>
                <w:highlight w:val="none"/>
              </w:rPr>
            </w:pPr>
            <w:r>
              <w:rPr>
                <w:rFonts w:hint="eastAsia" w:ascii="宋体" w:hAnsi="宋体" w:eastAsia="宋体" w:cs="宋体"/>
                <w:b/>
                <w:bCs/>
                <w:color w:val="auto"/>
                <w:sz w:val="24"/>
                <w:highlight w:val="none"/>
              </w:rPr>
              <w:t>评分标准</w:t>
            </w:r>
          </w:p>
        </w:tc>
        <w:tc>
          <w:tcPr>
            <w:tcW w:w="1680" w:type="dxa"/>
            <w:vAlign w:val="center"/>
          </w:tcPr>
          <w:p>
            <w:pPr>
              <w:pageBreakBefore w:val="0"/>
              <w:kinsoku/>
              <w:wordWrap/>
              <w:overflowPunct/>
              <w:topLinePunct w:val="0"/>
              <w:autoSpaceDE/>
              <w:autoSpaceDN/>
              <w:bidi w:val="0"/>
              <w:adjustRightInd/>
              <w:snapToGrid/>
              <w:jc w:val="center"/>
              <w:outlineLvl w:val="9"/>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供应商考核</w:t>
            </w:r>
          </w:p>
          <w:p>
            <w:pPr>
              <w:pageBreakBefore w:val="0"/>
              <w:kinsoku/>
              <w:wordWrap/>
              <w:overflowPunct/>
              <w:topLinePunct w:val="0"/>
              <w:autoSpaceDE/>
              <w:autoSpaceDN/>
              <w:bidi w:val="0"/>
              <w:adjustRightInd/>
              <w:snapToGrid/>
              <w:jc w:val="center"/>
              <w:outlineLvl w:val="9"/>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126" w:type="dxa"/>
            <w:vMerge w:val="restart"/>
            <w:vAlign w:val="center"/>
          </w:tcPr>
          <w:p>
            <w:pPr>
              <w:pageBreakBefore w:val="0"/>
              <w:widowControl/>
              <w:kinsoku/>
              <w:wordWrap/>
              <w:overflowPunct/>
              <w:topLinePunct w:val="0"/>
              <w:autoSpaceDE/>
              <w:autoSpaceDN/>
              <w:bidi w:val="0"/>
              <w:adjustRightInd/>
              <w:snapToGrid/>
              <w:jc w:val="center"/>
              <w:outlineLvl w:val="9"/>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服务</w:t>
            </w:r>
          </w:p>
          <w:p>
            <w:pPr>
              <w:pageBreakBefore w:val="0"/>
              <w:widowControl/>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质量</w:t>
            </w:r>
          </w:p>
        </w:tc>
        <w:tc>
          <w:tcPr>
            <w:tcW w:w="6458" w:type="dxa"/>
            <w:vAlign w:val="center"/>
          </w:tcPr>
          <w:p>
            <w:pPr>
              <w:pageBreakBefore w:val="0"/>
              <w:widowControl/>
              <w:kinsoku/>
              <w:wordWrap/>
              <w:overflowPunct/>
              <w:topLinePunct w:val="0"/>
              <w:autoSpaceDE/>
              <w:autoSpaceDN/>
              <w:bidi w:val="0"/>
              <w:adjustRightInd/>
              <w:snapToGrid/>
              <w:jc w:val="left"/>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未按采购方日常维保要求，按时按质提供服务，存在怠于响应、迟到、敷衍开展工作等现象的，每次扣2分。</w:t>
            </w:r>
          </w:p>
        </w:tc>
        <w:tc>
          <w:tcPr>
            <w:tcW w:w="1680" w:type="dxa"/>
            <w:vMerge w:val="restart"/>
            <w:vAlign w:val="center"/>
          </w:tcPr>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按次考核</w:t>
            </w:r>
          </w:p>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采购方记录履约过程违约行为，计算累计扣分值。每扣1分，对应扣罚100元。</w:t>
            </w:r>
          </w:p>
          <w:p>
            <w:pPr>
              <w:pageBreakBefore w:val="0"/>
              <w:widowControl/>
              <w:kinsoku/>
              <w:wordWrap/>
              <w:overflowPunct/>
              <w:topLinePunct w:val="0"/>
              <w:autoSpaceDE/>
              <w:autoSpaceDN/>
              <w:bidi w:val="0"/>
              <w:adjustRightInd/>
              <w:snapToGrid/>
              <w:jc w:val="left"/>
              <w:outlineLvl w:val="9"/>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结算款=应结算款-累计扣分值*100元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126" w:type="dxa"/>
            <w:vMerge w:val="continue"/>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6458" w:type="dxa"/>
            <w:vAlign w:val="center"/>
          </w:tcPr>
          <w:p>
            <w:pPr>
              <w:pageBreakBefore w:val="0"/>
              <w:widowControl/>
              <w:kinsoku/>
              <w:wordWrap/>
              <w:overflowPunct/>
              <w:topLinePunct w:val="0"/>
              <w:autoSpaceDE/>
              <w:autoSpaceDN/>
              <w:bidi w:val="0"/>
              <w:adjustRightInd/>
              <w:snapToGrid/>
              <w:jc w:val="left"/>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在故障发生后，未按采购方要求及时响应和到达现场开展故障修复的，每次扣3分。</w:t>
            </w:r>
          </w:p>
        </w:tc>
        <w:tc>
          <w:tcPr>
            <w:tcW w:w="1680" w:type="dxa"/>
            <w:vMerge w:val="continue"/>
            <w:vAlign w:val="center"/>
          </w:tcPr>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1126" w:type="dxa"/>
            <w:vMerge w:val="continue"/>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6458" w:type="dxa"/>
            <w:vAlign w:val="center"/>
          </w:tcPr>
          <w:p>
            <w:pPr>
              <w:pageBreakBefore w:val="0"/>
              <w:widowControl/>
              <w:kinsoku/>
              <w:wordWrap/>
              <w:overflowPunct/>
              <w:topLinePunct w:val="0"/>
              <w:autoSpaceDE/>
              <w:autoSpaceDN/>
              <w:bidi w:val="0"/>
              <w:adjustRightInd/>
              <w:snapToGrid/>
              <w:jc w:val="left"/>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非因采购方和不可抗力因素，服务商提供日常维保和故障维保后，五个工作日内出现同一个问题的，每次扣3分。</w:t>
            </w:r>
          </w:p>
        </w:tc>
        <w:tc>
          <w:tcPr>
            <w:tcW w:w="1680" w:type="dxa"/>
            <w:vMerge w:val="continue"/>
            <w:vAlign w:val="center"/>
          </w:tcPr>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1126" w:type="dxa"/>
            <w:vMerge w:val="continue"/>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6458" w:type="dxa"/>
            <w:vAlign w:val="center"/>
          </w:tcPr>
          <w:p>
            <w:pPr>
              <w:pageBreakBefore w:val="0"/>
              <w:widowControl/>
              <w:kinsoku/>
              <w:wordWrap/>
              <w:overflowPunct/>
              <w:topLinePunct w:val="0"/>
              <w:autoSpaceDE/>
              <w:autoSpaceDN/>
              <w:bidi w:val="0"/>
              <w:adjustRightInd/>
              <w:snapToGrid/>
              <w:jc w:val="left"/>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在日常和故障维保的过程中，使用劣质的零部件，每发现一次扣2分；如因为使用劣质零部件造成了重大损失，每出现一次扣5分。</w:t>
            </w:r>
          </w:p>
        </w:tc>
        <w:tc>
          <w:tcPr>
            <w:tcW w:w="1680" w:type="dxa"/>
            <w:vMerge w:val="continue"/>
            <w:vAlign w:val="center"/>
          </w:tcPr>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1126" w:type="dxa"/>
            <w:vMerge w:val="continue"/>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6458" w:type="dxa"/>
            <w:vAlign w:val="center"/>
          </w:tcPr>
          <w:p>
            <w:pPr>
              <w:pageBreakBefore w:val="0"/>
              <w:widowControl/>
              <w:kinsoku/>
              <w:wordWrap/>
              <w:overflowPunct/>
              <w:topLinePunct w:val="0"/>
              <w:autoSpaceDE/>
              <w:autoSpaceDN/>
              <w:bidi w:val="0"/>
              <w:adjustRightInd/>
              <w:snapToGrid/>
              <w:jc w:val="left"/>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未按采购方要求做好维保记录和档案管理工作，每次扣2分。</w:t>
            </w:r>
          </w:p>
        </w:tc>
        <w:tc>
          <w:tcPr>
            <w:tcW w:w="1680" w:type="dxa"/>
            <w:vMerge w:val="continue"/>
            <w:vAlign w:val="center"/>
          </w:tcPr>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1126" w:type="dxa"/>
            <w:vMerge w:val="continue"/>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6458" w:type="dxa"/>
            <w:vAlign w:val="center"/>
          </w:tcPr>
          <w:p>
            <w:pPr>
              <w:pageBreakBefore w:val="0"/>
              <w:widowControl/>
              <w:kinsoku/>
              <w:wordWrap/>
              <w:overflowPunct/>
              <w:topLinePunct w:val="0"/>
              <w:autoSpaceDE/>
              <w:autoSpaceDN/>
              <w:bidi w:val="0"/>
              <w:adjustRightInd/>
              <w:snapToGrid/>
              <w:jc w:val="left"/>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未积极配合采购方临时或紧急需求的，每次扣5分。</w:t>
            </w:r>
          </w:p>
        </w:tc>
        <w:tc>
          <w:tcPr>
            <w:tcW w:w="1680" w:type="dxa"/>
            <w:vMerge w:val="continue"/>
            <w:vAlign w:val="center"/>
          </w:tcPr>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7</w:t>
            </w:r>
          </w:p>
        </w:tc>
        <w:tc>
          <w:tcPr>
            <w:tcW w:w="1126" w:type="dxa"/>
            <w:vMerge w:val="continue"/>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6458" w:type="dxa"/>
            <w:vAlign w:val="center"/>
          </w:tcPr>
          <w:p>
            <w:pPr>
              <w:pageBreakBefore w:val="0"/>
              <w:widowControl/>
              <w:kinsoku/>
              <w:wordWrap/>
              <w:overflowPunct/>
              <w:topLinePunct w:val="0"/>
              <w:autoSpaceDE/>
              <w:autoSpaceDN/>
              <w:bidi w:val="0"/>
              <w:adjustRightInd/>
              <w:snapToGrid/>
              <w:jc w:val="left"/>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未制定应急方案，且在紧急事件发生时，不能及时处理，给采购方带来损失的，每次扣5分。</w:t>
            </w:r>
          </w:p>
        </w:tc>
        <w:tc>
          <w:tcPr>
            <w:tcW w:w="1680" w:type="dxa"/>
            <w:vMerge w:val="continue"/>
            <w:vAlign w:val="center"/>
          </w:tcPr>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8</w:t>
            </w:r>
          </w:p>
        </w:tc>
        <w:tc>
          <w:tcPr>
            <w:tcW w:w="1126" w:type="dxa"/>
            <w:vMerge w:val="restart"/>
            <w:vAlign w:val="center"/>
          </w:tcPr>
          <w:p>
            <w:pPr>
              <w:pageBreakBefore w:val="0"/>
              <w:widowControl/>
              <w:kinsoku/>
              <w:wordWrap/>
              <w:overflowPunct/>
              <w:topLinePunct w:val="0"/>
              <w:autoSpaceDE/>
              <w:autoSpaceDN/>
              <w:bidi w:val="0"/>
              <w:adjustRightInd/>
              <w:snapToGrid/>
              <w:jc w:val="center"/>
              <w:outlineLvl w:val="9"/>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人员</w:t>
            </w:r>
          </w:p>
          <w:p>
            <w:pPr>
              <w:pageBreakBefore w:val="0"/>
              <w:widowControl/>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管理</w:t>
            </w:r>
          </w:p>
        </w:tc>
        <w:tc>
          <w:tcPr>
            <w:tcW w:w="6458" w:type="dxa"/>
            <w:vAlign w:val="center"/>
          </w:tcPr>
          <w:p>
            <w:pPr>
              <w:pageBreakBefore w:val="0"/>
              <w:widowControl/>
              <w:kinsoku/>
              <w:wordWrap/>
              <w:overflowPunct/>
              <w:topLinePunct w:val="0"/>
              <w:autoSpaceDE/>
              <w:autoSpaceDN/>
              <w:bidi w:val="0"/>
              <w:adjustRightInd/>
              <w:snapToGrid/>
              <w:jc w:val="left"/>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维保人员必须持证上岗。如发现存在没有持证上岗的情况，每次扣2分。</w:t>
            </w:r>
          </w:p>
        </w:tc>
        <w:tc>
          <w:tcPr>
            <w:tcW w:w="1680" w:type="dxa"/>
            <w:vMerge w:val="continue"/>
            <w:vAlign w:val="center"/>
          </w:tcPr>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9</w:t>
            </w:r>
          </w:p>
        </w:tc>
        <w:tc>
          <w:tcPr>
            <w:tcW w:w="1126" w:type="dxa"/>
            <w:vMerge w:val="continue"/>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6458" w:type="dxa"/>
            <w:vAlign w:val="center"/>
          </w:tcPr>
          <w:p>
            <w:pPr>
              <w:pageBreakBefore w:val="0"/>
              <w:widowControl/>
              <w:kinsoku/>
              <w:wordWrap/>
              <w:overflowPunct/>
              <w:topLinePunct w:val="0"/>
              <w:autoSpaceDE/>
              <w:autoSpaceDN/>
              <w:bidi w:val="0"/>
              <w:adjustRightInd/>
              <w:snapToGrid/>
              <w:jc w:val="left"/>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维保人员应具备丰富的相关经验和专业判断能力。服务商派出的人员如无法对故障问题能够作出专业判断、故障诊断和维修处理方案，每次扣2分。</w:t>
            </w:r>
          </w:p>
        </w:tc>
        <w:tc>
          <w:tcPr>
            <w:tcW w:w="1680" w:type="dxa"/>
            <w:vMerge w:val="continue"/>
            <w:vAlign w:val="center"/>
          </w:tcPr>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1126" w:type="dxa"/>
            <w:vMerge w:val="continue"/>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p>
        </w:tc>
        <w:tc>
          <w:tcPr>
            <w:tcW w:w="6458" w:type="dxa"/>
            <w:vAlign w:val="center"/>
          </w:tcPr>
          <w:p>
            <w:pPr>
              <w:pageBreakBefore w:val="0"/>
              <w:widowControl/>
              <w:kinsoku/>
              <w:wordWrap/>
              <w:overflowPunct/>
              <w:topLinePunct w:val="0"/>
              <w:autoSpaceDE/>
              <w:autoSpaceDN/>
              <w:bidi w:val="0"/>
              <w:adjustRightInd/>
              <w:snapToGrid/>
              <w:jc w:val="left"/>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维保人员服务态度良好，应对采购方提出的问题耐心解答，对反馈的问题及时跟进。如维保人员态度恶劣，消极怠工，每次扣2分。</w:t>
            </w:r>
          </w:p>
        </w:tc>
        <w:tc>
          <w:tcPr>
            <w:tcW w:w="1680" w:type="dxa"/>
            <w:vMerge w:val="continue"/>
            <w:vAlign w:val="center"/>
          </w:tcPr>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11</w:t>
            </w:r>
          </w:p>
        </w:tc>
        <w:tc>
          <w:tcPr>
            <w:tcW w:w="1126" w:type="dxa"/>
            <w:vAlign w:val="center"/>
          </w:tcPr>
          <w:p>
            <w:pPr>
              <w:pageBreakBefore w:val="0"/>
              <w:widowControl/>
              <w:kinsoku/>
              <w:wordWrap/>
              <w:overflowPunct/>
              <w:topLinePunct w:val="0"/>
              <w:autoSpaceDE/>
              <w:autoSpaceDN/>
              <w:bidi w:val="0"/>
              <w:adjustRightInd/>
              <w:snapToGrid/>
              <w:jc w:val="center"/>
              <w:outlineLvl w:val="9"/>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安全</w:t>
            </w:r>
          </w:p>
          <w:p>
            <w:pPr>
              <w:pageBreakBefore w:val="0"/>
              <w:widowControl/>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管理</w:t>
            </w:r>
          </w:p>
        </w:tc>
        <w:tc>
          <w:tcPr>
            <w:tcW w:w="6458" w:type="dxa"/>
            <w:vAlign w:val="center"/>
          </w:tcPr>
          <w:p>
            <w:pPr>
              <w:pageBreakBefore w:val="0"/>
              <w:widowControl/>
              <w:kinsoku/>
              <w:wordWrap/>
              <w:overflowPunct/>
              <w:topLinePunct w:val="0"/>
              <w:autoSpaceDE/>
              <w:autoSpaceDN/>
              <w:bidi w:val="0"/>
              <w:adjustRightInd/>
              <w:snapToGrid/>
              <w:jc w:val="left"/>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服务商必须严格执行采购方的安全规定。每出现一次安全事故，扣5分；每出现一次重大安全事故，扣10分。</w:t>
            </w:r>
          </w:p>
        </w:tc>
        <w:tc>
          <w:tcPr>
            <w:tcW w:w="1680" w:type="dxa"/>
            <w:vMerge w:val="continue"/>
            <w:vAlign w:val="center"/>
          </w:tcPr>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7" w:type="dxa"/>
            <w:vAlign w:val="center"/>
          </w:tcPr>
          <w:p>
            <w:pPr>
              <w:pageBreakBefore w:val="0"/>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sz w:val="24"/>
                <w:highlight w:val="none"/>
              </w:rPr>
              <w:t>12</w:t>
            </w:r>
          </w:p>
        </w:tc>
        <w:tc>
          <w:tcPr>
            <w:tcW w:w="1126" w:type="dxa"/>
            <w:vAlign w:val="center"/>
          </w:tcPr>
          <w:p>
            <w:pPr>
              <w:pageBreakBefore w:val="0"/>
              <w:widowControl/>
              <w:kinsoku/>
              <w:wordWrap/>
              <w:overflowPunct/>
              <w:topLinePunct w:val="0"/>
              <w:autoSpaceDE/>
              <w:autoSpaceDN/>
              <w:bidi w:val="0"/>
              <w:adjustRightInd/>
              <w:snapToGrid/>
              <w:jc w:val="center"/>
              <w:outlineLvl w:val="9"/>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保密</w:t>
            </w:r>
          </w:p>
          <w:p>
            <w:pPr>
              <w:pageBreakBefore w:val="0"/>
              <w:widowControl/>
              <w:kinsoku/>
              <w:wordWrap/>
              <w:overflowPunct/>
              <w:topLinePunct w:val="0"/>
              <w:autoSpaceDE/>
              <w:autoSpaceDN/>
              <w:bidi w:val="0"/>
              <w:adjustRightInd/>
              <w:snapToGrid/>
              <w:jc w:val="center"/>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管理</w:t>
            </w:r>
          </w:p>
        </w:tc>
        <w:tc>
          <w:tcPr>
            <w:tcW w:w="6458" w:type="dxa"/>
            <w:vAlign w:val="center"/>
          </w:tcPr>
          <w:p>
            <w:pPr>
              <w:pageBreakBefore w:val="0"/>
              <w:widowControl/>
              <w:kinsoku/>
              <w:wordWrap/>
              <w:overflowPunct/>
              <w:topLinePunct w:val="0"/>
              <w:autoSpaceDE/>
              <w:autoSpaceDN/>
              <w:bidi w:val="0"/>
              <w:adjustRightInd/>
              <w:snapToGrid/>
              <w:jc w:val="left"/>
              <w:outlineLvl w:val="9"/>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维保人员未做好保密工作，造成了信息泄露，每次扣5分；信息泄露给采购方带来重大影响的，扣10分。</w:t>
            </w:r>
          </w:p>
        </w:tc>
        <w:tc>
          <w:tcPr>
            <w:tcW w:w="1680" w:type="dxa"/>
            <w:vMerge w:val="continue"/>
            <w:vAlign w:val="center"/>
          </w:tcPr>
          <w:p>
            <w:pPr>
              <w:pageBreakBefore w:val="0"/>
              <w:widowControl/>
              <w:kinsoku/>
              <w:wordWrap/>
              <w:overflowPunct/>
              <w:topLinePunct w:val="0"/>
              <w:autoSpaceDE/>
              <w:autoSpaceDN/>
              <w:bidi w:val="0"/>
              <w:adjustRightInd/>
              <w:snapToGrid/>
              <w:jc w:val="left"/>
              <w:outlineLvl w:val="9"/>
              <w:rPr>
                <w:rFonts w:hint="eastAsia" w:ascii="宋体" w:hAnsi="宋体" w:eastAsia="宋体" w:cs="宋体"/>
                <w:color w:val="auto"/>
                <w:kern w:val="0"/>
                <w:sz w:val="24"/>
                <w:highlight w:val="none"/>
                <w:lang w:bidi="ar"/>
              </w:rPr>
            </w:pPr>
          </w:p>
        </w:tc>
      </w:tr>
    </w:tbl>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Gadugi">
    <w:panose1 w:val="020B0502040204020203"/>
    <w:charset w:val="00"/>
    <w:family w:val="auto"/>
    <w:pitch w:val="default"/>
    <w:sig w:usb0="80000003" w:usb1="02000000" w:usb2="00003000" w:usb3="00000000" w:csb0="00000001" w:csb1="0000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63</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CA713D"/>
    <w:rsid w:val="00100DC0"/>
    <w:rsid w:val="001566F9"/>
    <w:rsid w:val="00182976"/>
    <w:rsid w:val="002A51BE"/>
    <w:rsid w:val="003D3C96"/>
    <w:rsid w:val="003E4501"/>
    <w:rsid w:val="004D6B54"/>
    <w:rsid w:val="0050565F"/>
    <w:rsid w:val="005F4556"/>
    <w:rsid w:val="005F7D70"/>
    <w:rsid w:val="00653374"/>
    <w:rsid w:val="007D4FBA"/>
    <w:rsid w:val="0085436D"/>
    <w:rsid w:val="008F73F8"/>
    <w:rsid w:val="009F575D"/>
    <w:rsid w:val="00A77772"/>
    <w:rsid w:val="00B035C1"/>
    <w:rsid w:val="00B2367B"/>
    <w:rsid w:val="00B3717F"/>
    <w:rsid w:val="00C32C84"/>
    <w:rsid w:val="00C34770"/>
    <w:rsid w:val="00CC261D"/>
    <w:rsid w:val="00D7381E"/>
    <w:rsid w:val="00EC0E76"/>
    <w:rsid w:val="00F233DA"/>
    <w:rsid w:val="00F54A52"/>
    <w:rsid w:val="01022484"/>
    <w:rsid w:val="01063624"/>
    <w:rsid w:val="01063F58"/>
    <w:rsid w:val="010A7006"/>
    <w:rsid w:val="0119731F"/>
    <w:rsid w:val="011E5DE3"/>
    <w:rsid w:val="012025F7"/>
    <w:rsid w:val="012278B5"/>
    <w:rsid w:val="013350D7"/>
    <w:rsid w:val="01352CB7"/>
    <w:rsid w:val="0136134F"/>
    <w:rsid w:val="01396ABE"/>
    <w:rsid w:val="013B0D57"/>
    <w:rsid w:val="0140034E"/>
    <w:rsid w:val="01446504"/>
    <w:rsid w:val="01562AE9"/>
    <w:rsid w:val="016D0D6C"/>
    <w:rsid w:val="016F4CF2"/>
    <w:rsid w:val="01B65EA3"/>
    <w:rsid w:val="01BB1B12"/>
    <w:rsid w:val="01BF4FDB"/>
    <w:rsid w:val="01C313C2"/>
    <w:rsid w:val="01C378EA"/>
    <w:rsid w:val="01C6038D"/>
    <w:rsid w:val="01CB7D2C"/>
    <w:rsid w:val="01DE4081"/>
    <w:rsid w:val="01F77F16"/>
    <w:rsid w:val="01F86388"/>
    <w:rsid w:val="02281801"/>
    <w:rsid w:val="02664900"/>
    <w:rsid w:val="026D1570"/>
    <w:rsid w:val="02723959"/>
    <w:rsid w:val="027B4111"/>
    <w:rsid w:val="02860B67"/>
    <w:rsid w:val="0290449F"/>
    <w:rsid w:val="02946D57"/>
    <w:rsid w:val="02970885"/>
    <w:rsid w:val="02975A1F"/>
    <w:rsid w:val="029C272B"/>
    <w:rsid w:val="029E7DF4"/>
    <w:rsid w:val="02A22DDC"/>
    <w:rsid w:val="02AD4D5E"/>
    <w:rsid w:val="02BB5EA5"/>
    <w:rsid w:val="02E77396"/>
    <w:rsid w:val="02EA0C72"/>
    <w:rsid w:val="02EA59A6"/>
    <w:rsid w:val="02FA48C7"/>
    <w:rsid w:val="030B5D72"/>
    <w:rsid w:val="030E7CD8"/>
    <w:rsid w:val="031E5C94"/>
    <w:rsid w:val="03394FE2"/>
    <w:rsid w:val="033F7569"/>
    <w:rsid w:val="03450C87"/>
    <w:rsid w:val="03537D83"/>
    <w:rsid w:val="03547B35"/>
    <w:rsid w:val="03575293"/>
    <w:rsid w:val="035E6340"/>
    <w:rsid w:val="0363430F"/>
    <w:rsid w:val="03643C37"/>
    <w:rsid w:val="036852CD"/>
    <w:rsid w:val="036D3C60"/>
    <w:rsid w:val="03721FD9"/>
    <w:rsid w:val="03804942"/>
    <w:rsid w:val="03806506"/>
    <w:rsid w:val="0395506C"/>
    <w:rsid w:val="03A40090"/>
    <w:rsid w:val="03A715A2"/>
    <w:rsid w:val="03AB037D"/>
    <w:rsid w:val="03B15C98"/>
    <w:rsid w:val="03C33887"/>
    <w:rsid w:val="03CB1991"/>
    <w:rsid w:val="03CC7503"/>
    <w:rsid w:val="03CD058C"/>
    <w:rsid w:val="03DA4B84"/>
    <w:rsid w:val="03DB19F4"/>
    <w:rsid w:val="03EB759D"/>
    <w:rsid w:val="03F40C86"/>
    <w:rsid w:val="03F605F8"/>
    <w:rsid w:val="03FC1834"/>
    <w:rsid w:val="040570B8"/>
    <w:rsid w:val="040E2679"/>
    <w:rsid w:val="041D2DB3"/>
    <w:rsid w:val="04206565"/>
    <w:rsid w:val="04251EA9"/>
    <w:rsid w:val="04277904"/>
    <w:rsid w:val="0433469A"/>
    <w:rsid w:val="043B7B64"/>
    <w:rsid w:val="044546F5"/>
    <w:rsid w:val="04487498"/>
    <w:rsid w:val="044A681E"/>
    <w:rsid w:val="044B05EC"/>
    <w:rsid w:val="04566BBF"/>
    <w:rsid w:val="045E209E"/>
    <w:rsid w:val="04601229"/>
    <w:rsid w:val="046476BE"/>
    <w:rsid w:val="047531E6"/>
    <w:rsid w:val="04921EEC"/>
    <w:rsid w:val="04A051D0"/>
    <w:rsid w:val="04A96C32"/>
    <w:rsid w:val="04AB4077"/>
    <w:rsid w:val="04AF6356"/>
    <w:rsid w:val="04B1338C"/>
    <w:rsid w:val="04C06268"/>
    <w:rsid w:val="04C707F5"/>
    <w:rsid w:val="04C9773F"/>
    <w:rsid w:val="04CA1524"/>
    <w:rsid w:val="04D40DBA"/>
    <w:rsid w:val="04D82368"/>
    <w:rsid w:val="04E248F5"/>
    <w:rsid w:val="04F956BA"/>
    <w:rsid w:val="04FF0FA3"/>
    <w:rsid w:val="05083A52"/>
    <w:rsid w:val="05134161"/>
    <w:rsid w:val="05181206"/>
    <w:rsid w:val="051F3F42"/>
    <w:rsid w:val="05303423"/>
    <w:rsid w:val="05444B02"/>
    <w:rsid w:val="054651EE"/>
    <w:rsid w:val="05492A12"/>
    <w:rsid w:val="054C217B"/>
    <w:rsid w:val="05514EEA"/>
    <w:rsid w:val="055F1EB7"/>
    <w:rsid w:val="05607AA6"/>
    <w:rsid w:val="056E162B"/>
    <w:rsid w:val="056E613D"/>
    <w:rsid w:val="057413FC"/>
    <w:rsid w:val="057802CE"/>
    <w:rsid w:val="058005DD"/>
    <w:rsid w:val="05902454"/>
    <w:rsid w:val="05963919"/>
    <w:rsid w:val="05991954"/>
    <w:rsid w:val="059D4927"/>
    <w:rsid w:val="05A013C0"/>
    <w:rsid w:val="05A96CE2"/>
    <w:rsid w:val="05BB269F"/>
    <w:rsid w:val="05BF5771"/>
    <w:rsid w:val="05C705B0"/>
    <w:rsid w:val="05E61B73"/>
    <w:rsid w:val="05EF222A"/>
    <w:rsid w:val="05F80C7C"/>
    <w:rsid w:val="05FC724F"/>
    <w:rsid w:val="060577FD"/>
    <w:rsid w:val="0606522B"/>
    <w:rsid w:val="060E0075"/>
    <w:rsid w:val="0610231D"/>
    <w:rsid w:val="06103E3E"/>
    <w:rsid w:val="061E49AB"/>
    <w:rsid w:val="06334C43"/>
    <w:rsid w:val="0635549C"/>
    <w:rsid w:val="06377E01"/>
    <w:rsid w:val="063E3DEB"/>
    <w:rsid w:val="064310E9"/>
    <w:rsid w:val="06461D98"/>
    <w:rsid w:val="06476968"/>
    <w:rsid w:val="0661251D"/>
    <w:rsid w:val="06972F4A"/>
    <w:rsid w:val="069915FA"/>
    <w:rsid w:val="069B7E87"/>
    <w:rsid w:val="06B306CE"/>
    <w:rsid w:val="06C41922"/>
    <w:rsid w:val="06CE5168"/>
    <w:rsid w:val="06D71277"/>
    <w:rsid w:val="06DE5D35"/>
    <w:rsid w:val="06E05DD8"/>
    <w:rsid w:val="06E1110A"/>
    <w:rsid w:val="06F41C90"/>
    <w:rsid w:val="06F93D70"/>
    <w:rsid w:val="0700384A"/>
    <w:rsid w:val="071961BB"/>
    <w:rsid w:val="072708E9"/>
    <w:rsid w:val="072C2876"/>
    <w:rsid w:val="07361CA8"/>
    <w:rsid w:val="07467589"/>
    <w:rsid w:val="076306B4"/>
    <w:rsid w:val="07651C8F"/>
    <w:rsid w:val="076B75A5"/>
    <w:rsid w:val="07701FF9"/>
    <w:rsid w:val="07814185"/>
    <w:rsid w:val="07835AB5"/>
    <w:rsid w:val="07937C06"/>
    <w:rsid w:val="07971E29"/>
    <w:rsid w:val="079E285D"/>
    <w:rsid w:val="07A4291D"/>
    <w:rsid w:val="07AC3C94"/>
    <w:rsid w:val="07D53C9B"/>
    <w:rsid w:val="07E73AF0"/>
    <w:rsid w:val="07E812EC"/>
    <w:rsid w:val="07FE3349"/>
    <w:rsid w:val="0818275C"/>
    <w:rsid w:val="081A5D50"/>
    <w:rsid w:val="081B4821"/>
    <w:rsid w:val="082B24D5"/>
    <w:rsid w:val="082E3E4B"/>
    <w:rsid w:val="08305CD8"/>
    <w:rsid w:val="08406E8C"/>
    <w:rsid w:val="08414FF6"/>
    <w:rsid w:val="084D790D"/>
    <w:rsid w:val="084F1EFA"/>
    <w:rsid w:val="0850649E"/>
    <w:rsid w:val="0856726F"/>
    <w:rsid w:val="08572106"/>
    <w:rsid w:val="08682223"/>
    <w:rsid w:val="08752E33"/>
    <w:rsid w:val="087B5983"/>
    <w:rsid w:val="08875CA6"/>
    <w:rsid w:val="08934CFF"/>
    <w:rsid w:val="08940743"/>
    <w:rsid w:val="089F39DA"/>
    <w:rsid w:val="08A01B8D"/>
    <w:rsid w:val="08A253E3"/>
    <w:rsid w:val="08A4730C"/>
    <w:rsid w:val="08A655D5"/>
    <w:rsid w:val="08AA4FB3"/>
    <w:rsid w:val="08AD7BB5"/>
    <w:rsid w:val="08B84B5B"/>
    <w:rsid w:val="08C3426F"/>
    <w:rsid w:val="08C810AF"/>
    <w:rsid w:val="08CB0DCF"/>
    <w:rsid w:val="08E019AB"/>
    <w:rsid w:val="08E412D0"/>
    <w:rsid w:val="08EB6C97"/>
    <w:rsid w:val="08FC47C7"/>
    <w:rsid w:val="08FE2165"/>
    <w:rsid w:val="090F0F06"/>
    <w:rsid w:val="0913463E"/>
    <w:rsid w:val="092F0B09"/>
    <w:rsid w:val="095163B4"/>
    <w:rsid w:val="09723EDA"/>
    <w:rsid w:val="0972521F"/>
    <w:rsid w:val="098958DB"/>
    <w:rsid w:val="09980DC2"/>
    <w:rsid w:val="099B3FFC"/>
    <w:rsid w:val="099C5DE0"/>
    <w:rsid w:val="09BB09A1"/>
    <w:rsid w:val="09C40F74"/>
    <w:rsid w:val="09D434CB"/>
    <w:rsid w:val="09DB75D8"/>
    <w:rsid w:val="09E50ED7"/>
    <w:rsid w:val="09EE7299"/>
    <w:rsid w:val="0A095CF5"/>
    <w:rsid w:val="0A1B7631"/>
    <w:rsid w:val="0A216AD6"/>
    <w:rsid w:val="0A247B80"/>
    <w:rsid w:val="0A3920D5"/>
    <w:rsid w:val="0A4B658B"/>
    <w:rsid w:val="0A5D158B"/>
    <w:rsid w:val="0A73458D"/>
    <w:rsid w:val="0A752512"/>
    <w:rsid w:val="0A7A483F"/>
    <w:rsid w:val="0A802F20"/>
    <w:rsid w:val="0AAD1117"/>
    <w:rsid w:val="0AB91D04"/>
    <w:rsid w:val="0ABC37D8"/>
    <w:rsid w:val="0AC324C7"/>
    <w:rsid w:val="0ACA4D4D"/>
    <w:rsid w:val="0AD22403"/>
    <w:rsid w:val="0AE416BF"/>
    <w:rsid w:val="0AEB470C"/>
    <w:rsid w:val="0AF04DAB"/>
    <w:rsid w:val="0AF36BB5"/>
    <w:rsid w:val="0AF615E2"/>
    <w:rsid w:val="0AFC2AC5"/>
    <w:rsid w:val="0B093578"/>
    <w:rsid w:val="0B0B63A5"/>
    <w:rsid w:val="0B130481"/>
    <w:rsid w:val="0B19187E"/>
    <w:rsid w:val="0B1C0DDD"/>
    <w:rsid w:val="0B3614D6"/>
    <w:rsid w:val="0B390D9E"/>
    <w:rsid w:val="0B424AE3"/>
    <w:rsid w:val="0B46059C"/>
    <w:rsid w:val="0B481A35"/>
    <w:rsid w:val="0B4A2DF6"/>
    <w:rsid w:val="0B4F09D4"/>
    <w:rsid w:val="0B524B84"/>
    <w:rsid w:val="0B593CF8"/>
    <w:rsid w:val="0B5C0970"/>
    <w:rsid w:val="0B635BFD"/>
    <w:rsid w:val="0B6702B6"/>
    <w:rsid w:val="0B8B0985"/>
    <w:rsid w:val="0B906ECA"/>
    <w:rsid w:val="0B9128A9"/>
    <w:rsid w:val="0B9F03FD"/>
    <w:rsid w:val="0BA02469"/>
    <w:rsid w:val="0BA328F2"/>
    <w:rsid w:val="0BA84D6E"/>
    <w:rsid w:val="0BC80B0C"/>
    <w:rsid w:val="0BCF701A"/>
    <w:rsid w:val="0BD65479"/>
    <w:rsid w:val="0BD678F1"/>
    <w:rsid w:val="0BDF4AB5"/>
    <w:rsid w:val="0BDF4BA6"/>
    <w:rsid w:val="0BE61A60"/>
    <w:rsid w:val="0BE96611"/>
    <w:rsid w:val="0BEC7D7F"/>
    <w:rsid w:val="0BF11374"/>
    <w:rsid w:val="0C0015BE"/>
    <w:rsid w:val="0C1820CC"/>
    <w:rsid w:val="0C182885"/>
    <w:rsid w:val="0C247D5A"/>
    <w:rsid w:val="0C390987"/>
    <w:rsid w:val="0C481994"/>
    <w:rsid w:val="0C4D2D9A"/>
    <w:rsid w:val="0C546201"/>
    <w:rsid w:val="0C556922"/>
    <w:rsid w:val="0C591166"/>
    <w:rsid w:val="0C615393"/>
    <w:rsid w:val="0C6267FC"/>
    <w:rsid w:val="0C63374E"/>
    <w:rsid w:val="0C6720F7"/>
    <w:rsid w:val="0C7128BC"/>
    <w:rsid w:val="0C7B7DE5"/>
    <w:rsid w:val="0C807C13"/>
    <w:rsid w:val="0C8534D5"/>
    <w:rsid w:val="0C8B5EEF"/>
    <w:rsid w:val="0C937112"/>
    <w:rsid w:val="0C9A22DE"/>
    <w:rsid w:val="0CAC1DF1"/>
    <w:rsid w:val="0CAF45FC"/>
    <w:rsid w:val="0CC0485C"/>
    <w:rsid w:val="0CCE3F72"/>
    <w:rsid w:val="0CD81722"/>
    <w:rsid w:val="0CD82C87"/>
    <w:rsid w:val="0CE33662"/>
    <w:rsid w:val="0CE37B24"/>
    <w:rsid w:val="0CEA74E6"/>
    <w:rsid w:val="0CEE64E7"/>
    <w:rsid w:val="0CF64436"/>
    <w:rsid w:val="0CFE59F6"/>
    <w:rsid w:val="0CFF557A"/>
    <w:rsid w:val="0D043395"/>
    <w:rsid w:val="0D106657"/>
    <w:rsid w:val="0D14511B"/>
    <w:rsid w:val="0D1621B2"/>
    <w:rsid w:val="0D2F5F60"/>
    <w:rsid w:val="0D331EA7"/>
    <w:rsid w:val="0D357EDE"/>
    <w:rsid w:val="0D38156C"/>
    <w:rsid w:val="0D3A6D3D"/>
    <w:rsid w:val="0D4212ED"/>
    <w:rsid w:val="0D435576"/>
    <w:rsid w:val="0D481CF7"/>
    <w:rsid w:val="0D513282"/>
    <w:rsid w:val="0D60020A"/>
    <w:rsid w:val="0D642FE1"/>
    <w:rsid w:val="0D877271"/>
    <w:rsid w:val="0D923FBC"/>
    <w:rsid w:val="0D9E697A"/>
    <w:rsid w:val="0D9F6DB3"/>
    <w:rsid w:val="0DA84B2B"/>
    <w:rsid w:val="0DAC0EA9"/>
    <w:rsid w:val="0DAF46FB"/>
    <w:rsid w:val="0DB61C17"/>
    <w:rsid w:val="0DBC4B07"/>
    <w:rsid w:val="0DD3186E"/>
    <w:rsid w:val="0DE76AF7"/>
    <w:rsid w:val="0DEC1835"/>
    <w:rsid w:val="0E03694F"/>
    <w:rsid w:val="0E0D35E5"/>
    <w:rsid w:val="0E17696E"/>
    <w:rsid w:val="0E1F3EF7"/>
    <w:rsid w:val="0E2036A6"/>
    <w:rsid w:val="0E20398C"/>
    <w:rsid w:val="0E242B6A"/>
    <w:rsid w:val="0E2C7E49"/>
    <w:rsid w:val="0E3701DF"/>
    <w:rsid w:val="0E434942"/>
    <w:rsid w:val="0E4631DC"/>
    <w:rsid w:val="0E4F3432"/>
    <w:rsid w:val="0E617C47"/>
    <w:rsid w:val="0E64700D"/>
    <w:rsid w:val="0E795192"/>
    <w:rsid w:val="0E8044FF"/>
    <w:rsid w:val="0E9307F8"/>
    <w:rsid w:val="0E955427"/>
    <w:rsid w:val="0EAD0115"/>
    <w:rsid w:val="0EB02B32"/>
    <w:rsid w:val="0EC40B93"/>
    <w:rsid w:val="0ED62016"/>
    <w:rsid w:val="0EF3786D"/>
    <w:rsid w:val="0F0345A0"/>
    <w:rsid w:val="0F0531CB"/>
    <w:rsid w:val="0F080C73"/>
    <w:rsid w:val="0F225E83"/>
    <w:rsid w:val="0F2B5791"/>
    <w:rsid w:val="0F2D1138"/>
    <w:rsid w:val="0F2D6C24"/>
    <w:rsid w:val="0F384C76"/>
    <w:rsid w:val="0F3C1BF4"/>
    <w:rsid w:val="0F407C4C"/>
    <w:rsid w:val="0F4331BB"/>
    <w:rsid w:val="0F440FBB"/>
    <w:rsid w:val="0F586041"/>
    <w:rsid w:val="0F5E4A99"/>
    <w:rsid w:val="0F664D10"/>
    <w:rsid w:val="0F6B331C"/>
    <w:rsid w:val="0F6D2D75"/>
    <w:rsid w:val="0F6D564B"/>
    <w:rsid w:val="0F6E0A52"/>
    <w:rsid w:val="0F6E7339"/>
    <w:rsid w:val="0F840E51"/>
    <w:rsid w:val="0F937D12"/>
    <w:rsid w:val="0FA07ECD"/>
    <w:rsid w:val="0FA22761"/>
    <w:rsid w:val="0FA236B3"/>
    <w:rsid w:val="0FB20BBC"/>
    <w:rsid w:val="0FB71B91"/>
    <w:rsid w:val="0FBC1CA6"/>
    <w:rsid w:val="0FC45D9C"/>
    <w:rsid w:val="0FC57D7A"/>
    <w:rsid w:val="0FDE239D"/>
    <w:rsid w:val="0FDF7001"/>
    <w:rsid w:val="0FE057FA"/>
    <w:rsid w:val="0FE33FA5"/>
    <w:rsid w:val="0FE420A2"/>
    <w:rsid w:val="0FE71165"/>
    <w:rsid w:val="0FF23300"/>
    <w:rsid w:val="0FF70CD3"/>
    <w:rsid w:val="0FF954A1"/>
    <w:rsid w:val="1000015E"/>
    <w:rsid w:val="10123C51"/>
    <w:rsid w:val="10136530"/>
    <w:rsid w:val="101A0374"/>
    <w:rsid w:val="102848C2"/>
    <w:rsid w:val="10317BB8"/>
    <w:rsid w:val="105232F9"/>
    <w:rsid w:val="10555172"/>
    <w:rsid w:val="10755EC1"/>
    <w:rsid w:val="10783A6F"/>
    <w:rsid w:val="107C0FCC"/>
    <w:rsid w:val="10894317"/>
    <w:rsid w:val="10895FB6"/>
    <w:rsid w:val="108B5BA7"/>
    <w:rsid w:val="10985F48"/>
    <w:rsid w:val="10995F84"/>
    <w:rsid w:val="109B6F99"/>
    <w:rsid w:val="109D6C15"/>
    <w:rsid w:val="10A914A4"/>
    <w:rsid w:val="10AB62DB"/>
    <w:rsid w:val="10B029D0"/>
    <w:rsid w:val="10B302B4"/>
    <w:rsid w:val="10B769CB"/>
    <w:rsid w:val="10B90D5C"/>
    <w:rsid w:val="10BB479A"/>
    <w:rsid w:val="10D545C3"/>
    <w:rsid w:val="10D71002"/>
    <w:rsid w:val="10DA75FF"/>
    <w:rsid w:val="10E41737"/>
    <w:rsid w:val="10E568A7"/>
    <w:rsid w:val="10E91D5B"/>
    <w:rsid w:val="10EE7EF1"/>
    <w:rsid w:val="10F12094"/>
    <w:rsid w:val="10F93E3D"/>
    <w:rsid w:val="11017310"/>
    <w:rsid w:val="110252F0"/>
    <w:rsid w:val="1105693C"/>
    <w:rsid w:val="11062AB1"/>
    <w:rsid w:val="110A7581"/>
    <w:rsid w:val="1112075A"/>
    <w:rsid w:val="111322E4"/>
    <w:rsid w:val="112C4639"/>
    <w:rsid w:val="11304D79"/>
    <w:rsid w:val="11321579"/>
    <w:rsid w:val="113601C0"/>
    <w:rsid w:val="113B4529"/>
    <w:rsid w:val="11417752"/>
    <w:rsid w:val="114B636D"/>
    <w:rsid w:val="114F13F5"/>
    <w:rsid w:val="11535D61"/>
    <w:rsid w:val="11540B41"/>
    <w:rsid w:val="11540FF0"/>
    <w:rsid w:val="11643B62"/>
    <w:rsid w:val="1173258F"/>
    <w:rsid w:val="1176025A"/>
    <w:rsid w:val="117F5B81"/>
    <w:rsid w:val="11964D46"/>
    <w:rsid w:val="11A10EED"/>
    <w:rsid w:val="11AA753C"/>
    <w:rsid w:val="11B874D7"/>
    <w:rsid w:val="11BA4B26"/>
    <w:rsid w:val="11C4113D"/>
    <w:rsid w:val="11CB696B"/>
    <w:rsid w:val="11E541CA"/>
    <w:rsid w:val="11EA0DF9"/>
    <w:rsid w:val="11EC16B6"/>
    <w:rsid w:val="11F7627A"/>
    <w:rsid w:val="11FB7E5A"/>
    <w:rsid w:val="12121438"/>
    <w:rsid w:val="121234E2"/>
    <w:rsid w:val="121318A1"/>
    <w:rsid w:val="12295703"/>
    <w:rsid w:val="122A36DA"/>
    <w:rsid w:val="122E6214"/>
    <w:rsid w:val="123026E7"/>
    <w:rsid w:val="123D0870"/>
    <w:rsid w:val="123D4C62"/>
    <w:rsid w:val="1256684B"/>
    <w:rsid w:val="12871D49"/>
    <w:rsid w:val="12985567"/>
    <w:rsid w:val="129B0504"/>
    <w:rsid w:val="12A11CC2"/>
    <w:rsid w:val="12A872C3"/>
    <w:rsid w:val="12B268BD"/>
    <w:rsid w:val="12B456DF"/>
    <w:rsid w:val="12C728EF"/>
    <w:rsid w:val="12E1362B"/>
    <w:rsid w:val="12E76652"/>
    <w:rsid w:val="12FF6124"/>
    <w:rsid w:val="130F1F6B"/>
    <w:rsid w:val="13181E9E"/>
    <w:rsid w:val="13186280"/>
    <w:rsid w:val="131C2B18"/>
    <w:rsid w:val="13331DE8"/>
    <w:rsid w:val="13464CCE"/>
    <w:rsid w:val="134835BB"/>
    <w:rsid w:val="134F0AB1"/>
    <w:rsid w:val="13517963"/>
    <w:rsid w:val="13527FC0"/>
    <w:rsid w:val="135903C1"/>
    <w:rsid w:val="13631B05"/>
    <w:rsid w:val="136561DA"/>
    <w:rsid w:val="136E6702"/>
    <w:rsid w:val="13773F7D"/>
    <w:rsid w:val="137962CC"/>
    <w:rsid w:val="137C0699"/>
    <w:rsid w:val="139016AE"/>
    <w:rsid w:val="13A139D0"/>
    <w:rsid w:val="13A371B5"/>
    <w:rsid w:val="13A71489"/>
    <w:rsid w:val="13A94DD0"/>
    <w:rsid w:val="13AA00AB"/>
    <w:rsid w:val="13AC4871"/>
    <w:rsid w:val="13AE4133"/>
    <w:rsid w:val="13B00F18"/>
    <w:rsid w:val="13B80EFF"/>
    <w:rsid w:val="13BD3EB7"/>
    <w:rsid w:val="13C123B3"/>
    <w:rsid w:val="13C574DD"/>
    <w:rsid w:val="13C8746E"/>
    <w:rsid w:val="13C9622D"/>
    <w:rsid w:val="13E07067"/>
    <w:rsid w:val="13E1612E"/>
    <w:rsid w:val="13E62A53"/>
    <w:rsid w:val="13E92CC1"/>
    <w:rsid w:val="13EC2C75"/>
    <w:rsid w:val="13F27FB4"/>
    <w:rsid w:val="13FC69B4"/>
    <w:rsid w:val="14033084"/>
    <w:rsid w:val="14081AAA"/>
    <w:rsid w:val="141E3F25"/>
    <w:rsid w:val="141F4ED0"/>
    <w:rsid w:val="142B099E"/>
    <w:rsid w:val="14307D5E"/>
    <w:rsid w:val="143E1DCB"/>
    <w:rsid w:val="14440A47"/>
    <w:rsid w:val="144874C7"/>
    <w:rsid w:val="14575807"/>
    <w:rsid w:val="145C01B6"/>
    <w:rsid w:val="14614DCF"/>
    <w:rsid w:val="14814DE5"/>
    <w:rsid w:val="148813A7"/>
    <w:rsid w:val="1494486B"/>
    <w:rsid w:val="14991596"/>
    <w:rsid w:val="149E7E28"/>
    <w:rsid w:val="14AB5C57"/>
    <w:rsid w:val="14BA6782"/>
    <w:rsid w:val="14C448C9"/>
    <w:rsid w:val="14EE06F2"/>
    <w:rsid w:val="14F22103"/>
    <w:rsid w:val="14FA275E"/>
    <w:rsid w:val="15012CB9"/>
    <w:rsid w:val="150B1CA3"/>
    <w:rsid w:val="15134FEE"/>
    <w:rsid w:val="15190F4A"/>
    <w:rsid w:val="151B0611"/>
    <w:rsid w:val="152A59F9"/>
    <w:rsid w:val="15307FC2"/>
    <w:rsid w:val="1531543D"/>
    <w:rsid w:val="15330F52"/>
    <w:rsid w:val="153A3EBB"/>
    <w:rsid w:val="153A781C"/>
    <w:rsid w:val="153D173D"/>
    <w:rsid w:val="153F4BF2"/>
    <w:rsid w:val="1541290B"/>
    <w:rsid w:val="154F0BF0"/>
    <w:rsid w:val="15554FE0"/>
    <w:rsid w:val="15560702"/>
    <w:rsid w:val="155F7021"/>
    <w:rsid w:val="15622AE5"/>
    <w:rsid w:val="15672438"/>
    <w:rsid w:val="15741A90"/>
    <w:rsid w:val="15751E5E"/>
    <w:rsid w:val="157A5D8E"/>
    <w:rsid w:val="157A6CE3"/>
    <w:rsid w:val="157E7279"/>
    <w:rsid w:val="158E089C"/>
    <w:rsid w:val="15943737"/>
    <w:rsid w:val="159554EA"/>
    <w:rsid w:val="159A3423"/>
    <w:rsid w:val="15A11FAB"/>
    <w:rsid w:val="15A2598D"/>
    <w:rsid w:val="15A30FCE"/>
    <w:rsid w:val="15A36C70"/>
    <w:rsid w:val="15A53F61"/>
    <w:rsid w:val="15AF3AA5"/>
    <w:rsid w:val="15B307D0"/>
    <w:rsid w:val="15BD0955"/>
    <w:rsid w:val="15CC7C58"/>
    <w:rsid w:val="15D04474"/>
    <w:rsid w:val="15DE6042"/>
    <w:rsid w:val="15DF69FF"/>
    <w:rsid w:val="15E1549E"/>
    <w:rsid w:val="15E43656"/>
    <w:rsid w:val="15E54991"/>
    <w:rsid w:val="15E84E5B"/>
    <w:rsid w:val="15EF303B"/>
    <w:rsid w:val="15F01E6E"/>
    <w:rsid w:val="15F82269"/>
    <w:rsid w:val="160051BA"/>
    <w:rsid w:val="160105E2"/>
    <w:rsid w:val="16033931"/>
    <w:rsid w:val="160E70F5"/>
    <w:rsid w:val="161243DD"/>
    <w:rsid w:val="16297BBF"/>
    <w:rsid w:val="16314C21"/>
    <w:rsid w:val="163E3D7C"/>
    <w:rsid w:val="16430C71"/>
    <w:rsid w:val="165768EA"/>
    <w:rsid w:val="165F641B"/>
    <w:rsid w:val="16623E32"/>
    <w:rsid w:val="168A6D42"/>
    <w:rsid w:val="168B4B03"/>
    <w:rsid w:val="168D0042"/>
    <w:rsid w:val="169854A8"/>
    <w:rsid w:val="16A37B59"/>
    <w:rsid w:val="16B96A9B"/>
    <w:rsid w:val="16C00A27"/>
    <w:rsid w:val="16CA7726"/>
    <w:rsid w:val="16DB4421"/>
    <w:rsid w:val="16E25014"/>
    <w:rsid w:val="16E34B35"/>
    <w:rsid w:val="16EC7E84"/>
    <w:rsid w:val="16F50560"/>
    <w:rsid w:val="16FB69C8"/>
    <w:rsid w:val="17072E4A"/>
    <w:rsid w:val="17086128"/>
    <w:rsid w:val="171727D5"/>
    <w:rsid w:val="17173654"/>
    <w:rsid w:val="171902E6"/>
    <w:rsid w:val="171A07C0"/>
    <w:rsid w:val="171E150C"/>
    <w:rsid w:val="17291D6D"/>
    <w:rsid w:val="172B1284"/>
    <w:rsid w:val="172F0CA8"/>
    <w:rsid w:val="172F7801"/>
    <w:rsid w:val="173541D8"/>
    <w:rsid w:val="173B09EE"/>
    <w:rsid w:val="173D7759"/>
    <w:rsid w:val="175555BC"/>
    <w:rsid w:val="17555BD8"/>
    <w:rsid w:val="175E50C6"/>
    <w:rsid w:val="176D2D34"/>
    <w:rsid w:val="177B2618"/>
    <w:rsid w:val="177C3749"/>
    <w:rsid w:val="178A1C12"/>
    <w:rsid w:val="178E4309"/>
    <w:rsid w:val="179340C2"/>
    <w:rsid w:val="17954511"/>
    <w:rsid w:val="17B341F3"/>
    <w:rsid w:val="17B76ADC"/>
    <w:rsid w:val="17B919DD"/>
    <w:rsid w:val="17BA025D"/>
    <w:rsid w:val="17BE1166"/>
    <w:rsid w:val="17C27894"/>
    <w:rsid w:val="17C510BF"/>
    <w:rsid w:val="17C609B2"/>
    <w:rsid w:val="17CB3894"/>
    <w:rsid w:val="17D45909"/>
    <w:rsid w:val="17E11AB0"/>
    <w:rsid w:val="17EE61FF"/>
    <w:rsid w:val="17F31B77"/>
    <w:rsid w:val="17F85141"/>
    <w:rsid w:val="18044C92"/>
    <w:rsid w:val="180A4596"/>
    <w:rsid w:val="18154E1E"/>
    <w:rsid w:val="181B75EA"/>
    <w:rsid w:val="181C15AC"/>
    <w:rsid w:val="18244799"/>
    <w:rsid w:val="18297CAD"/>
    <w:rsid w:val="182A4859"/>
    <w:rsid w:val="1830188D"/>
    <w:rsid w:val="184E51B0"/>
    <w:rsid w:val="18555A46"/>
    <w:rsid w:val="18676245"/>
    <w:rsid w:val="186838FA"/>
    <w:rsid w:val="186C2915"/>
    <w:rsid w:val="186C7A60"/>
    <w:rsid w:val="186D378A"/>
    <w:rsid w:val="18706F2F"/>
    <w:rsid w:val="187416F0"/>
    <w:rsid w:val="1874227E"/>
    <w:rsid w:val="187608D3"/>
    <w:rsid w:val="188066A7"/>
    <w:rsid w:val="18857100"/>
    <w:rsid w:val="189355B2"/>
    <w:rsid w:val="18950D35"/>
    <w:rsid w:val="189B17A4"/>
    <w:rsid w:val="189D048D"/>
    <w:rsid w:val="18A53EF4"/>
    <w:rsid w:val="18A57C80"/>
    <w:rsid w:val="18B46746"/>
    <w:rsid w:val="18BA4012"/>
    <w:rsid w:val="18BA5214"/>
    <w:rsid w:val="18BF40D7"/>
    <w:rsid w:val="18C07B23"/>
    <w:rsid w:val="18DD438F"/>
    <w:rsid w:val="18E44FCE"/>
    <w:rsid w:val="18E803F9"/>
    <w:rsid w:val="18EC0AAD"/>
    <w:rsid w:val="18FC066A"/>
    <w:rsid w:val="1913707D"/>
    <w:rsid w:val="191A44EE"/>
    <w:rsid w:val="1924336B"/>
    <w:rsid w:val="192B35A8"/>
    <w:rsid w:val="1932402B"/>
    <w:rsid w:val="1941544A"/>
    <w:rsid w:val="194515A1"/>
    <w:rsid w:val="19581D29"/>
    <w:rsid w:val="19667EC2"/>
    <w:rsid w:val="196F0973"/>
    <w:rsid w:val="19762AED"/>
    <w:rsid w:val="197D5086"/>
    <w:rsid w:val="197F5AB5"/>
    <w:rsid w:val="19A73316"/>
    <w:rsid w:val="19A86C8C"/>
    <w:rsid w:val="19AC0B57"/>
    <w:rsid w:val="19AC7743"/>
    <w:rsid w:val="19AF4C02"/>
    <w:rsid w:val="19B03C46"/>
    <w:rsid w:val="19B17868"/>
    <w:rsid w:val="19B93D3E"/>
    <w:rsid w:val="19BF23C1"/>
    <w:rsid w:val="19C516A5"/>
    <w:rsid w:val="19C9196E"/>
    <w:rsid w:val="19CB1D4F"/>
    <w:rsid w:val="19E01AFF"/>
    <w:rsid w:val="19E05A1E"/>
    <w:rsid w:val="19E14B29"/>
    <w:rsid w:val="19E37D14"/>
    <w:rsid w:val="19E953FA"/>
    <w:rsid w:val="19EA3D64"/>
    <w:rsid w:val="19EB5585"/>
    <w:rsid w:val="19F754C9"/>
    <w:rsid w:val="19F7706C"/>
    <w:rsid w:val="1A1B6BAC"/>
    <w:rsid w:val="1A1D3A0E"/>
    <w:rsid w:val="1A200A96"/>
    <w:rsid w:val="1A202C08"/>
    <w:rsid w:val="1A2E18BE"/>
    <w:rsid w:val="1A332EEC"/>
    <w:rsid w:val="1A406B72"/>
    <w:rsid w:val="1A443D5F"/>
    <w:rsid w:val="1A4C0CC0"/>
    <w:rsid w:val="1A4C7BB6"/>
    <w:rsid w:val="1A590FBB"/>
    <w:rsid w:val="1A664640"/>
    <w:rsid w:val="1A675B72"/>
    <w:rsid w:val="1A680DD9"/>
    <w:rsid w:val="1A683DA8"/>
    <w:rsid w:val="1A7B45AF"/>
    <w:rsid w:val="1A8C5670"/>
    <w:rsid w:val="1A983F40"/>
    <w:rsid w:val="1AA23232"/>
    <w:rsid w:val="1AA24E16"/>
    <w:rsid w:val="1AAD4128"/>
    <w:rsid w:val="1AB249F0"/>
    <w:rsid w:val="1AB2723F"/>
    <w:rsid w:val="1ABD39F9"/>
    <w:rsid w:val="1AC223DC"/>
    <w:rsid w:val="1AC51313"/>
    <w:rsid w:val="1AC94883"/>
    <w:rsid w:val="1ACC7059"/>
    <w:rsid w:val="1ACF2010"/>
    <w:rsid w:val="1AF74ED5"/>
    <w:rsid w:val="1AFB42AB"/>
    <w:rsid w:val="1AFB7227"/>
    <w:rsid w:val="1AFE609E"/>
    <w:rsid w:val="1B076E68"/>
    <w:rsid w:val="1B1831DB"/>
    <w:rsid w:val="1B205305"/>
    <w:rsid w:val="1B34017C"/>
    <w:rsid w:val="1B37135B"/>
    <w:rsid w:val="1B390478"/>
    <w:rsid w:val="1B3A6F65"/>
    <w:rsid w:val="1B4F3A31"/>
    <w:rsid w:val="1B53332A"/>
    <w:rsid w:val="1B557F38"/>
    <w:rsid w:val="1B56056D"/>
    <w:rsid w:val="1B5B6F41"/>
    <w:rsid w:val="1B5F1828"/>
    <w:rsid w:val="1B642B54"/>
    <w:rsid w:val="1B6C39AF"/>
    <w:rsid w:val="1B7A4548"/>
    <w:rsid w:val="1B852D08"/>
    <w:rsid w:val="1B860A79"/>
    <w:rsid w:val="1B903DCE"/>
    <w:rsid w:val="1B937ADD"/>
    <w:rsid w:val="1B9A2895"/>
    <w:rsid w:val="1BB00882"/>
    <w:rsid w:val="1BB4051E"/>
    <w:rsid w:val="1BB87A56"/>
    <w:rsid w:val="1BC44AFB"/>
    <w:rsid w:val="1BC9788C"/>
    <w:rsid w:val="1BD268F1"/>
    <w:rsid w:val="1BDB4BCE"/>
    <w:rsid w:val="1BED6D3C"/>
    <w:rsid w:val="1BF97117"/>
    <w:rsid w:val="1C0F4C6F"/>
    <w:rsid w:val="1C17293C"/>
    <w:rsid w:val="1C27782D"/>
    <w:rsid w:val="1C3275A8"/>
    <w:rsid w:val="1C370828"/>
    <w:rsid w:val="1C382223"/>
    <w:rsid w:val="1C4714AE"/>
    <w:rsid w:val="1C481395"/>
    <w:rsid w:val="1C4E2C78"/>
    <w:rsid w:val="1C6156A4"/>
    <w:rsid w:val="1C616A9C"/>
    <w:rsid w:val="1C6D723E"/>
    <w:rsid w:val="1C732AAD"/>
    <w:rsid w:val="1C7629D2"/>
    <w:rsid w:val="1C932459"/>
    <w:rsid w:val="1C950D36"/>
    <w:rsid w:val="1C9A7F72"/>
    <w:rsid w:val="1CA43F2B"/>
    <w:rsid w:val="1CC01EA7"/>
    <w:rsid w:val="1CC12376"/>
    <w:rsid w:val="1CD2653E"/>
    <w:rsid w:val="1CD90B76"/>
    <w:rsid w:val="1CDD2C17"/>
    <w:rsid w:val="1CDE4DC2"/>
    <w:rsid w:val="1CE10374"/>
    <w:rsid w:val="1CE576DC"/>
    <w:rsid w:val="1CED05ED"/>
    <w:rsid w:val="1CF9001C"/>
    <w:rsid w:val="1CFF4EAF"/>
    <w:rsid w:val="1D0A1710"/>
    <w:rsid w:val="1D232FE0"/>
    <w:rsid w:val="1D291013"/>
    <w:rsid w:val="1D327710"/>
    <w:rsid w:val="1D385ADD"/>
    <w:rsid w:val="1D3C04CF"/>
    <w:rsid w:val="1D3E3850"/>
    <w:rsid w:val="1D533558"/>
    <w:rsid w:val="1D552083"/>
    <w:rsid w:val="1D571238"/>
    <w:rsid w:val="1D5A684B"/>
    <w:rsid w:val="1D5B2B5F"/>
    <w:rsid w:val="1D762976"/>
    <w:rsid w:val="1D7D518E"/>
    <w:rsid w:val="1D947A43"/>
    <w:rsid w:val="1D9E3FD7"/>
    <w:rsid w:val="1DA3099F"/>
    <w:rsid w:val="1DA734FC"/>
    <w:rsid w:val="1DAA1ACE"/>
    <w:rsid w:val="1DAB09CE"/>
    <w:rsid w:val="1DAD6059"/>
    <w:rsid w:val="1DBA154B"/>
    <w:rsid w:val="1DBE7F3E"/>
    <w:rsid w:val="1DCA2BA7"/>
    <w:rsid w:val="1DEB0200"/>
    <w:rsid w:val="1E0310C0"/>
    <w:rsid w:val="1E137587"/>
    <w:rsid w:val="1E19277F"/>
    <w:rsid w:val="1E2D2FD6"/>
    <w:rsid w:val="1E2D3710"/>
    <w:rsid w:val="1E391EA9"/>
    <w:rsid w:val="1E392A5C"/>
    <w:rsid w:val="1E4B4D6F"/>
    <w:rsid w:val="1E592DFC"/>
    <w:rsid w:val="1E5E2F04"/>
    <w:rsid w:val="1E615E4E"/>
    <w:rsid w:val="1E636057"/>
    <w:rsid w:val="1E763D87"/>
    <w:rsid w:val="1E7C1366"/>
    <w:rsid w:val="1E7E1385"/>
    <w:rsid w:val="1E8117D0"/>
    <w:rsid w:val="1E86373F"/>
    <w:rsid w:val="1EB34368"/>
    <w:rsid w:val="1EBA2751"/>
    <w:rsid w:val="1ECA1F63"/>
    <w:rsid w:val="1ED81A74"/>
    <w:rsid w:val="1EDD454A"/>
    <w:rsid w:val="1EFA19D2"/>
    <w:rsid w:val="1EFE4DED"/>
    <w:rsid w:val="1F08698E"/>
    <w:rsid w:val="1F094691"/>
    <w:rsid w:val="1F0B66A8"/>
    <w:rsid w:val="1F165651"/>
    <w:rsid w:val="1F2A0F84"/>
    <w:rsid w:val="1F3071AC"/>
    <w:rsid w:val="1F380868"/>
    <w:rsid w:val="1F383C69"/>
    <w:rsid w:val="1F456F7D"/>
    <w:rsid w:val="1F467E09"/>
    <w:rsid w:val="1F485CEB"/>
    <w:rsid w:val="1F54076A"/>
    <w:rsid w:val="1F61760B"/>
    <w:rsid w:val="1F634E64"/>
    <w:rsid w:val="1F6B162B"/>
    <w:rsid w:val="1F786D68"/>
    <w:rsid w:val="1F894DD6"/>
    <w:rsid w:val="1F8A063A"/>
    <w:rsid w:val="1F8E643D"/>
    <w:rsid w:val="1F9638C0"/>
    <w:rsid w:val="1FAA1D07"/>
    <w:rsid w:val="1FAD3490"/>
    <w:rsid w:val="1FB6460E"/>
    <w:rsid w:val="1FBD7671"/>
    <w:rsid w:val="1FBE0B8F"/>
    <w:rsid w:val="1FC11D53"/>
    <w:rsid w:val="1FC76274"/>
    <w:rsid w:val="1FCE2FE3"/>
    <w:rsid w:val="1FCF5437"/>
    <w:rsid w:val="1FD64E0F"/>
    <w:rsid w:val="1FDD3D6E"/>
    <w:rsid w:val="1FDF377C"/>
    <w:rsid w:val="1FF11C64"/>
    <w:rsid w:val="20010CD9"/>
    <w:rsid w:val="20061C0D"/>
    <w:rsid w:val="200B4467"/>
    <w:rsid w:val="201676A3"/>
    <w:rsid w:val="20191306"/>
    <w:rsid w:val="201E712F"/>
    <w:rsid w:val="20261306"/>
    <w:rsid w:val="2028548A"/>
    <w:rsid w:val="202A47B2"/>
    <w:rsid w:val="20306CA4"/>
    <w:rsid w:val="203A0C6E"/>
    <w:rsid w:val="205966F9"/>
    <w:rsid w:val="205D3F53"/>
    <w:rsid w:val="2062133C"/>
    <w:rsid w:val="20697158"/>
    <w:rsid w:val="206D3AB4"/>
    <w:rsid w:val="206F780D"/>
    <w:rsid w:val="207169CC"/>
    <w:rsid w:val="207307A7"/>
    <w:rsid w:val="207E2491"/>
    <w:rsid w:val="208146A4"/>
    <w:rsid w:val="208F0782"/>
    <w:rsid w:val="20980CEE"/>
    <w:rsid w:val="20A34037"/>
    <w:rsid w:val="20AB58DF"/>
    <w:rsid w:val="20AD50B5"/>
    <w:rsid w:val="20BF7117"/>
    <w:rsid w:val="20C95EAC"/>
    <w:rsid w:val="20DD24B7"/>
    <w:rsid w:val="20E64A6B"/>
    <w:rsid w:val="20EB15B2"/>
    <w:rsid w:val="20EE7992"/>
    <w:rsid w:val="20F037B1"/>
    <w:rsid w:val="210178F3"/>
    <w:rsid w:val="210F7B02"/>
    <w:rsid w:val="21105A93"/>
    <w:rsid w:val="211119A6"/>
    <w:rsid w:val="211F5595"/>
    <w:rsid w:val="212325A4"/>
    <w:rsid w:val="21333508"/>
    <w:rsid w:val="21361890"/>
    <w:rsid w:val="21362AF8"/>
    <w:rsid w:val="21454EE7"/>
    <w:rsid w:val="21484576"/>
    <w:rsid w:val="215314D7"/>
    <w:rsid w:val="21550E15"/>
    <w:rsid w:val="21642579"/>
    <w:rsid w:val="217F7378"/>
    <w:rsid w:val="218679EA"/>
    <w:rsid w:val="218B3A62"/>
    <w:rsid w:val="21927883"/>
    <w:rsid w:val="21936406"/>
    <w:rsid w:val="21972262"/>
    <w:rsid w:val="219804C9"/>
    <w:rsid w:val="21A363CC"/>
    <w:rsid w:val="21A97B98"/>
    <w:rsid w:val="21B107C8"/>
    <w:rsid w:val="21B52245"/>
    <w:rsid w:val="21C301D7"/>
    <w:rsid w:val="21CD084C"/>
    <w:rsid w:val="21CF31C4"/>
    <w:rsid w:val="21DC24BD"/>
    <w:rsid w:val="21E52A6A"/>
    <w:rsid w:val="21ED57CF"/>
    <w:rsid w:val="21FA734C"/>
    <w:rsid w:val="22002285"/>
    <w:rsid w:val="22064FB9"/>
    <w:rsid w:val="221378B8"/>
    <w:rsid w:val="22144F6F"/>
    <w:rsid w:val="22264606"/>
    <w:rsid w:val="222C05F3"/>
    <w:rsid w:val="224113B3"/>
    <w:rsid w:val="22557F5F"/>
    <w:rsid w:val="225715A8"/>
    <w:rsid w:val="22676C3C"/>
    <w:rsid w:val="226A4EC9"/>
    <w:rsid w:val="22813F1D"/>
    <w:rsid w:val="228406FA"/>
    <w:rsid w:val="229A23F3"/>
    <w:rsid w:val="229A46D1"/>
    <w:rsid w:val="22A856B5"/>
    <w:rsid w:val="22AB5749"/>
    <w:rsid w:val="22B24E1A"/>
    <w:rsid w:val="22B6572A"/>
    <w:rsid w:val="22B87A44"/>
    <w:rsid w:val="22B94A07"/>
    <w:rsid w:val="22C90B52"/>
    <w:rsid w:val="22CB016D"/>
    <w:rsid w:val="22D7759E"/>
    <w:rsid w:val="22DB5AAD"/>
    <w:rsid w:val="22DD50FC"/>
    <w:rsid w:val="22DE750C"/>
    <w:rsid w:val="22E7632B"/>
    <w:rsid w:val="22EB7D7D"/>
    <w:rsid w:val="22EC4866"/>
    <w:rsid w:val="2300232B"/>
    <w:rsid w:val="230A6235"/>
    <w:rsid w:val="231574C8"/>
    <w:rsid w:val="23163CE8"/>
    <w:rsid w:val="23225B63"/>
    <w:rsid w:val="23272F12"/>
    <w:rsid w:val="232A5639"/>
    <w:rsid w:val="23353091"/>
    <w:rsid w:val="233B3635"/>
    <w:rsid w:val="23404AB5"/>
    <w:rsid w:val="23420B67"/>
    <w:rsid w:val="23462F7F"/>
    <w:rsid w:val="234912AE"/>
    <w:rsid w:val="2350375D"/>
    <w:rsid w:val="235330EE"/>
    <w:rsid w:val="237005D1"/>
    <w:rsid w:val="238C2F5A"/>
    <w:rsid w:val="2392762D"/>
    <w:rsid w:val="23A83456"/>
    <w:rsid w:val="23A90F49"/>
    <w:rsid w:val="23B94524"/>
    <w:rsid w:val="23DE6AB4"/>
    <w:rsid w:val="23DF26F8"/>
    <w:rsid w:val="23E376F4"/>
    <w:rsid w:val="23E435F4"/>
    <w:rsid w:val="240017A9"/>
    <w:rsid w:val="240F7697"/>
    <w:rsid w:val="240F7D0C"/>
    <w:rsid w:val="24191B6D"/>
    <w:rsid w:val="241F4CFF"/>
    <w:rsid w:val="24326C9A"/>
    <w:rsid w:val="24350331"/>
    <w:rsid w:val="243F0831"/>
    <w:rsid w:val="2442268F"/>
    <w:rsid w:val="244A4BDA"/>
    <w:rsid w:val="244A62EF"/>
    <w:rsid w:val="244F016C"/>
    <w:rsid w:val="245E575A"/>
    <w:rsid w:val="24762BE2"/>
    <w:rsid w:val="247C2F8C"/>
    <w:rsid w:val="248918DB"/>
    <w:rsid w:val="248A3995"/>
    <w:rsid w:val="24910DBB"/>
    <w:rsid w:val="249C04B8"/>
    <w:rsid w:val="24A8155F"/>
    <w:rsid w:val="24AB7E6A"/>
    <w:rsid w:val="24B435FC"/>
    <w:rsid w:val="24B56479"/>
    <w:rsid w:val="24B65208"/>
    <w:rsid w:val="24C1483B"/>
    <w:rsid w:val="24DA6C5D"/>
    <w:rsid w:val="24E5246D"/>
    <w:rsid w:val="24F77136"/>
    <w:rsid w:val="24F926D6"/>
    <w:rsid w:val="24FB4AA6"/>
    <w:rsid w:val="24FF072E"/>
    <w:rsid w:val="2506062A"/>
    <w:rsid w:val="250B45E3"/>
    <w:rsid w:val="250C3768"/>
    <w:rsid w:val="250D19C4"/>
    <w:rsid w:val="25104CED"/>
    <w:rsid w:val="251F50B6"/>
    <w:rsid w:val="251F7313"/>
    <w:rsid w:val="25214EC5"/>
    <w:rsid w:val="25356215"/>
    <w:rsid w:val="253D5908"/>
    <w:rsid w:val="253E4EB8"/>
    <w:rsid w:val="254259BE"/>
    <w:rsid w:val="25475A10"/>
    <w:rsid w:val="254E5194"/>
    <w:rsid w:val="255B2CE1"/>
    <w:rsid w:val="2570006F"/>
    <w:rsid w:val="2573388D"/>
    <w:rsid w:val="25750E13"/>
    <w:rsid w:val="25795D85"/>
    <w:rsid w:val="257A7984"/>
    <w:rsid w:val="25852D3A"/>
    <w:rsid w:val="25877DA6"/>
    <w:rsid w:val="258A28D8"/>
    <w:rsid w:val="258C73ED"/>
    <w:rsid w:val="2596001B"/>
    <w:rsid w:val="259D5A38"/>
    <w:rsid w:val="25A54442"/>
    <w:rsid w:val="25A700B4"/>
    <w:rsid w:val="25AE3E6B"/>
    <w:rsid w:val="25D243B8"/>
    <w:rsid w:val="25D35142"/>
    <w:rsid w:val="25DB3901"/>
    <w:rsid w:val="25DE0409"/>
    <w:rsid w:val="25E85E8C"/>
    <w:rsid w:val="25EA7E5B"/>
    <w:rsid w:val="25EC0B94"/>
    <w:rsid w:val="25EC255B"/>
    <w:rsid w:val="260C149D"/>
    <w:rsid w:val="260C450C"/>
    <w:rsid w:val="260E42FC"/>
    <w:rsid w:val="2611570F"/>
    <w:rsid w:val="26116C36"/>
    <w:rsid w:val="26312B13"/>
    <w:rsid w:val="2636240B"/>
    <w:rsid w:val="263A32E1"/>
    <w:rsid w:val="26422DEE"/>
    <w:rsid w:val="264800CB"/>
    <w:rsid w:val="26480C02"/>
    <w:rsid w:val="264E477A"/>
    <w:rsid w:val="264E5128"/>
    <w:rsid w:val="26643C21"/>
    <w:rsid w:val="26670492"/>
    <w:rsid w:val="266A61D3"/>
    <w:rsid w:val="266C76FD"/>
    <w:rsid w:val="26814B3C"/>
    <w:rsid w:val="26885582"/>
    <w:rsid w:val="268859D6"/>
    <w:rsid w:val="26921B31"/>
    <w:rsid w:val="26966393"/>
    <w:rsid w:val="26A45D9B"/>
    <w:rsid w:val="26B13361"/>
    <w:rsid w:val="26B22D40"/>
    <w:rsid w:val="26B24E53"/>
    <w:rsid w:val="26C01D3B"/>
    <w:rsid w:val="26C23388"/>
    <w:rsid w:val="26C35053"/>
    <w:rsid w:val="26CA052E"/>
    <w:rsid w:val="26CB7008"/>
    <w:rsid w:val="26DD2484"/>
    <w:rsid w:val="26DE17D2"/>
    <w:rsid w:val="26E40F00"/>
    <w:rsid w:val="26F15661"/>
    <w:rsid w:val="26FB070A"/>
    <w:rsid w:val="26FB22DC"/>
    <w:rsid w:val="26FB29FD"/>
    <w:rsid w:val="26FD5D99"/>
    <w:rsid w:val="27126950"/>
    <w:rsid w:val="27140544"/>
    <w:rsid w:val="271D2FC6"/>
    <w:rsid w:val="271F305F"/>
    <w:rsid w:val="272112FA"/>
    <w:rsid w:val="27233857"/>
    <w:rsid w:val="272E28A9"/>
    <w:rsid w:val="274A465B"/>
    <w:rsid w:val="275325AA"/>
    <w:rsid w:val="27551BAB"/>
    <w:rsid w:val="275F5581"/>
    <w:rsid w:val="276104FF"/>
    <w:rsid w:val="27687978"/>
    <w:rsid w:val="277518A5"/>
    <w:rsid w:val="277552E8"/>
    <w:rsid w:val="27986200"/>
    <w:rsid w:val="2799422F"/>
    <w:rsid w:val="27A16FA0"/>
    <w:rsid w:val="27AC4189"/>
    <w:rsid w:val="27AC6A5C"/>
    <w:rsid w:val="27CC321E"/>
    <w:rsid w:val="27D96ECD"/>
    <w:rsid w:val="27E071C8"/>
    <w:rsid w:val="27F03E81"/>
    <w:rsid w:val="27FB390B"/>
    <w:rsid w:val="280169B6"/>
    <w:rsid w:val="281727B1"/>
    <w:rsid w:val="282550D7"/>
    <w:rsid w:val="282F6D48"/>
    <w:rsid w:val="283B1498"/>
    <w:rsid w:val="283E4D8F"/>
    <w:rsid w:val="28466F9B"/>
    <w:rsid w:val="28487278"/>
    <w:rsid w:val="285A2931"/>
    <w:rsid w:val="28742196"/>
    <w:rsid w:val="28924B1A"/>
    <w:rsid w:val="289A574B"/>
    <w:rsid w:val="289C336E"/>
    <w:rsid w:val="28A414BA"/>
    <w:rsid w:val="28A9684F"/>
    <w:rsid w:val="28AC12D1"/>
    <w:rsid w:val="28AC402B"/>
    <w:rsid w:val="28BB13ED"/>
    <w:rsid w:val="28BF003E"/>
    <w:rsid w:val="28C60E4D"/>
    <w:rsid w:val="28D224CB"/>
    <w:rsid w:val="28D73B03"/>
    <w:rsid w:val="28DC4370"/>
    <w:rsid w:val="28DF1222"/>
    <w:rsid w:val="28DF2A1D"/>
    <w:rsid w:val="28E01E65"/>
    <w:rsid w:val="28F374BB"/>
    <w:rsid w:val="28F447B9"/>
    <w:rsid w:val="28F4609C"/>
    <w:rsid w:val="2920681E"/>
    <w:rsid w:val="2926391D"/>
    <w:rsid w:val="29290FDC"/>
    <w:rsid w:val="292B0AD7"/>
    <w:rsid w:val="292F2AD1"/>
    <w:rsid w:val="293C4030"/>
    <w:rsid w:val="293F61C3"/>
    <w:rsid w:val="2947700D"/>
    <w:rsid w:val="294B312F"/>
    <w:rsid w:val="296404F4"/>
    <w:rsid w:val="296C4E64"/>
    <w:rsid w:val="2984225E"/>
    <w:rsid w:val="2984650E"/>
    <w:rsid w:val="29880213"/>
    <w:rsid w:val="29892EEA"/>
    <w:rsid w:val="298B2315"/>
    <w:rsid w:val="298C3D3A"/>
    <w:rsid w:val="2994263C"/>
    <w:rsid w:val="29944D8D"/>
    <w:rsid w:val="2995173A"/>
    <w:rsid w:val="29997804"/>
    <w:rsid w:val="299B3E91"/>
    <w:rsid w:val="29A75E9D"/>
    <w:rsid w:val="29AE1465"/>
    <w:rsid w:val="29B81D76"/>
    <w:rsid w:val="29BB085A"/>
    <w:rsid w:val="29CC71B0"/>
    <w:rsid w:val="29E540D0"/>
    <w:rsid w:val="29E80DF6"/>
    <w:rsid w:val="29EF5AD7"/>
    <w:rsid w:val="29FD5363"/>
    <w:rsid w:val="2A07420B"/>
    <w:rsid w:val="2A104A84"/>
    <w:rsid w:val="2A110C9D"/>
    <w:rsid w:val="2A2A6A1E"/>
    <w:rsid w:val="2A3B4C46"/>
    <w:rsid w:val="2A3F0990"/>
    <w:rsid w:val="2A457D28"/>
    <w:rsid w:val="2A513FCD"/>
    <w:rsid w:val="2A517FBC"/>
    <w:rsid w:val="2A573C73"/>
    <w:rsid w:val="2A576D04"/>
    <w:rsid w:val="2A5C5CF9"/>
    <w:rsid w:val="2A612147"/>
    <w:rsid w:val="2A765901"/>
    <w:rsid w:val="2A7C4089"/>
    <w:rsid w:val="2A7F1C01"/>
    <w:rsid w:val="2A831D4B"/>
    <w:rsid w:val="2A832E8D"/>
    <w:rsid w:val="2A8A7983"/>
    <w:rsid w:val="2A9A6F42"/>
    <w:rsid w:val="2A9C0537"/>
    <w:rsid w:val="2A9C467E"/>
    <w:rsid w:val="2AA00295"/>
    <w:rsid w:val="2AAB27A2"/>
    <w:rsid w:val="2AAC300B"/>
    <w:rsid w:val="2AB03228"/>
    <w:rsid w:val="2AB15B05"/>
    <w:rsid w:val="2AB27BE5"/>
    <w:rsid w:val="2ADD7714"/>
    <w:rsid w:val="2AEE4028"/>
    <w:rsid w:val="2B042009"/>
    <w:rsid w:val="2B051122"/>
    <w:rsid w:val="2B0B180E"/>
    <w:rsid w:val="2B0D7547"/>
    <w:rsid w:val="2B0E3C25"/>
    <w:rsid w:val="2B13398A"/>
    <w:rsid w:val="2B2C1619"/>
    <w:rsid w:val="2B514772"/>
    <w:rsid w:val="2B541766"/>
    <w:rsid w:val="2B5A47B8"/>
    <w:rsid w:val="2B6E1488"/>
    <w:rsid w:val="2B6F1129"/>
    <w:rsid w:val="2B7B62B2"/>
    <w:rsid w:val="2B8E0847"/>
    <w:rsid w:val="2B9468B1"/>
    <w:rsid w:val="2B9972AD"/>
    <w:rsid w:val="2B9F442A"/>
    <w:rsid w:val="2BA80362"/>
    <w:rsid w:val="2BAF581A"/>
    <w:rsid w:val="2BC27724"/>
    <w:rsid w:val="2BC55335"/>
    <w:rsid w:val="2BD00A08"/>
    <w:rsid w:val="2BD26452"/>
    <w:rsid w:val="2BE41E51"/>
    <w:rsid w:val="2BEE3B5E"/>
    <w:rsid w:val="2BF948A5"/>
    <w:rsid w:val="2C0654AF"/>
    <w:rsid w:val="2C185946"/>
    <w:rsid w:val="2C1C5108"/>
    <w:rsid w:val="2C1E65FA"/>
    <w:rsid w:val="2C2138AE"/>
    <w:rsid w:val="2C237907"/>
    <w:rsid w:val="2C24184E"/>
    <w:rsid w:val="2C3008CE"/>
    <w:rsid w:val="2C367DBA"/>
    <w:rsid w:val="2C380136"/>
    <w:rsid w:val="2C3D52E4"/>
    <w:rsid w:val="2C446D9A"/>
    <w:rsid w:val="2C4F29FB"/>
    <w:rsid w:val="2C50434B"/>
    <w:rsid w:val="2C5C7257"/>
    <w:rsid w:val="2C8147CD"/>
    <w:rsid w:val="2C942216"/>
    <w:rsid w:val="2C9969CB"/>
    <w:rsid w:val="2CA04A81"/>
    <w:rsid w:val="2CA32ECE"/>
    <w:rsid w:val="2CB04CD5"/>
    <w:rsid w:val="2CB16099"/>
    <w:rsid w:val="2CBA3001"/>
    <w:rsid w:val="2CC021D2"/>
    <w:rsid w:val="2CC05D2E"/>
    <w:rsid w:val="2CC1293D"/>
    <w:rsid w:val="2CC214F7"/>
    <w:rsid w:val="2CC417A3"/>
    <w:rsid w:val="2CDB44EA"/>
    <w:rsid w:val="2CDE7F46"/>
    <w:rsid w:val="2CF529AD"/>
    <w:rsid w:val="2CF52D6A"/>
    <w:rsid w:val="2CFA7012"/>
    <w:rsid w:val="2CFB75FE"/>
    <w:rsid w:val="2CFF6D20"/>
    <w:rsid w:val="2D0563D6"/>
    <w:rsid w:val="2D206078"/>
    <w:rsid w:val="2D212DA8"/>
    <w:rsid w:val="2D274AC1"/>
    <w:rsid w:val="2D481614"/>
    <w:rsid w:val="2D5B0713"/>
    <w:rsid w:val="2D68785E"/>
    <w:rsid w:val="2D69385B"/>
    <w:rsid w:val="2D782D96"/>
    <w:rsid w:val="2D7B78DA"/>
    <w:rsid w:val="2D827F43"/>
    <w:rsid w:val="2D8C7E9F"/>
    <w:rsid w:val="2D9A5DDF"/>
    <w:rsid w:val="2D9C2BB3"/>
    <w:rsid w:val="2D9C6B95"/>
    <w:rsid w:val="2D9E1B4F"/>
    <w:rsid w:val="2DA320CF"/>
    <w:rsid w:val="2DAC3DE5"/>
    <w:rsid w:val="2DB61855"/>
    <w:rsid w:val="2DBF21E5"/>
    <w:rsid w:val="2DC42FA5"/>
    <w:rsid w:val="2DC61973"/>
    <w:rsid w:val="2DD44DB9"/>
    <w:rsid w:val="2DD802FA"/>
    <w:rsid w:val="2DD95E7C"/>
    <w:rsid w:val="2DDA24A7"/>
    <w:rsid w:val="2DF536B7"/>
    <w:rsid w:val="2E026FEF"/>
    <w:rsid w:val="2E046E9B"/>
    <w:rsid w:val="2E052776"/>
    <w:rsid w:val="2E0F6209"/>
    <w:rsid w:val="2E140091"/>
    <w:rsid w:val="2E154E65"/>
    <w:rsid w:val="2E1C2BAF"/>
    <w:rsid w:val="2E2973E4"/>
    <w:rsid w:val="2E38082D"/>
    <w:rsid w:val="2E39178D"/>
    <w:rsid w:val="2E3B0766"/>
    <w:rsid w:val="2E4329A3"/>
    <w:rsid w:val="2E4D5AC4"/>
    <w:rsid w:val="2E5446F5"/>
    <w:rsid w:val="2E55326F"/>
    <w:rsid w:val="2E57599E"/>
    <w:rsid w:val="2E5E4077"/>
    <w:rsid w:val="2E6C410A"/>
    <w:rsid w:val="2E6D66FA"/>
    <w:rsid w:val="2E9B23CA"/>
    <w:rsid w:val="2E9D1191"/>
    <w:rsid w:val="2EAB4125"/>
    <w:rsid w:val="2EB7029D"/>
    <w:rsid w:val="2ED1140B"/>
    <w:rsid w:val="2ED14CFA"/>
    <w:rsid w:val="2ED95ADD"/>
    <w:rsid w:val="2EE003AD"/>
    <w:rsid w:val="2EE44692"/>
    <w:rsid w:val="2EEA2BD4"/>
    <w:rsid w:val="2EF44310"/>
    <w:rsid w:val="2EF56552"/>
    <w:rsid w:val="2F052A54"/>
    <w:rsid w:val="2F060316"/>
    <w:rsid w:val="2F0C60A0"/>
    <w:rsid w:val="2F187673"/>
    <w:rsid w:val="2F444AEC"/>
    <w:rsid w:val="2F4F0D92"/>
    <w:rsid w:val="2F500D2F"/>
    <w:rsid w:val="2F504D36"/>
    <w:rsid w:val="2F5536FD"/>
    <w:rsid w:val="2F5C44F2"/>
    <w:rsid w:val="2F5F57DB"/>
    <w:rsid w:val="2F63004F"/>
    <w:rsid w:val="2F63117A"/>
    <w:rsid w:val="2F66424D"/>
    <w:rsid w:val="2F763B7F"/>
    <w:rsid w:val="2F8440B2"/>
    <w:rsid w:val="2F991AB0"/>
    <w:rsid w:val="2F9A2EC3"/>
    <w:rsid w:val="2F9F1996"/>
    <w:rsid w:val="2FB56E7C"/>
    <w:rsid w:val="2FBD2AAB"/>
    <w:rsid w:val="2FD617B4"/>
    <w:rsid w:val="2FD746F5"/>
    <w:rsid w:val="2FE25A0F"/>
    <w:rsid w:val="2FE3448E"/>
    <w:rsid w:val="2FED7182"/>
    <w:rsid w:val="2FEF5F21"/>
    <w:rsid w:val="2FF667A8"/>
    <w:rsid w:val="2FFC6A2F"/>
    <w:rsid w:val="2FFF3A09"/>
    <w:rsid w:val="30024DDB"/>
    <w:rsid w:val="30077A78"/>
    <w:rsid w:val="300D61CA"/>
    <w:rsid w:val="30163B71"/>
    <w:rsid w:val="302139E1"/>
    <w:rsid w:val="302855A0"/>
    <w:rsid w:val="3029509E"/>
    <w:rsid w:val="30352EFF"/>
    <w:rsid w:val="304157F5"/>
    <w:rsid w:val="304938FC"/>
    <w:rsid w:val="304A7ADE"/>
    <w:rsid w:val="305A6479"/>
    <w:rsid w:val="306A18C9"/>
    <w:rsid w:val="307922FA"/>
    <w:rsid w:val="307F5521"/>
    <w:rsid w:val="30862B85"/>
    <w:rsid w:val="309303A5"/>
    <w:rsid w:val="309A496B"/>
    <w:rsid w:val="309B379F"/>
    <w:rsid w:val="309B4893"/>
    <w:rsid w:val="309D6F18"/>
    <w:rsid w:val="30A40D47"/>
    <w:rsid w:val="30AA1248"/>
    <w:rsid w:val="30B55873"/>
    <w:rsid w:val="30C150EB"/>
    <w:rsid w:val="30CC7348"/>
    <w:rsid w:val="30D166F2"/>
    <w:rsid w:val="30D273D3"/>
    <w:rsid w:val="30D2799A"/>
    <w:rsid w:val="30D74FC9"/>
    <w:rsid w:val="30DA3714"/>
    <w:rsid w:val="30EA29C2"/>
    <w:rsid w:val="30F03440"/>
    <w:rsid w:val="30F66654"/>
    <w:rsid w:val="30F93DEF"/>
    <w:rsid w:val="30FB6DA9"/>
    <w:rsid w:val="30FC4017"/>
    <w:rsid w:val="30FF7EB9"/>
    <w:rsid w:val="310978F0"/>
    <w:rsid w:val="31241018"/>
    <w:rsid w:val="312D2960"/>
    <w:rsid w:val="313066DB"/>
    <w:rsid w:val="313D0F63"/>
    <w:rsid w:val="313E728D"/>
    <w:rsid w:val="314B760D"/>
    <w:rsid w:val="31527C2F"/>
    <w:rsid w:val="3154232A"/>
    <w:rsid w:val="31552586"/>
    <w:rsid w:val="31572133"/>
    <w:rsid w:val="31612A36"/>
    <w:rsid w:val="31713A23"/>
    <w:rsid w:val="31882164"/>
    <w:rsid w:val="31965501"/>
    <w:rsid w:val="319B289B"/>
    <w:rsid w:val="31A939D2"/>
    <w:rsid w:val="31BD601B"/>
    <w:rsid w:val="31BE417A"/>
    <w:rsid w:val="31D460FD"/>
    <w:rsid w:val="31D81275"/>
    <w:rsid w:val="31DD6521"/>
    <w:rsid w:val="31F355D8"/>
    <w:rsid w:val="31F41CBE"/>
    <w:rsid w:val="31FB1A1D"/>
    <w:rsid w:val="320C539D"/>
    <w:rsid w:val="321A5DC1"/>
    <w:rsid w:val="32267CAB"/>
    <w:rsid w:val="323C36B5"/>
    <w:rsid w:val="32401BA8"/>
    <w:rsid w:val="324027AC"/>
    <w:rsid w:val="324E000B"/>
    <w:rsid w:val="325727F3"/>
    <w:rsid w:val="32691604"/>
    <w:rsid w:val="32815757"/>
    <w:rsid w:val="32851B78"/>
    <w:rsid w:val="329127C6"/>
    <w:rsid w:val="32912BB8"/>
    <w:rsid w:val="32936452"/>
    <w:rsid w:val="3295304B"/>
    <w:rsid w:val="329838B0"/>
    <w:rsid w:val="32995A79"/>
    <w:rsid w:val="329C7B98"/>
    <w:rsid w:val="329E5298"/>
    <w:rsid w:val="32A87D71"/>
    <w:rsid w:val="32B153DF"/>
    <w:rsid w:val="32C25C72"/>
    <w:rsid w:val="32D43F3C"/>
    <w:rsid w:val="32E22647"/>
    <w:rsid w:val="32E4318A"/>
    <w:rsid w:val="32E432F6"/>
    <w:rsid w:val="32E8791D"/>
    <w:rsid w:val="32F07EF7"/>
    <w:rsid w:val="330975CF"/>
    <w:rsid w:val="33123C76"/>
    <w:rsid w:val="33176081"/>
    <w:rsid w:val="331C4848"/>
    <w:rsid w:val="332C2A29"/>
    <w:rsid w:val="332F5335"/>
    <w:rsid w:val="33392570"/>
    <w:rsid w:val="333E514D"/>
    <w:rsid w:val="33524055"/>
    <w:rsid w:val="3353792E"/>
    <w:rsid w:val="33582712"/>
    <w:rsid w:val="33610838"/>
    <w:rsid w:val="33620D2C"/>
    <w:rsid w:val="3362331E"/>
    <w:rsid w:val="3366147F"/>
    <w:rsid w:val="33791116"/>
    <w:rsid w:val="338663EA"/>
    <w:rsid w:val="33942F21"/>
    <w:rsid w:val="33A97D7E"/>
    <w:rsid w:val="33AC31E4"/>
    <w:rsid w:val="33B30E84"/>
    <w:rsid w:val="33C50111"/>
    <w:rsid w:val="33DB7D46"/>
    <w:rsid w:val="340272DD"/>
    <w:rsid w:val="3408498F"/>
    <w:rsid w:val="341D1C9A"/>
    <w:rsid w:val="341E67CA"/>
    <w:rsid w:val="342D5F48"/>
    <w:rsid w:val="343836FC"/>
    <w:rsid w:val="3439671A"/>
    <w:rsid w:val="34433B0F"/>
    <w:rsid w:val="34445AB9"/>
    <w:rsid w:val="344537CF"/>
    <w:rsid w:val="346A5AAE"/>
    <w:rsid w:val="346E2923"/>
    <w:rsid w:val="347764F8"/>
    <w:rsid w:val="34793164"/>
    <w:rsid w:val="348677F0"/>
    <w:rsid w:val="34884765"/>
    <w:rsid w:val="34923977"/>
    <w:rsid w:val="349422C6"/>
    <w:rsid w:val="349529FD"/>
    <w:rsid w:val="34AD307F"/>
    <w:rsid w:val="34B725D0"/>
    <w:rsid w:val="34BF0CA8"/>
    <w:rsid w:val="34D11ED3"/>
    <w:rsid w:val="34D26C1A"/>
    <w:rsid w:val="34EF1C05"/>
    <w:rsid w:val="34F5010C"/>
    <w:rsid w:val="34F84A58"/>
    <w:rsid w:val="34FB0AE8"/>
    <w:rsid w:val="34FC2E32"/>
    <w:rsid w:val="35003C2B"/>
    <w:rsid w:val="350757B4"/>
    <w:rsid w:val="351521D8"/>
    <w:rsid w:val="351624A2"/>
    <w:rsid w:val="351A2266"/>
    <w:rsid w:val="351B0607"/>
    <w:rsid w:val="352B5179"/>
    <w:rsid w:val="352C09E4"/>
    <w:rsid w:val="3531407B"/>
    <w:rsid w:val="35393550"/>
    <w:rsid w:val="353C29B8"/>
    <w:rsid w:val="353F357C"/>
    <w:rsid w:val="35411041"/>
    <w:rsid w:val="35414318"/>
    <w:rsid w:val="3547537F"/>
    <w:rsid w:val="354A6314"/>
    <w:rsid w:val="35540B6E"/>
    <w:rsid w:val="355C5F0A"/>
    <w:rsid w:val="355F640E"/>
    <w:rsid w:val="356A74D2"/>
    <w:rsid w:val="35826A93"/>
    <w:rsid w:val="35923647"/>
    <w:rsid w:val="3598119A"/>
    <w:rsid w:val="359E43A4"/>
    <w:rsid w:val="35BB7842"/>
    <w:rsid w:val="35D965EF"/>
    <w:rsid w:val="35DC0E45"/>
    <w:rsid w:val="35E9348C"/>
    <w:rsid w:val="35EE4278"/>
    <w:rsid w:val="35EE527C"/>
    <w:rsid w:val="35F5261A"/>
    <w:rsid w:val="35F83F7C"/>
    <w:rsid w:val="36031EEB"/>
    <w:rsid w:val="36035319"/>
    <w:rsid w:val="361362E0"/>
    <w:rsid w:val="3619063A"/>
    <w:rsid w:val="361D07E1"/>
    <w:rsid w:val="36460DA9"/>
    <w:rsid w:val="36480F83"/>
    <w:rsid w:val="365D4496"/>
    <w:rsid w:val="366700A6"/>
    <w:rsid w:val="3667118C"/>
    <w:rsid w:val="3667232B"/>
    <w:rsid w:val="367F41F6"/>
    <w:rsid w:val="36913AAB"/>
    <w:rsid w:val="369623CE"/>
    <w:rsid w:val="36BB70A8"/>
    <w:rsid w:val="36BD59CA"/>
    <w:rsid w:val="36BF3675"/>
    <w:rsid w:val="36C825FC"/>
    <w:rsid w:val="36CB5EAE"/>
    <w:rsid w:val="36D24B09"/>
    <w:rsid w:val="36DA1F30"/>
    <w:rsid w:val="36E3383D"/>
    <w:rsid w:val="36E3520E"/>
    <w:rsid w:val="36E466FE"/>
    <w:rsid w:val="36E762C8"/>
    <w:rsid w:val="36EA63E1"/>
    <w:rsid w:val="36F611C2"/>
    <w:rsid w:val="370A7332"/>
    <w:rsid w:val="371634F8"/>
    <w:rsid w:val="37176E10"/>
    <w:rsid w:val="37214B35"/>
    <w:rsid w:val="37244259"/>
    <w:rsid w:val="37250D1E"/>
    <w:rsid w:val="372659B7"/>
    <w:rsid w:val="37321F4F"/>
    <w:rsid w:val="373377C5"/>
    <w:rsid w:val="37344078"/>
    <w:rsid w:val="373834D4"/>
    <w:rsid w:val="374055AA"/>
    <w:rsid w:val="37521FE5"/>
    <w:rsid w:val="375A2C02"/>
    <w:rsid w:val="375E3143"/>
    <w:rsid w:val="37605296"/>
    <w:rsid w:val="376171A5"/>
    <w:rsid w:val="377337F0"/>
    <w:rsid w:val="377A24AB"/>
    <w:rsid w:val="378221EC"/>
    <w:rsid w:val="37832195"/>
    <w:rsid w:val="3797644E"/>
    <w:rsid w:val="379B4F6E"/>
    <w:rsid w:val="379D695E"/>
    <w:rsid w:val="379D769B"/>
    <w:rsid w:val="37B80C53"/>
    <w:rsid w:val="37B845C4"/>
    <w:rsid w:val="37B94019"/>
    <w:rsid w:val="37D22935"/>
    <w:rsid w:val="37D51E76"/>
    <w:rsid w:val="37DE1C0B"/>
    <w:rsid w:val="37EA752C"/>
    <w:rsid w:val="37EB7CBC"/>
    <w:rsid w:val="37FE230E"/>
    <w:rsid w:val="37FE4D70"/>
    <w:rsid w:val="37FF6285"/>
    <w:rsid w:val="38086698"/>
    <w:rsid w:val="380D606D"/>
    <w:rsid w:val="380F22E0"/>
    <w:rsid w:val="380F5BF5"/>
    <w:rsid w:val="38185F78"/>
    <w:rsid w:val="381B52FB"/>
    <w:rsid w:val="381E4054"/>
    <w:rsid w:val="38204FE5"/>
    <w:rsid w:val="382C01BC"/>
    <w:rsid w:val="383D380C"/>
    <w:rsid w:val="383F050C"/>
    <w:rsid w:val="383F5399"/>
    <w:rsid w:val="384647D6"/>
    <w:rsid w:val="3847491B"/>
    <w:rsid w:val="384A517B"/>
    <w:rsid w:val="384C100C"/>
    <w:rsid w:val="385255A5"/>
    <w:rsid w:val="385853EF"/>
    <w:rsid w:val="385C0827"/>
    <w:rsid w:val="3861363C"/>
    <w:rsid w:val="38770200"/>
    <w:rsid w:val="387E0D68"/>
    <w:rsid w:val="38845761"/>
    <w:rsid w:val="388709C7"/>
    <w:rsid w:val="38A964E1"/>
    <w:rsid w:val="38B10395"/>
    <w:rsid w:val="38B36637"/>
    <w:rsid w:val="38CC10D6"/>
    <w:rsid w:val="38D718C3"/>
    <w:rsid w:val="38E66D15"/>
    <w:rsid w:val="38EE2F50"/>
    <w:rsid w:val="38F429ED"/>
    <w:rsid w:val="38F66C2F"/>
    <w:rsid w:val="38F7553E"/>
    <w:rsid w:val="38F77230"/>
    <w:rsid w:val="38FF4901"/>
    <w:rsid w:val="3907779F"/>
    <w:rsid w:val="39095D46"/>
    <w:rsid w:val="390F06D7"/>
    <w:rsid w:val="39223FE7"/>
    <w:rsid w:val="39257ED0"/>
    <w:rsid w:val="3926368C"/>
    <w:rsid w:val="392830AB"/>
    <w:rsid w:val="3929025F"/>
    <w:rsid w:val="392A17D4"/>
    <w:rsid w:val="39344071"/>
    <w:rsid w:val="393C5E14"/>
    <w:rsid w:val="39427D2C"/>
    <w:rsid w:val="394F7649"/>
    <w:rsid w:val="395152D6"/>
    <w:rsid w:val="395261B4"/>
    <w:rsid w:val="39567F4C"/>
    <w:rsid w:val="39572370"/>
    <w:rsid w:val="395D752C"/>
    <w:rsid w:val="396231B9"/>
    <w:rsid w:val="39655A5D"/>
    <w:rsid w:val="396A17F5"/>
    <w:rsid w:val="396E39A6"/>
    <w:rsid w:val="396E403C"/>
    <w:rsid w:val="397142F8"/>
    <w:rsid w:val="397D65D3"/>
    <w:rsid w:val="39864213"/>
    <w:rsid w:val="398964F9"/>
    <w:rsid w:val="398B35D0"/>
    <w:rsid w:val="398C5396"/>
    <w:rsid w:val="399B64A7"/>
    <w:rsid w:val="399C7244"/>
    <w:rsid w:val="39A85574"/>
    <w:rsid w:val="39B74394"/>
    <w:rsid w:val="39CE19B7"/>
    <w:rsid w:val="39DE546B"/>
    <w:rsid w:val="39EC1D33"/>
    <w:rsid w:val="39EE611F"/>
    <w:rsid w:val="3A1505C2"/>
    <w:rsid w:val="3A17523E"/>
    <w:rsid w:val="3A2564CA"/>
    <w:rsid w:val="3A27515D"/>
    <w:rsid w:val="3A297C43"/>
    <w:rsid w:val="3A4379CD"/>
    <w:rsid w:val="3A49061C"/>
    <w:rsid w:val="3A4E32DF"/>
    <w:rsid w:val="3A624094"/>
    <w:rsid w:val="3A644FCD"/>
    <w:rsid w:val="3A6E1CFE"/>
    <w:rsid w:val="3A6F51D8"/>
    <w:rsid w:val="3A782B8D"/>
    <w:rsid w:val="3A8151EF"/>
    <w:rsid w:val="3A843C85"/>
    <w:rsid w:val="3A876A2E"/>
    <w:rsid w:val="3A934760"/>
    <w:rsid w:val="3A970E4E"/>
    <w:rsid w:val="3A9A7B6A"/>
    <w:rsid w:val="3AA04A0C"/>
    <w:rsid w:val="3AA55743"/>
    <w:rsid w:val="3AA7666B"/>
    <w:rsid w:val="3AC250B9"/>
    <w:rsid w:val="3AC403D5"/>
    <w:rsid w:val="3AC5357D"/>
    <w:rsid w:val="3AE55E36"/>
    <w:rsid w:val="3AFF366D"/>
    <w:rsid w:val="3B042081"/>
    <w:rsid w:val="3B0A4132"/>
    <w:rsid w:val="3B121E70"/>
    <w:rsid w:val="3B197EE6"/>
    <w:rsid w:val="3B205139"/>
    <w:rsid w:val="3B2A46DA"/>
    <w:rsid w:val="3B3F5A00"/>
    <w:rsid w:val="3B40610A"/>
    <w:rsid w:val="3B4B5016"/>
    <w:rsid w:val="3B542972"/>
    <w:rsid w:val="3B5C4DEF"/>
    <w:rsid w:val="3B5F1C60"/>
    <w:rsid w:val="3B673F0B"/>
    <w:rsid w:val="3B772BB6"/>
    <w:rsid w:val="3B7D4446"/>
    <w:rsid w:val="3B7D447C"/>
    <w:rsid w:val="3B871888"/>
    <w:rsid w:val="3B8B1D62"/>
    <w:rsid w:val="3B97071B"/>
    <w:rsid w:val="3B9A2928"/>
    <w:rsid w:val="3B9E2FC2"/>
    <w:rsid w:val="3BBB2BE3"/>
    <w:rsid w:val="3BBD7F7B"/>
    <w:rsid w:val="3BD0542B"/>
    <w:rsid w:val="3BD92BDA"/>
    <w:rsid w:val="3BE63831"/>
    <w:rsid w:val="3BF051F1"/>
    <w:rsid w:val="3C007C2B"/>
    <w:rsid w:val="3C02733B"/>
    <w:rsid w:val="3C06075F"/>
    <w:rsid w:val="3C0F7B92"/>
    <w:rsid w:val="3C152192"/>
    <w:rsid w:val="3C21749D"/>
    <w:rsid w:val="3C222C28"/>
    <w:rsid w:val="3C22616E"/>
    <w:rsid w:val="3C234D06"/>
    <w:rsid w:val="3C261BFE"/>
    <w:rsid w:val="3C2F68F7"/>
    <w:rsid w:val="3C383CB8"/>
    <w:rsid w:val="3C3B5507"/>
    <w:rsid w:val="3C401F0E"/>
    <w:rsid w:val="3C480549"/>
    <w:rsid w:val="3C535AFF"/>
    <w:rsid w:val="3C5361B1"/>
    <w:rsid w:val="3C5D61B0"/>
    <w:rsid w:val="3C6319BB"/>
    <w:rsid w:val="3C70617B"/>
    <w:rsid w:val="3C753715"/>
    <w:rsid w:val="3C7E0AF9"/>
    <w:rsid w:val="3C933449"/>
    <w:rsid w:val="3CA716EC"/>
    <w:rsid w:val="3CAF1FFE"/>
    <w:rsid w:val="3CCD5D36"/>
    <w:rsid w:val="3CCF15FF"/>
    <w:rsid w:val="3CF17CD1"/>
    <w:rsid w:val="3CFE4811"/>
    <w:rsid w:val="3D0F5379"/>
    <w:rsid w:val="3D1D4388"/>
    <w:rsid w:val="3D244F4C"/>
    <w:rsid w:val="3D2E763A"/>
    <w:rsid w:val="3D3322D9"/>
    <w:rsid w:val="3D410737"/>
    <w:rsid w:val="3D4D1C48"/>
    <w:rsid w:val="3D5301EF"/>
    <w:rsid w:val="3D550A03"/>
    <w:rsid w:val="3D567C5B"/>
    <w:rsid w:val="3D5C3CBE"/>
    <w:rsid w:val="3D645524"/>
    <w:rsid w:val="3D647D7B"/>
    <w:rsid w:val="3D6C05CF"/>
    <w:rsid w:val="3D6E0ACC"/>
    <w:rsid w:val="3D76332E"/>
    <w:rsid w:val="3D7E5039"/>
    <w:rsid w:val="3D8903EA"/>
    <w:rsid w:val="3D941C6D"/>
    <w:rsid w:val="3D9515DB"/>
    <w:rsid w:val="3D981F5C"/>
    <w:rsid w:val="3DA25807"/>
    <w:rsid w:val="3DA97636"/>
    <w:rsid w:val="3DB54D0B"/>
    <w:rsid w:val="3DBD2920"/>
    <w:rsid w:val="3DC733B7"/>
    <w:rsid w:val="3DCB084C"/>
    <w:rsid w:val="3DCB2CB8"/>
    <w:rsid w:val="3DE16988"/>
    <w:rsid w:val="3DEE7B4A"/>
    <w:rsid w:val="3DEF6D20"/>
    <w:rsid w:val="3DF50D0C"/>
    <w:rsid w:val="3DFA5D2D"/>
    <w:rsid w:val="3DFF687E"/>
    <w:rsid w:val="3E057303"/>
    <w:rsid w:val="3E0574AC"/>
    <w:rsid w:val="3E0F1F9B"/>
    <w:rsid w:val="3E136C90"/>
    <w:rsid w:val="3E261925"/>
    <w:rsid w:val="3E2923FB"/>
    <w:rsid w:val="3E2A5B11"/>
    <w:rsid w:val="3E2D6382"/>
    <w:rsid w:val="3E363F52"/>
    <w:rsid w:val="3E3C7860"/>
    <w:rsid w:val="3E4342CB"/>
    <w:rsid w:val="3E45531E"/>
    <w:rsid w:val="3E46503A"/>
    <w:rsid w:val="3E4A7734"/>
    <w:rsid w:val="3E4B493F"/>
    <w:rsid w:val="3E4D49AF"/>
    <w:rsid w:val="3E5579A4"/>
    <w:rsid w:val="3E595AB2"/>
    <w:rsid w:val="3E671980"/>
    <w:rsid w:val="3E697371"/>
    <w:rsid w:val="3E7969F8"/>
    <w:rsid w:val="3E8D4A66"/>
    <w:rsid w:val="3EAA797A"/>
    <w:rsid w:val="3EAB0AAA"/>
    <w:rsid w:val="3EB036DD"/>
    <w:rsid w:val="3EB97F82"/>
    <w:rsid w:val="3EC01DB7"/>
    <w:rsid w:val="3EC81A9E"/>
    <w:rsid w:val="3ED00BA2"/>
    <w:rsid w:val="3ED11CC3"/>
    <w:rsid w:val="3EDB3916"/>
    <w:rsid w:val="3EDC49E3"/>
    <w:rsid w:val="3EE250E1"/>
    <w:rsid w:val="3EF032B3"/>
    <w:rsid w:val="3EF10ECE"/>
    <w:rsid w:val="3EF3020C"/>
    <w:rsid w:val="3EF7357A"/>
    <w:rsid w:val="3F026B41"/>
    <w:rsid w:val="3F0C081F"/>
    <w:rsid w:val="3F103E4D"/>
    <w:rsid w:val="3F164F83"/>
    <w:rsid w:val="3F1C5E1B"/>
    <w:rsid w:val="3F222812"/>
    <w:rsid w:val="3F386944"/>
    <w:rsid w:val="3F3925D6"/>
    <w:rsid w:val="3F3A615B"/>
    <w:rsid w:val="3F3E0C6B"/>
    <w:rsid w:val="3F450F2C"/>
    <w:rsid w:val="3F4B79BD"/>
    <w:rsid w:val="3F506181"/>
    <w:rsid w:val="3F5D5EA0"/>
    <w:rsid w:val="3F6975FB"/>
    <w:rsid w:val="3F6D1AC6"/>
    <w:rsid w:val="3F886D3F"/>
    <w:rsid w:val="3F8D2AC0"/>
    <w:rsid w:val="3F8F50C8"/>
    <w:rsid w:val="3F914BF6"/>
    <w:rsid w:val="3F96359D"/>
    <w:rsid w:val="3F9720D8"/>
    <w:rsid w:val="3F9871E3"/>
    <w:rsid w:val="3F9B04A8"/>
    <w:rsid w:val="3F9D7223"/>
    <w:rsid w:val="3F9F1708"/>
    <w:rsid w:val="3FA7537B"/>
    <w:rsid w:val="3FAD3DA7"/>
    <w:rsid w:val="3FB16B1A"/>
    <w:rsid w:val="3FBD729B"/>
    <w:rsid w:val="3FD22649"/>
    <w:rsid w:val="3FD37E80"/>
    <w:rsid w:val="3FD60B67"/>
    <w:rsid w:val="3FDD2995"/>
    <w:rsid w:val="3FEE37AF"/>
    <w:rsid w:val="3FF5383C"/>
    <w:rsid w:val="40023753"/>
    <w:rsid w:val="40145485"/>
    <w:rsid w:val="40171833"/>
    <w:rsid w:val="402469DF"/>
    <w:rsid w:val="402D7978"/>
    <w:rsid w:val="40334588"/>
    <w:rsid w:val="40466FB9"/>
    <w:rsid w:val="404B4B67"/>
    <w:rsid w:val="40511778"/>
    <w:rsid w:val="40550072"/>
    <w:rsid w:val="40575976"/>
    <w:rsid w:val="40611C73"/>
    <w:rsid w:val="4061529E"/>
    <w:rsid w:val="406B345F"/>
    <w:rsid w:val="407B77D6"/>
    <w:rsid w:val="407C51A6"/>
    <w:rsid w:val="40834428"/>
    <w:rsid w:val="40876D74"/>
    <w:rsid w:val="408A1B58"/>
    <w:rsid w:val="408C61CD"/>
    <w:rsid w:val="408F57F8"/>
    <w:rsid w:val="40953AF9"/>
    <w:rsid w:val="40A65BA8"/>
    <w:rsid w:val="40B57883"/>
    <w:rsid w:val="40BE34F8"/>
    <w:rsid w:val="40BF5F75"/>
    <w:rsid w:val="40CE04E3"/>
    <w:rsid w:val="40D22441"/>
    <w:rsid w:val="40D87CD1"/>
    <w:rsid w:val="40DB4A6E"/>
    <w:rsid w:val="40DE679C"/>
    <w:rsid w:val="40E268A1"/>
    <w:rsid w:val="40E857DA"/>
    <w:rsid w:val="40F31DB5"/>
    <w:rsid w:val="410810CE"/>
    <w:rsid w:val="41106DBD"/>
    <w:rsid w:val="41194740"/>
    <w:rsid w:val="412770D6"/>
    <w:rsid w:val="412B7F49"/>
    <w:rsid w:val="412D752E"/>
    <w:rsid w:val="413F22ED"/>
    <w:rsid w:val="41431D89"/>
    <w:rsid w:val="4154182F"/>
    <w:rsid w:val="4158767B"/>
    <w:rsid w:val="415C47D7"/>
    <w:rsid w:val="416924CD"/>
    <w:rsid w:val="41794491"/>
    <w:rsid w:val="41831C65"/>
    <w:rsid w:val="41940664"/>
    <w:rsid w:val="4196762F"/>
    <w:rsid w:val="419C47A7"/>
    <w:rsid w:val="419F2DE1"/>
    <w:rsid w:val="41A52580"/>
    <w:rsid w:val="41B16B6D"/>
    <w:rsid w:val="41B430E1"/>
    <w:rsid w:val="41BA4527"/>
    <w:rsid w:val="41BB20A1"/>
    <w:rsid w:val="41D7229B"/>
    <w:rsid w:val="41D9668A"/>
    <w:rsid w:val="41E7327F"/>
    <w:rsid w:val="41EE1DE1"/>
    <w:rsid w:val="41F13053"/>
    <w:rsid w:val="41F363F1"/>
    <w:rsid w:val="41F42B02"/>
    <w:rsid w:val="42044822"/>
    <w:rsid w:val="420839DF"/>
    <w:rsid w:val="420A77B0"/>
    <w:rsid w:val="420B496F"/>
    <w:rsid w:val="421A79C4"/>
    <w:rsid w:val="421F5167"/>
    <w:rsid w:val="42242FD2"/>
    <w:rsid w:val="422C19BF"/>
    <w:rsid w:val="42373F44"/>
    <w:rsid w:val="423D5CD9"/>
    <w:rsid w:val="42480344"/>
    <w:rsid w:val="424874DB"/>
    <w:rsid w:val="424B35BA"/>
    <w:rsid w:val="424C2CD7"/>
    <w:rsid w:val="425E50AF"/>
    <w:rsid w:val="42624B37"/>
    <w:rsid w:val="426975B8"/>
    <w:rsid w:val="427C56E2"/>
    <w:rsid w:val="427D109F"/>
    <w:rsid w:val="427D28BB"/>
    <w:rsid w:val="4282661B"/>
    <w:rsid w:val="428720C1"/>
    <w:rsid w:val="428B00A4"/>
    <w:rsid w:val="429C049E"/>
    <w:rsid w:val="42AE1625"/>
    <w:rsid w:val="42B71891"/>
    <w:rsid w:val="42BC0AF0"/>
    <w:rsid w:val="42C15A7C"/>
    <w:rsid w:val="42DD62E0"/>
    <w:rsid w:val="42DF68B8"/>
    <w:rsid w:val="42E150DB"/>
    <w:rsid w:val="42FF6380"/>
    <w:rsid w:val="430C7232"/>
    <w:rsid w:val="430E4C02"/>
    <w:rsid w:val="431807B5"/>
    <w:rsid w:val="43216C57"/>
    <w:rsid w:val="432809C3"/>
    <w:rsid w:val="433D056D"/>
    <w:rsid w:val="4340015F"/>
    <w:rsid w:val="435E10EE"/>
    <w:rsid w:val="436254F1"/>
    <w:rsid w:val="43706F86"/>
    <w:rsid w:val="437F0C7A"/>
    <w:rsid w:val="43847847"/>
    <w:rsid w:val="438D5A18"/>
    <w:rsid w:val="43A64163"/>
    <w:rsid w:val="43AD5A75"/>
    <w:rsid w:val="43AE2DAF"/>
    <w:rsid w:val="43AF6D27"/>
    <w:rsid w:val="43B4322F"/>
    <w:rsid w:val="43B72445"/>
    <w:rsid w:val="43CA45F8"/>
    <w:rsid w:val="43D131E2"/>
    <w:rsid w:val="43F30A10"/>
    <w:rsid w:val="43F32DE4"/>
    <w:rsid w:val="43F62FBA"/>
    <w:rsid w:val="43F90DE8"/>
    <w:rsid w:val="43FA6B5E"/>
    <w:rsid w:val="44097C08"/>
    <w:rsid w:val="44206FC1"/>
    <w:rsid w:val="44222713"/>
    <w:rsid w:val="44295E40"/>
    <w:rsid w:val="4449289F"/>
    <w:rsid w:val="444D5DEA"/>
    <w:rsid w:val="445864A3"/>
    <w:rsid w:val="445B1733"/>
    <w:rsid w:val="445B4B01"/>
    <w:rsid w:val="445E3BEE"/>
    <w:rsid w:val="44751558"/>
    <w:rsid w:val="447B7555"/>
    <w:rsid w:val="44A32EE0"/>
    <w:rsid w:val="44A40FE4"/>
    <w:rsid w:val="44AC2EF8"/>
    <w:rsid w:val="44AD129C"/>
    <w:rsid w:val="44AD1BAD"/>
    <w:rsid w:val="44B76FDB"/>
    <w:rsid w:val="44C2766E"/>
    <w:rsid w:val="44C51FC2"/>
    <w:rsid w:val="44CA3E5C"/>
    <w:rsid w:val="44FC4893"/>
    <w:rsid w:val="44FD1D24"/>
    <w:rsid w:val="45031821"/>
    <w:rsid w:val="450C0604"/>
    <w:rsid w:val="45147116"/>
    <w:rsid w:val="45163412"/>
    <w:rsid w:val="452163E1"/>
    <w:rsid w:val="45266A20"/>
    <w:rsid w:val="452961A1"/>
    <w:rsid w:val="452A3FCC"/>
    <w:rsid w:val="453A1ED6"/>
    <w:rsid w:val="453F0CC4"/>
    <w:rsid w:val="45445E92"/>
    <w:rsid w:val="454A64D6"/>
    <w:rsid w:val="454F248D"/>
    <w:rsid w:val="45591354"/>
    <w:rsid w:val="45623AAD"/>
    <w:rsid w:val="456A2998"/>
    <w:rsid w:val="456C2C6F"/>
    <w:rsid w:val="457B3640"/>
    <w:rsid w:val="458121EE"/>
    <w:rsid w:val="458C14DF"/>
    <w:rsid w:val="45904926"/>
    <w:rsid w:val="4591394D"/>
    <w:rsid w:val="45930712"/>
    <w:rsid w:val="459F6D56"/>
    <w:rsid w:val="45A04298"/>
    <w:rsid w:val="45A4650A"/>
    <w:rsid w:val="45A658C7"/>
    <w:rsid w:val="45B57C4C"/>
    <w:rsid w:val="45BA5091"/>
    <w:rsid w:val="45BC0C38"/>
    <w:rsid w:val="45CB65F0"/>
    <w:rsid w:val="45D51E8D"/>
    <w:rsid w:val="45D73265"/>
    <w:rsid w:val="45D94D31"/>
    <w:rsid w:val="45DB770F"/>
    <w:rsid w:val="45F227CB"/>
    <w:rsid w:val="45F9608D"/>
    <w:rsid w:val="4601719E"/>
    <w:rsid w:val="46291E5E"/>
    <w:rsid w:val="462C76CB"/>
    <w:rsid w:val="463C5A92"/>
    <w:rsid w:val="4641783A"/>
    <w:rsid w:val="46470DFF"/>
    <w:rsid w:val="464A7578"/>
    <w:rsid w:val="464B2F75"/>
    <w:rsid w:val="465121DA"/>
    <w:rsid w:val="46695557"/>
    <w:rsid w:val="466A626A"/>
    <w:rsid w:val="4673080F"/>
    <w:rsid w:val="46773BDC"/>
    <w:rsid w:val="467A1065"/>
    <w:rsid w:val="468631A2"/>
    <w:rsid w:val="468B6A22"/>
    <w:rsid w:val="46915124"/>
    <w:rsid w:val="46961EB1"/>
    <w:rsid w:val="46975FD7"/>
    <w:rsid w:val="4698026B"/>
    <w:rsid w:val="46A97404"/>
    <w:rsid w:val="46B002C3"/>
    <w:rsid w:val="46B135CD"/>
    <w:rsid w:val="46B725EC"/>
    <w:rsid w:val="46CE1F91"/>
    <w:rsid w:val="46D12610"/>
    <w:rsid w:val="46DA6F56"/>
    <w:rsid w:val="4701144C"/>
    <w:rsid w:val="470646BD"/>
    <w:rsid w:val="470708CB"/>
    <w:rsid w:val="471378AD"/>
    <w:rsid w:val="47231EB1"/>
    <w:rsid w:val="472A41D2"/>
    <w:rsid w:val="47342084"/>
    <w:rsid w:val="474A12BF"/>
    <w:rsid w:val="474A1B56"/>
    <w:rsid w:val="474D0B27"/>
    <w:rsid w:val="47534345"/>
    <w:rsid w:val="47543FE7"/>
    <w:rsid w:val="47571BCC"/>
    <w:rsid w:val="47602E90"/>
    <w:rsid w:val="47645208"/>
    <w:rsid w:val="47654276"/>
    <w:rsid w:val="47670964"/>
    <w:rsid w:val="47794594"/>
    <w:rsid w:val="4781445B"/>
    <w:rsid w:val="47850E26"/>
    <w:rsid w:val="47A43815"/>
    <w:rsid w:val="47B224EA"/>
    <w:rsid w:val="47B70459"/>
    <w:rsid w:val="47BA5AAA"/>
    <w:rsid w:val="47C96369"/>
    <w:rsid w:val="47D07BCE"/>
    <w:rsid w:val="47D82B99"/>
    <w:rsid w:val="47DB24C4"/>
    <w:rsid w:val="47E929F0"/>
    <w:rsid w:val="47F41CA4"/>
    <w:rsid w:val="48067539"/>
    <w:rsid w:val="480816FD"/>
    <w:rsid w:val="482670C2"/>
    <w:rsid w:val="483229DD"/>
    <w:rsid w:val="483E0F2B"/>
    <w:rsid w:val="484701CB"/>
    <w:rsid w:val="48524E5B"/>
    <w:rsid w:val="4854037A"/>
    <w:rsid w:val="485C12A1"/>
    <w:rsid w:val="487940D6"/>
    <w:rsid w:val="487A26AC"/>
    <w:rsid w:val="48923CF8"/>
    <w:rsid w:val="489B214D"/>
    <w:rsid w:val="489B4E77"/>
    <w:rsid w:val="48A33B04"/>
    <w:rsid w:val="48B065F6"/>
    <w:rsid w:val="48B84BAC"/>
    <w:rsid w:val="48BE5086"/>
    <w:rsid w:val="48C70B23"/>
    <w:rsid w:val="48CE3EEE"/>
    <w:rsid w:val="48DD780D"/>
    <w:rsid w:val="48E95EED"/>
    <w:rsid w:val="48EC1E01"/>
    <w:rsid w:val="48F178A1"/>
    <w:rsid w:val="48F55FC5"/>
    <w:rsid w:val="48F829BD"/>
    <w:rsid w:val="49023758"/>
    <w:rsid w:val="4904078D"/>
    <w:rsid w:val="492523A9"/>
    <w:rsid w:val="49262334"/>
    <w:rsid w:val="493460B1"/>
    <w:rsid w:val="49361309"/>
    <w:rsid w:val="494065B1"/>
    <w:rsid w:val="4946704A"/>
    <w:rsid w:val="494760F0"/>
    <w:rsid w:val="49497015"/>
    <w:rsid w:val="494F25C7"/>
    <w:rsid w:val="49543418"/>
    <w:rsid w:val="495831DF"/>
    <w:rsid w:val="495A4AB7"/>
    <w:rsid w:val="495B0C23"/>
    <w:rsid w:val="496870A6"/>
    <w:rsid w:val="49803D9D"/>
    <w:rsid w:val="498E1EC0"/>
    <w:rsid w:val="49907689"/>
    <w:rsid w:val="4996729C"/>
    <w:rsid w:val="499B7C2B"/>
    <w:rsid w:val="49A23DF1"/>
    <w:rsid w:val="49A74956"/>
    <w:rsid w:val="49AA303B"/>
    <w:rsid w:val="49BB0348"/>
    <w:rsid w:val="49BF01A3"/>
    <w:rsid w:val="49C1225F"/>
    <w:rsid w:val="49CF5800"/>
    <w:rsid w:val="49D13AF6"/>
    <w:rsid w:val="49E51795"/>
    <w:rsid w:val="49EA2B3F"/>
    <w:rsid w:val="49EA45DF"/>
    <w:rsid w:val="49EE17B9"/>
    <w:rsid w:val="49FD2EAD"/>
    <w:rsid w:val="4A2125E3"/>
    <w:rsid w:val="4A222402"/>
    <w:rsid w:val="4A283385"/>
    <w:rsid w:val="4A2961EA"/>
    <w:rsid w:val="4A2D0C6B"/>
    <w:rsid w:val="4A302147"/>
    <w:rsid w:val="4A461845"/>
    <w:rsid w:val="4A473492"/>
    <w:rsid w:val="4A523482"/>
    <w:rsid w:val="4A5B26FA"/>
    <w:rsid w:val="4A637ED4"/>
    <w:rsid w:val="4A664898"/>
    <w:rsid w:val="4A697999"/>
    <w:rsid w:val="4A731021"/>
    <w:rsid w:val="4A866902"/>
    <w:rsid w:val="4A9E2424"/>
    <w:rsid w:val="4AA14CE6"/>
    <w:rsid w:val="4AA35A97"/>
    <w:rsid w:val="4AA8010F"/>
    <w:rsid w:val="4ABD56FA"/>
    <w:rsid w:val="4ABD68CE"/>
    <w:rsid w:val="4AC40FE3"/>
    <w:rsid w:val="4AC5447C"/>
    <w:rsid w:val="4AC71255"/>
    <w:rsid w:val="4AC8269D"/>
    <w:rsid w:val="4ACF7EBF"/>
    <w:rsid w:val="4AD53749"/>
    <w:rsid w:val="4ADB3EB2"/>
    <w:rsid w:val="4AE12E0E"/>
    <w:rsid w:val="4AE41E6F"/>
    <w:rsid w:val="4AFD3899"/>
    <w:rsid w:val="4B033100"/>
    <w:rsid w:val="4B161DAF"/>
    <w:rsid w:val="4B192816"/>
    <w:rsid w:val="4B255291"/>
    <w:rsid w:val="4B305D99"/>
    <w:rsid w:val="4B3F61BE"/>
    <w:rsid w:val="4B4912BF"/>
    <w:rsid w:val="4B5E00AE"/>
    <w:rsid w:val="4B705599"/>
    <w:rsid w:val="4B747076"/>
    <w:rsid w:val="4B7850A4"/>
    <w:rsid w:val="4B82656D"/>
    <w:rsid w:val="4B8A2197"/>
    <w:rsid w:val="4B9B3E93"/>
    <w:rsid w:val="4B9B7638"/>
    <w:rsid w:val="4BA82D75"/>
    <w:rsid w:val="4BAA7FDA"/>
    <w:rsid w:val="4BAF2CD4"/>
    <w:rsid w:val="4BB53E68"/>
    <w:rsid w:val="4BB73644"/>
    <w:rsid w:val="4BB744A3"/>
    <w:rsid w:val="4BBB7538"/>
    <w:rsid w:val="4BC77A22"/>
    <w:rsid w:val="4BD026C7"/>
    <w:rsid w:val="4BDC226A"/>
    <w:rsid w:val="4BE82316"/>
    <w:rsid w:val="4BEA4F4C"/>
    <w:rsid w:val="4BEB76A1"/>
    <w:rsid w:val="4BF50C36"/>
    <w:rsid w:val="4C0778CE"/>
    <w:rsid w:val="4C0C3141"/>
    <w:rsid w:val="4C107671"/>
    <w:rsid w:val="4C185E28"/>
    <w:rsid w:val="4C1D4F5A"/>
    <w:rsid w:val="4C260F64"/>
    <w:rsid w:val="4C2834F9"/>
    <w:rsid w:val="4C2F26CA"/>
    <w:rsid w:val="4C2F6BF4"/>
    <w:rsid w:val="4C3C0005"/>
    <w:rsid w:val="4C3F74EC"/>
    <w:rsid w:val="4C4877D1"/>
    <w:rsid w:val="4C583324"/>
    <w:rsid w:val="4C5D0B8D"/>
    <w:rsid w:val="4C5E170B"/>
    <w:rsid w:val="4C6106FC"/>
    <w:rsid w:val="4C755756"/>
    <w:rsid w:val="4C7C02DF"/>
    <w:rsid w:val="4C8352DA"/>
    <w:rsid w:val="4C8B2776"/>
    <w:rsid w:val="4C8C684D"/>
    <w:rsid w:val="4C964619"/>
    <w:rsid w:val="4C9B24EF"/>
    <w:rsid w:val="4CBE214B"/>
    <w:rsid w:val="4CC12D57"/>
    <w:rsid w:val="4CD2107F"/>
    <w:rsid w:val="4CD44048"/>
    <w:rsid w:val="4CD546D1"/>
    <w:rsid w:val="4CDA10AA"/>
    <w:rsid w:val="4CDC30AE"/>
    <w:rsid w:val="4CE02A91"/>
    <w:rsid w:val="4CEA0552"/>
    <w:rsid w:val="4CEA4A52"/>
    <w:rsid w:val="4CEE2823"/>
    <w:rsid w:val="4CF233CF"/>
    <w:rsid w:val="4CF41D87"/>
    <w:rsid w:val="4D0575B6"/>
    <w:rsid w:val="4D07471C"/>
    <w:rsid w:val="4D137C85"/>
    <w:rsid w:val="4D1604C2"/>
    <w:rsid w:val="4D241A3A"/>
    <w:rsid w:val="4D2576C1"/>
    <w:rsid w:val="4D2E2450"/>
    <w:rsid w:val="4D334E42"/>
    <w:rsid w:val="4D386032"/>
    <w:rsid w:val="4D3903EC"/>
    <w:rsid w:val="4D4A5CFF"/>
    <w:rsid w:val="4D4C75AE"/>
    <w:rsid w:val="4D4D4FF3"/>
    <w:rsid w:val="4D5834BD"/>
    <w:rsid w:val="4D5B124F"/>
    <w:rsid w:val="4D5F51E1"/>
    <w:rsid w:val="4D712533"/>
    <w:rsid w:val="4D714213"/>
    <w:rsid w:val="4D735D63"/>
    <w:rsid w:val="4D760EF0"/>
    <w:rsid w:val="4D7A5F5D"/>
    <w:rsid w:val="4D88483B"/>
    <w:rsid w:val="4D8A2DD6"/>
    <w:rsid w:val="4D8C7B87"/>
    <w:rsid w:val="4D8F0D90"/>
    <w:rsid w:val="4D972E55"/>
    <w:rsid w:val="4D9D6D49"/>
    <w:rsid w:val="4D9D7158"/>
    <w:rsid w:val="4DA539C9"/>
    <w:rsid w:val="4DA85901"/>
    <w:rsid w:val="4DA8745C"/>
    <w:rsid w:val="4DB80DC1"/>
    <w:rsid w:val="4DBE4EAB"/>
    <w:rsid w:val="4DBF193F"/>
    <w:rsid w:val="4DCB688C"/>
    <w:rsid w:val="4DCC4721"/>
    <w:rsid w:val="4DCC49A6"/>
    <w:rsid w:val="4DD301AE"/>
    <w:rsid w:val="4DD3297A"/>
    <w:rsid w:val="4DD47D5A"/>
    <w:rsid w:val="4DD82624"/>
    <w:rsid w:val="4DED67A3"/>
    <w:rsid w:val="4DF033D1"/>
    <w:rsid w:val="4DF073B4"/>
    <w:rsid w:val="4DF4549D"/>
    <w:rsid w:val="4E076F03"/>
    <w:rsid w:val="4E12052C"/>
    <w:rsid w:val="4E145648"/>
    <w:rsid w:val="4E152CFF"/>
    <w:rsid w:val="4E2106AF"/>
    <w:rsid w:val="4E2D7879"/>
    <w:rsid w:val="4E347CC9"/>
    <w:rsid w:val="4E4004C4"/>
    <w:rsid w:val="4E4D628E"/>
    <w:rsid w:val="4E59120A"/>
    <w:rsid w:val="4E5B7C4E"/>
    <w:rsid w:val="4E6F662E"/>
    <w:rsid w:val="4E7F229B"/>
    <w:rsid w:val="4E9156CC"/>
    <w:rsid w:val="4EA146FE"/>
    <w:rsid w:val="4EA77FFD"/>
    <w:rsid w:val="4EAD7C16"/>
    <w:rsid w:val="4EC1604B"/>
    <w:rsid w:val="4EC21C9C"/>
    <w:rsid w:val="4EC80613"/>
    <w:rsid w:val="4ECB3D4B"/>
    <w:rsid w:val="4ECF02CE"/>
    <w:rsid w:val="4ED33F81"/>
    <w:rsid w:val="4F0D75BE"/>
    <w:rsid w:val="4F105F04"/>
    <w:rsid w:val="4F1065EB"/>
    <w:rsid w:val="4F110260"/>
    <w:rsid w:val="4F1E35DE"/>
    <w:rsid w:val="4F2551F2"/>
    <w:rsid w:val="4F284400"/>
    <w:rsid w:val="4F314BB3"/>
    <w:rsid w:val="4F35355A"/>
    <w:rsid w:val="4F397E03"/>
    <w:rsid w:val="4F3E5D19"/>
    <w:rsid w:val="4F402EDD"/>
    <w:rsid w:val="4F432F2D"/>
    <w:rsid w:val="4F445825"/>
    <w:rsid w:val="4F4A0D8D"/>
    <w:rsid w:val="4F4E68FB"/>
    <w:rsid w:val="4F527548"/>
    <w:rsid w:val="4F55207A"/>
    <w:rsid w:val="4F5B1A84"/>
    <w:rsid w:val="4F5D38C6"/>
    <w:rsid w:val="4F731C3A"/>
    <w:rsid w:val="4F741A0D"/>
    <w:rsid w:val="4F8910FE"/>
    <w:rsid w:val="4F8C5F63"/>
    <w:rsid w:val="4F8F1E0B"/>
    <w:rsid w:val="4F9F0231"/>
    <w:rsid w:val="4FAA1212"/>
    <w:rsid w:val="4FAA21A0"/>
    <w:rsid w:val="4FAD7491"/>
    <w:rsid w:val="4FB02DCD"/>
    <w:rsid w:val="4FB63A8C"/>
    <w:rsid w:val="4FBA0F70"/>
    <w:rsid w:val="4FBB29E9"/>
    <w:rsid w:val="4FC27E37"/>
    <w:rsid w:val="4FC331C7"/>
    <w:rsid w:val="4FD50002"/>
    <w:rsid w:val="4FDB1FF5"/>
    <w:rsid w:val="4FDB20B7"/>
    <w:rsid w:val="4FDE22E0"/>
    <w:rsid w:val="4FE043EB"/>
    <w:rsid w:val="4FF40649"/>
    <w:rsid w:val="50067F24"/>
    <w:rsid w:val="5010099A"/>
    <w:rsid w:val="501906B5"/>
    <w:rsid w:val="501B7DA3"/>
    <w:rsid w:val="50291BA4"/>
    <w:rsid w:val="50295447"/>
    <w:rsid w:val="50380E0D"/>
    <w:rsid w:val="503E0E48"/>
    <w:rsid w:val="50473E8A"/>
    <w:rsid w:val="50533918"/>
    <w:rsid w:val="505F6660"/>
    <w:rsid w:val="506A4690"/>
    <w:rsid w:val="50755643"/>
    <w:rsid w:val="5077194F"/>
    <w:rsid w:val="5078278B"/>
    <w:rsid w:val="5091499E"/>
    <w:rsid w:val="50A0118D"/>
    <w:rsid w:val="50A35F9C"/>
    <w:rsid w:val="50AE1622"/>
    <w:rsid w:val="50AF505C"/>
    <w:rsid w:val="50B720AE"/>
    <w:rsid w:val="50D77F80"/>
    <w:rsid w:val="50DA09CA"/>
    <w:rsid w:val="50DA5ADB"/>
    <w:rsid w:val="50EA0C7A"/>
    <w:rsid w:val="50EE63F5"/>
    <w:rsid w:val="50F6749C"/>
    <w:rsid w:val="510768B3"/>
    <w:rsid w:val="51081796"/>
    <w:rsid w:val="510E2F78"/>
    <w:rsid w:val="511857EB"/>
    <w:rsid w:val="511F3D5B"/>
    <w:rsid w:val="512C685A"/>
    <w:rsid w:val="51386C02"/>
    <w:rsid w:val="513E3E90"/>
    <w:rsid w:val="515421D8"/>
    <w:rsid w:val="51642CF0"/>
    <w:rsid w:val="51670435"/>
    <w:rsid w:val="5174050F"/>
    <w:rsid w:val="5175270C"/>
    <w:rsid w:val="517727C8"/>
    <w:rsid w:val="51940626"/>
    <w:rsid w:val="51A259C5"/>
    <w:rsid w:val="51A30D75"/>
    <w:rsid w:val="51A6001B"/>
    <w:rsid w:val="51B35554"/>
    <w:rsid w:val="51B70CF7"/>
    <w:rsid w:val="51C405F8"/>
    <w:rsid w:val="51D03954"/>
    <w:rsid w:val="51D85FF0"/>
    <w:rsid w:val="51DE2565"/>
    <w:rsid w:val="51DE6F42"/>
    <w:rsid w:val="51E34ACE"/>
    <w:rsid w:val="51E5642B"/>
    <w:rsid w:val="51EF5726"/>
    <w:rsid w:val="520A626B"/>
    <w:rsid w:val="52184273"/>
    <w:rsid w:val="522741A8"/>
    <w:rsid w:val="522912BA"/>
    <w:rsid w:val="52291341"/>
    <w:rsid w:val="523109D0"/>
    <w:rsid w:val="52372AA1"/>
    <w:rsid w:val="523A3ABB"/>
    <w:rsid w:val="52420A4A"/>
    <w:rsid w:val="526345A8"/>
    <w:rsid w:val="526A1C9C"/>
    <w:rsid w:val="528976D3"/>
    <w:rsid w:val="52A92AFE"/>
    <w:rsid w:val="52AC1362"/>
    <w:rsid w:val="52AD1129"/>
    <w:rsid w:val="52B55E01"/>
    <w:rsid w:val="52BB7212"/>
    <w:rsid w:val="52CA10F4"/>
    <w:rsid w:val="52CA2BBF"/>
    <w:rsid w:val="52CE3843"/>
    <w:rsid w:val="52CF76BF"/>
    <w:rsid w:val="52CF78E3"/>
    <w:rsid w:val="52D65CAA"/>
    <w:rsid w:val="52E92E9F"/>
    <w:rsid w:val="52FF7DC6"/>
    <w:rsid w:val="5305232D"/>
    <w:rsid w:val="531E582C"/>
    <w:rsid w:val="53204984"/>
    <w:rsid w:val="532556B4"/>
    <w:rsid w:val="532A5CE0"/>
    <w:rsid w:val="532F7B4A"/>
    <w:rsid w:val="5330693A"/>
    <w:rsid w:val="53384563"/>
    <w:rsid w:val="533913A3"/>
    <w:rsid w:val="533F1886"/>
    <w:rsid w:val="534366D0"/>
    <w:rsid w:val="53464236"/>
    <w:rsid w:val="53497555"/>
    <w:rsid w:val="537B2831"/>
    <w:rsid w:val="537C3BFE"/>
    <w:rsid w:val="537F4366"/>
    <w:rsid w:val="5381649C"/>
    <w:rsid w:val="538863E2"/>
    <w:rsid w:val="538C0A43"/>
    <w:rsid w:val="538D7224"/>
    <w:rsid w:val="53925F22"/>
    <w:rsid w:val="53964BBB"/>
    <w:rsid w:val="539B0A32"/>
    <w:rsid w:val="53A00B02"/>
    <w:rsid w:val="53CD76D2"/>
    <w:rsid w:val="53D46231"/>
    <w:rsid w:val="53E369C6"/>
    <w:rsid w:val="53EB7DD8"/>
    <w:rsid w:val="53EF56F0"/>
    <w:rsid w:val="53F3761D"/>
    <w:rsid w:val="540352D6"/>
    <w:rsid w:val="540767A2"/>
    <w:rsid w:val="541121C4"/>
    <w:rsid w:val="5417630A"/>
    <w:rsid w:val="541E32D1"/>
    <w:rsid w:val="541F1561"/>
    <w:rsid w:val="541F33CC"/>
    <w:rsid w:val="543E1D77"/>
    <w:rsid w:val="544074AC"/>
    <w:rsid w:val="54544180"/>
    <w:rsid w:val="54637A8A"/>
    <w:rsid w:val="546E0014"/>
    <w:rsid w:val="54705D50"/>
    <w:rsid w:val="5477623B"/>
    <w:rsid w:val="54876C2C"/>
    <w:rsid w:val="54896AB4"/>
    <w:rsid w:val="548B27F7"/>
    <w:rsid w:val="54AF4EBF"/>
    <w:rsid w:val="54E23C05"/>
    <w:rsid w:val="54FC7381"/>
    <w:rsid w:val="55006C4F"/>
    <w:rsid w:val="55035631"/>
    <w:rsid w:val="550C7193"/>
    <w:rsid w:val="55120971"/>
    <w:rsid w:val="5514209C"/>
    <w:rsid w:val="551C0EFF"/>
    <w:rsid w:val="5524494D"/>
    <w:rsid w:val="55302028"/>
    <w:rsid w:val="5539639A"/>
    <w:rsid w:val="55404260"/>
    <w:rsid w:val="55417AF7"/>
    <w:rsid w:val="55456117"/>
    <w:rsid w:val="55487F0C"/>
    <w:rsid w:val="55514340"/>
    <w:rsid w:val="555545C8"/>
    <w:rsid w:val="555671EF"/>
    <w:rsid w:val="555741D1"/>
    <w:rsid w:val="55582130"/>
    <w:rsid w:val="555A6E94"/>
    <w:rsid w:val="55617925"/>
    <w:rsid w:val="556611A3"/>
    <w:rsid w:val="55697221"/>
    <w:rsid w:val="556C389A"/>
    <w:rsid w:val="55733E60"/>
    <w:rsid w:val="5579033C"/>
    <w:rsid w:val="557E3786"/>
    <w:rsid w:val="558071F3"/>
    <w:rsid w:val="559D3441"/>
    <w:rsid w:val="55C05A19"/>
    <w:rsid w:val="55C8254D"/>
    <w:rsid w:val="55C94C17"/>
    <w:rsid w:val="55CC2ACC"/>
    <w:rsid w:val="55D930F2"/>
    <w:rsid w:val="55FC5C79"/>
    <w:rsid w:val="56041A04"/>
    <w:rsid w:val="56071A99"/>
    <w:rsid w:val="5607560B"/>
    <w:rsid w:val="56083547"/>
    <w:rsid w:val="560C07B1"/>
    <w:rsid w:val="560C4540"/>
    <w:rsid w:val="56125877"/>
    <w:rsid w:val="56176B53"/>
    <w:rsid w:val="561A01DC"/>
    <w:rsid w:val="56297237"/>
    <w:rsid w:val="562C5048"/>
    <w:rsid w:val="56393EE4"/>
    <w:rsid w:val="564E1189"/>
    <w:rsid w:val="565C3AC9"/>
    <w:rsid w:val="56707DF5"/>
    <w:rsid w:val="567A017A"/>
    <w:rsid w:val="56806550"/>
    <w:rsid w:val="5686357D"/>
    <w:rsid w:val="56882509"/>
    <w:rsid w:val="568D2E9F"/>
    <w:rsid w:val="5692758A"/>
    <w:rsid w:val="569617D0"/>
    <w:rsid w:val="56AB3D16"/>
    <w:rsid w:val="56AE5EF7"/>
    <w:rsid w:val="56AE6D17"/>
    <w:rsid w:val="56BD4591"/>
    <w:rsid w:val="56C25462"/>
    <w:rsid w:val="56C94C41"/>
    <w:rsid w:val="56E11196"/>
    <w:rsid w:val="56F13289"/>
    <w:rsid w:val="56F861AC"/>
    <w:rsid w:val="56FD3080"/>
    <w:rsid w:val="56FD345E"/>
    <w:rsid w:val="56FE243D"/>
    <w:rsid w:val="57046336"/>
    <w:rsid w:val="570B3824"/>
    <w:rsid w:val="570C609B"/>
    <w:rsid w:val="5716226F"/>
    <w:rsid w:val="571C11FF"/>
    <w:rsid w:val="57215E50"/>
    <w:rsid w:val="57396C5D"/>
    <w:rsid w:val="573B25D0"/>
    <w:rsid w:val="57484FFF"/>
    <w:rsid w:val="574C2B4B"/>
    <w:rsid w:val="575141C5"/>
    <w:rsid w:val="575167E1"/>
    <w:rsid w:val="576536B3"/>
    <w:rsid w:val="576C0989"/>
    <w:rsid w:val="577E2E3A"/>
    <w:rsid w:val="5780408B"/>
    <w:rsid w:val="57854AD8"/>
    <w:rsid w:val="578F1C9F"/>
    <w:rsid w:val="57A36208"/>
    <w:rsid w:val="57A50912"/>
    <w:rsid w:val="57A5294F"/>
    <w:rsid w:val="57BE61D0"/>
    <w:rsid w:val="57BF37A9"/>
    <w:rsid w:val="57C03C9E"/>
    <w:rsid w:val="57D67809"/>
    <w:rsid w:val="57E1044F"/>
    <w:rsid w:val="57E62285"/>
    <w:rsid w:val="57EE6523"/>
    <w:rsid w:val="57F018A6"/>
    <w:rsid w:val="57FA5399"/>
    <w:rsid w:val="57FC3CDE"/>
    <w:rsid w:val="57FE6178"/>
    <w:rsid w:val="5800194F"/>
    <w:rsid w:val="58042F99"/>
    <w:rsid w:val="580A4D4D"/>
    <w:rsid w:val="581F1DCE"/>
    <w:rsid w:val="58241BB5"/>
    <w:rsid w:val="582F0E18"/>
    <w:rsid w:val="583B48E5"/>
    <w:rsid w:val="583B5AF3"/>
    <w:rsid w:val="58466322"/>
    <w:rsid w:val="584F28FD"/>
    <w:rsid w:val="585416ED"/>
    <w:rsid w:val="58544F7D"/>
    <w:rsid w:val="58567042"/>
    <w:rsid w:val="585770A3"/>
    <w:rsid w:val="585C39C1"/>
    <w:rsid w:val="586B3A1D"/>
    <w:rsid w:val="58737EBF"/>
    <w:rsid w:val="58765A53"/>
    <w:rsid w:val="58777765"/>
    <w:rsid w:val="5878323A"/>
    <w:rsid w:val="587C3EB4"/>
    <w:rsid w:val="588C3F62"/>
    <w:rsid w:val="58903657"/>
    <w:rsid w:val="589258E5"/>
    <w:rsid w:val="589955A8"/>
    <w:rsid w:val="589A594E"/>
    <w:rsid w:val="589D535D"/>
    <w:rsid w:val="58A2407B"/>
    <w:rsid w:val="58B30F01"/>
    <w:rsid w:val="58B476C1"/>
    <w:rsid w:val="58BA25AB"/>
    <w:rsid w:val="58CB1006"/>
    <w:rsid w:val="58D66616"/>
    <w:rsid w:val="58E430FF"/>
    <w:rsid w:val="58F3463B"/>
    <w:rsid w:val="590026BF"/>
    <w:rsid w:val="59072A35"/>
    <w:rsid w:val="5907327B"/>
    <w:rsid w:val="591712C1"/>
    <w:rsid w:val="59247FBD"/>
    <w:rsid w:val="59262D50"/>
    <w:rsid w:val="592E56ED"/>
    <w:rsid w:val="593414A9"/>
    <w:rsid w:val="59396174"/>
    <w:rsid w:val="594F41A1"/>
    <w:rsid w:val="59546596"/>
    <w:rsid w:val="59586858"/>
    <w:rsid w:val="595C127A"/>
    <w:rsid w:val="595C6EEC"/>
    <w:rsid w:val="59650FA2"/>
    <w:rsid w:val="59740DF4"/>
    <w:rsid w:val="5975693D"/>
    <w:rsid w:val="597661F7"/>
    <w:rsid w:val="597C25CC"/>
    <w:rsid w:val="59827FAD"/>
    <w:rsid w:val="5987186F"/>
    <w:rsid w:val="59873CDE"/>
    <w:rsid w:val="598A4D0E"/>
    <w:rsid w:val="59944042"/>
    <w:rsid w:val="599D31CF"/>
    <w:rsid w:val="59A77507"/>
    <w:rsid w:val="59B6163A"/>
    <w:rsid w:val="59B712CD"/>
    <w:rsid w:val="59BF2C7A"/>
    <w:rsid w:val="59D011D7"/>
    <w:rsid w:val="59D36331"/>
    <w:rsid w:val="59E276E1"/>
    <w:rsid w:val="59E54B08"/>
    <w:rsid w:val="59EF5D2F"/>
    <w:rsid w:val="59F12DE1"/>
    <w:rsid w:val="5A050D96"/>
    <w:rsid w:val="5A0941DE"/>
    <w:rsid w:val="5A123B91"/>
    <w:rsid w:val="5A1A1895"/>
    <w:rsid w:val="5A1B2FE4"/>
    <w:rsid w:val="5A1B4954"/>
    <w:rsid w:val="5A2578A2"/>
    <w:rsid w:val="5A2F3779"/>
    <w:rsid w:val="5A350065"/>
    <w:rsid w:val="5A36146F"/>
    <w:rsid w:val="5A3A7073"/>
    <w:rsid w:val="5A4243A2"/>
    <w:rsid w:val="5A4713F3"/>
    <w:rsid w:val="5A47318A"/>
    <w:rsid w:val="5A4964D1"/>
    <w:rsid w:val="5A574217"/>
    <w:rsid w:val="5A6C49EC"/>
    <w:rsid w:val="5A6E6DF4"/>
    <w:rsid w:val="5A7D7310"/>
    <w:rsid w:val="5A911D02"/>
    <w:rsid w:val="5A940D7D"/>
    <w:rsid w:val="5A9846D9"/>
    <w:rsid w:val="5A9D730A"/>
    <w:rsid w:val="5ACA23D9"/>
    <w:rsid w:val="5AD502D8"/>
    <w:rsid w:val="5AD956D3"/>
    <w:rsid w:val="5AE02C49"/>
    <w:rsid w:val="5AF43C2D"/>
    <w:rsid w:val="5AF713C6"/>
    <w:rsid w:val="5B0B71A5"/>
    <w:rsid w:val="5B166748"/>
    <w:rsid w:val="5B1D2127"/>
    <w:rsid w:val="5B2B301F"/>
    <w:rsid w:val="5B397CA3"/>
    <w:rsid w:val="5B5F29D3"/>
    <w:rsid w:val="5B5F3868"/>
    <w:rsid w:val="5B620AE7"/>
    <w:rsid w:val="5B634613"/>
    <w:rsid w:val="5B6F6FD8"/>
    <w:rsid w:val="5B7D571B"/>
    <w:rsid w:val="5B8519B8"/>
    <w:rsid w:val="5B8876AD"/>
    <w:rsid w:val="5B972A55"/>
    <w:rsid w:val="5B982CA5"/>
    <w:rsid w:val="5BA030C8"/>
    <w:rsid w:val="5BA11C75"/>
    <w:rsid w:val="5BA73B2C"/>
    <w:rsid w:val="5BA86EAB"/>
    <w:rsid w:val="5BAD7993"/>
    <w:rsid w:val="5BB17807"/>
    <w:rsid w:val="5BB64908"/>
    <w:rsid w:val="5BC04202"/>
    <w:rsid w:val="5BD25FED"/>
    <w:rsid w:val="5BD327CF"/>
    <w:rsid w:val="5BD531E6"/>
    <w:rsid w:val="5BD73CB0"/>
    <w:rsid w:val="5BD74660"/>
    <w:rsid w:val="5BDD79F4"/>
    <w:rsid w:val="5BF43357"/>
    <w:rsid w:val="5BF463AF"/>
    <w:rsid w:val="5C06613A"/>
    <w:rsid w:val="5C074AD5"/>
    <w:rsid w:val="5C0A573D"/>
    <w:rsid w:val="5C10423A"/>
    <w:rsid w:val="5C191DDB"/>
    <w:rsid w:val="5C1B0562"/>
    <w:rsid w:val="5C24444B"/>
    <w:rsid w:val="5C296DD5"/>
    <w:rsid w:val="5C346A06"/>
    <w:rsid w:val="5C3C59C2"/>
    <w:rsid w:val="5C3F77FD"/>
    <w:rsid w:val="5C4550E5"/>
    <w:rsid w:val="5C506BE3"/>
    <w:rsid w:val="5C707812"/>
    <w:rsid w:val="5C8D26F9"/>
    <w:rsid w:val="5C9767F3"/>
    <w:rsid w:val="5C9B2654"/>
    <w:rsid w:val="5CB73983"/>
    <w:rsid w:val="5CB96459"/>
    <w:rsid w:val="5CC6551B"/>
    <w:rsid w:val="5CDB4251"/>
    <w:rsid w:val="5CE20CAD"/>
    <w:rsid w:val="5CEF5A57"/>
    <w:rsid w:val="5CF640D9"/>
    <w:rsid w:val="5CFD798D"/>
    <w:rsid w:val="5D01448A"/>
    <w:rsid w:val="5D02079D"/>
    <w:rsid w:val="5D0718D8"/>
    <w:rsid w:val="5D076D15"/>
    <w:rsid w:val="5D0C25E5"/>
    <w:rsid w:val="5D1E7891"/>
    <w:rsid w:val="5D2351D9"/>
    <w:rsid w:val="5D275477"/>
    <w:rsid w:val="5D2A06C6"/>
    <w:rsid w:val="5D2B2C9A"/>
    <w:rsid w:val="5D2D6839"/>
    <w:rsid w:val="5D2F6BDC"/>
    <w:rsid w:val="5D43197C"/>
    <w:rsid w:val="5D500723"/>
    <w:rsid w:val="5D504A09"/>
    <w:rsid w:val="5D5E6197"/>
    <w:rsid w:val="5D6030FA"/>
    <w:rsid w:val="5D612654"/>
    <w:rsid w:val="5D6A2F96"/>
    <w:rsid w:val="5D782F45"/>
    <w:rsid w:val="5D7A5F20"/>
    <w:rsid w:val="5D7A6F5D"/>
    <w:rsid w:val="5D813C2B"/>
    <w:rsid w:val="5D85687D"/>
    <w:rsid w:val="5D8F3BE2"/>
    <w:rsid w:val="5D992B63"/>
    <w:rsid w:val="5D9E4BCE"/>
    <w:rsid w:val="5DBA6F1A"/>
    <w:rsid w:val="5DBD1DB2"/>
    <w:rsid w:val="5DC1690F"/>
    <w:rsid w:val="5DC55EB8"/>
    <w:rsid w:val="5DD0791B"/>
    <w:rsid w:val="5DE402A2"/>
    <w:rsid w:val="5DE913CD"/>
    <w:rsid w:val="5DF177E5"/>
    <w:rsid w:val="5DF571F3"/>
    <w:rsid w:val="5DFA76B4"/>
    <w:rsid w:val="5DFC4202"/>
    <w:rsid w:val="5E01792D"/>
    <w:rsid w:val="5E0947BB"/>
    <w:rsid w:val="5E1A72CF"/>
    <w:rsid w:val="5E253627"/>
    <w:rsid w:val="5E2A2E77"/>
    <w:rsid w:val="5E343924"/>
    <w:rsid w:val="5E394337"/>
    <w:rsid w:val="5E43371F"/>
    <w:rsid w:val="5E443C1E"/>
    <w:rsid w:val="5E464C33"/>
    <w:rsid w:val="5E504352"/>
    <w:rsid w:val="5E507311"/>
    <w:rsid w:val="5E557217"/>
    <w:rsid w:val="5E5D56CD"/>
    <w:rsid w:val="5E62770E"/>
    <w:rsid w:val="5E67589E"/>
    <w:rsid w:val="5E8C1C82"/>
    <w:rsid w:val="5E8E31A5"/>
    <w:rsid w:val="5E9014FF"/>
    <w:rsid w:val="5E925E68"/>
    <w:rsid w:val="5E944D39"/>
    <w:rsid w:val="5EA34FF1"/>
    <w:rsid w:val="5EAA4353"/>
    <w:rsid w:val="5EAC6598"/>
    <w:rsid w:val="5EB34E91"/>
    <w:rsid w:val="5EB760F0"/>
    <w:rsid w:val="5EBF37A9"/>
    <w:rsid w:val="5EC57520"/>
    <w:rsid w:val="5ED91B50"/>
    <w:rsid w:val="5EE177F5"/>
    <w:rsid w:val="5EE24C2B"/>
    <w:rsid w:val="5EF210DF"/>
    <w:rsid w:val="5EF36430"/>
    <w:rsid w:val="5EF93863"/>
    <w:rsid w:val="5EF96F26"/>
    <w:rsid w:val="5F042118"/>
    <w:rsid w:val="5F076A0B"/>
    <w:rsid w:val="5F12100B"/>
    <w:rsid w:val="5F1E5278"/>
    <w:rsid w:val="5F271F1E"/>
    <w:rsid w:val="5F312F1A"/>
    <w:rsid w:val="5F4C3272"/>
    <w:rsid w:val="5F5A5587"/>
    <w:rsid w:val="5F6327DC"/>
    <w:rsid w:val="5F713AF3"/>
    <w:rsid w:val="5F78738E"/>
    <w:rsid w:val="5F7A7981"/>
    <w:rsid w:val="5F7B7300"/>
    <w:rsid w:val="5F7E635B"/>
    <w:rsid w:val="5F7F5A55"/>
    <w:rsid w:val="5F801CB5"/>
    <w:rsid w:val="5F922950"/>
    <w:rsid w:val="5F924D82"/>
    <w:rsid w:val="5F9E41CC"/>
    <w:rsid w:val="5FAE488D"/>
    <w:rsid w:val="5FB52560"/>
    <w:rsid w:val="5FB62B9F"/>
    <w:rsid w:val="5FBB48B9"/>
    <w:rsid w:val="5FBB6126"/>
    <w:rsid w:val="5FCE2E76"/>
    <w:rsid w:val="5FD20BEE"/>
    <w:rsid w:val="5FD52D34"/>
    <w:rsid w:val="5FDF45A5"/>
    <w:rsid w:val="5FEB28E0"/>
    <w:rsid w:val="5FEB45B8"/>
    <w:rsid w:val="5FF03B60"/>
    <w:rsid w:val="5FFA069B"/>
    <w:rsid w:val="60106176"/>
    <w:rsid w:val="60162F52"/>
    <w:rsid w:val="601F7472"/>
    <w:rsid w:val="602759B6"/>
    <w:rsid w:val="602F600E"/>
    <w:rsid w:val="6033591C"/>
    <w:rsid w:val="60575085"/>
    <w:rsid w:val="60581AEE"/>
    <w:rsid w:val="606375BB"/>
    <w:rsid w:val="60664CDF"/>
    <w:rsid w:val="606B30EB"/>
    <w:rsid w:val="606C0153"/>
    <w:rsid w:val="606F1467"/>
    <w:rsid w:val="607063FA"/>
    <w:rsid w:val="608D3841"/>
    <w:rsid w:val="60931767"/>
    <w:rsid w:val="60995DBC"/>
    <w:rsid w:val="609C1A70"/>
    <w:rsid w:val="60BA1CC6"/>
    <w:rsid w:val="60BC5CD8"/>
    <w:rsid w:val="60C42A90"/>
    <w:rsid w:val="60C6081C"/>
    <w:rsid w:val="60CA006F"/>
    <w:rsid w:val="60D269F0"/>
    <w:rsid w:val="60DD397E"/>
    <w:rsid w:val="60E42D99"/>
    <w:rsid w:val="60E4384C"/>
    <w:rsid w:val="60EB16F6"/>
    <w:rsid w:val="60EB4EFC"/>
    <w:rsid w:val="60EB78D1"/>
    <w:rsid w:val="60ED7225"/>
    <w:rsid w:val="60F9669D"/>
    <w:rsid w:val="61021550"/>
    <w:rsid w:val="61156856"/>
    <w:rsid w:val="611C1950"/>
    <w:rsid w:val="611F14E6"/>
    <w:rsid w:val="61203C43"/>
    <w:rsid w:val="615A700B"/>
    <w:rsid w:val="615E30AD"/>
    <w:rsid w:val="615E5949"/>
    <w:rsid w:val="616644D4"/>
    <w:rsid w:val="617A38AD"/>
    <w:rsid w:val="617C532B"/>
    <w:rsid w:val="617E0352"/>
    <w:rsid w:val="619B57DE"/>
    <w:rsid w:val="61A35247"/>
    <w:rsid w:val="61AA2922"/>
    <w:rsid w:val="61B16F66"/>
    <w:rsid w:val="61CD4D9A"/>
    <w:rsid w:val="61CF6ABA"/>
    <w:rsid w:val="61D317C2"/>
    <w:rsid w:val="61D80A35"/>
    <w:rsid w:val="61D82B31"/>
    <w:rsid w:val="61E71797"/>
    <w:rsid w:val="61E81F55"/>
    <w:rsid w:val="61F83FD1"/>
    <w:rsid w:val="61FE7846"/>
    <w:rsid w:val="620B7F57"/>
    <w:rsid w:val="62214B31"/>
    <w:rsid w:val="62265BDD"/>
    <w:rsid w:val="622D195A"/>
    <w:rsid w:val="623F127A"/>
    <w:rsid w:val="625E4CA6"/>
    <w:rsid w:val="62633B2A"/>
    <w:rsid w:val="626759BA"/>
    <w:rsid w:val="626D1A87"/>
    <w:rsid w:val="626F7A26"/>
    <w:rsid w:val="628C54C4"/>
    <w:rsid w:val="62936DA7"/>
    <w:rsid w:val="62963445"/>
    <w:rsid w:val="629E5D5D"/>
    <w:rsid w:val="62A0260A"/>
    <w:rsid w:val="62A1677C"/>
    <w:rsid w:val="62A45130"/>
    <w:rsid w:val="62A56A31"/>
    <w:rsid w:val="62A721E7"/>
    <w:rsid w:val="62B10E07"/>
    <w:rsid w:val="62B1352F"/>
    <w:rsid w:val="62B6276B"/>
    <w:rsid w:val="62B77AC4"/>
    <w:rsid w:val="62D71F10"/>
    <w:rsid w:val="62DD01BB"/>
    <w:rsid w:val="62EC75DA"/>
    <w:rsid w:val="62EF0C4B"/>
    <w:rsid w:val="62EF4A00"/>
    <w:rsid w:val="62F00449"/>
    <w:rsid w:val="62FE22F6"/>
    <w:rsid w:val="6303304D"/>
    <w:rsid w:val="630705DE"/>
    <w:rsid w:val="630E2A45"/>
    <w:rsid w:val="63123649"/>
    <w:rsid w:val="63167281"/>
    <w:rsid w:val="631B4455"/>
    <w:rsid w:val="63206BE9"/>
    <w:rsid w:val="632A5601"/>
    <w:rsid w:val="633B07F0"/>
    <w:rsid w:val="633B4683"/>
    <w:rsid w:val="634C1F66"/>
    <w:rsid w:val="634F7680"/>
    <w:rsid w:val="63534BB7"/>
    <w:rsid w:val="6364612E"/>
    <w:rsid w:val="63755976"/>
    <w:rsid w:val="638061A3"/>
    <w:rsid w:val="6385310A"/>
    <w:rsid w:val="638675A0"/>
    <w:rsid w:val="6388380A"/>
    <w:rsid w:val="63903A6A"/>
    <w:rsid w:val="639077CB"/>
    <w:rsid w:val="639137A4"/>
    <w:rsid w:val="6397727F"/>
    <w:rsid w:val="63AB491D"/>
    <w:rsid w:val="63B577CC"/>
    <w:rsid w:val="63B633E7"/>
    <w:rsid w:val="63B75647"/>
    <w:rsid w:val="63B97095"/>
    <w:rsid w:val="63C70E9F"/>
    <w:rsid w:val="63D61CB7"/>
    <w:rsid w:val="63E47111"/>
    <w:rsid w:val="63EB242B"/>
    <w:rsid w:val="63F13F17"/>
    <w:rsid w:val="63FF7063"/>
    <w:rsid w:val="64031B2B"/>
    <w:rsid w:val="641006AC"/>
    <w:rsid w:val="64115AB9"/>
    <w:rsid w:val="64116D58"/>
    <w:rsid w:val="64281FBA"/>
    <w:rsid w:val="642C7924"/>
    <w:rsid w:val="643617E8"/>
    <w:rsid w:val="64377B66"/>
    <w:rsid w:val="643A4CC1"/>
    <w:rsid w:val="643B55D2"/>
    <w:rsid w:val="643C6C1F"/>
    <w:rsid w:val="643D32F4"/>
    <w:rsid w:val="64471549"/>
    <w:rsid w:val="64494E53"/>
    <w:rsid w:val="644E0F8A"/>
    <w:rsid w:val="64526D27"/>
    <w:rsid w:val="64545DB8"/>
    <w:rsid w:val="64605742"/>
    <w:rsid w:val="64721515"/>
    <w:rsid w:val="647966BB"/>
    <w:rsid w:val="64934855"/>
    <w:rsid w:val="649D3A74"/>
    <w:rsid w:val="649E45EB"/>
    <w:rsid w:val="64AD5CE5"/>
    <w:rsid w:val="64B52ECC"/>
    <w:rsid w:val="64C74DAF"/>
    <w:rsid w:val="64CD4CDA"/>
    <w:rsid w:val="64E459C8"/>
    <w:rsid w:val="64EC6042"/>
    <w:rsid w:val="64EF2D9A"/>
    <w:rsid w:val="64F720C3"/>
    <w:rsid w:val="64F97C03"/>
    <w:rsid w:val="650B6F95"/>
    <w:rsid w:val="650D765F"/>
    <w:rsid w:val="6511749E"/>
    <w:rsid w:val="65132715"/>
    <w:rsid w:val="65133B33"/>
    <w:rsid w:val="651771FC"/>
    <w:rsid w:val="651D73E3"/>
    <w:rsid w:val="65297466"/>
    <w:rsid w:val="65323810"/>
    <w:rsid w:val="653F7841"/>
    <w:rsid w:val="65412F60"/>
    <w:rsid w:val="65493D76"/>
    <w:rsid w:val="654E16B9"/>
    <w:rsid w:val="6564646C"/>
    <w:rsid w:val="656D7D1A"/>
    <w:rsid w:val="656E0E17"/>
    <w:rsid w:val="657959AE"/>
    <w:rsid w:val="657A15B4"/>
    <w:rsid w:val="658553AC"/>
    <w:rsid w:val="65864DC1"/>
    <w:rsid w:val="658A3565"/>
    <w:rsid w:val="658A7E83"/>
    <w:rsid w:val="65971F44"/>
    <w:rsid w:val="659A0108"/>
    <w:rsid w:val="659E7940"/>
    <w:rsid w:val="65AC2166"/>
    <w:rsid w:val="65B26B5A"/>
    <w:rsid w:val="65C43A68"/>
    <w:rsid w:val="65C8379D"/>
    <w:rsid w:val="65D7711E"/>
    <w:rsid w:val="65F059C5"/>
    <w:rsid w:val="65F73198"/>
    <w:rsid w:val="65FB7F8E"/>
    <w:rsid w:val="660D625C"/>
    <w:rsid w:val="66182A98"/>
    <w:rsid w:val="66217A08"/>
    <w:rsid w:val="662F1AAE"/>
    <w:rsid w:val="66393EE8"/>
    <w:rsid w:val="66397E64"/>
    <w:rsid w:val="664265B7"/>
    <w:rsid w:val="6647520E"/>
    <w:rsid w:val="664922BB"/>
    <w:rsid w:val="66502A5D"/>
    <w:rsid w:val="66590FB4"/>
    <w:rsid w:val="665E56C2"/>
    <w:rsid w:val="666B27B8"/>
    <w:rsid w:val="666D4E71"/>
    <w:rsid w:val="667141B1"/>
    <w:rsid w:val="667B311A"/>
    <w:rsid w:val="667B53C1"/>
    <w:rsid w:val="667E14D9"/>
    <w:rsid w:val="668E006E"/>
    <w:rsid w:val="66930E92"/>
    <w:rsid w:val="66976B5B"/>
    <w:rsid w:val="66981E0A"/>
    <w:rsid w:val="669C09B3"/>
    <w:rsid w:val="66A36327"/>
    <w:rsid w:val="66A50843"/>
    <w:rsid w:val="66AB70F4"/>
    <w:rsid w:val="66AC5340"/>
    <w:rsid w:val="66AD5820"/>
    <w:rsid w:val="66B51FEC"/>
    <w:rsid w:val="66B849D3"/>
    <w:rsid w:val="66BA7D2B"/>
    <w:rsid w:val="66C34B07"/>
    <w:rsid w:val="66CF3F5C"/>
    <w:rsid w:val="66E87A6C"/>
    <w:rsid w:val="66EE16B3"/>
    <w:rsid w:val="66F25126"/>
    <w:rsid w:val="66FF48A5"/>
    <w:rsid w:val="6700644A"/>
    <w:rsid w:val="6708347C"/>
    <w:rsid w:val="67086205"/>
    <w:rsid w:val="671008EC"/>
    <w:rsid w:val="67112685"/>
    <w:rsid w:val="6714360F"/>
    <w:rsid w:val="6719285B"/>
    <w:rsid w:val="671C6D84"/>
    <w:rsid w:val="67275390"/>
    <w:rsid w:val="673A2C14"/>
    <w:rsid w:val="673B350F"/>
    <w:rsid w:val="67581ECD"/>
    <w:rsid w:val="675B47C6"/>
    <w:rsid w:val="67655D8A"/>
    <w:rsid w:val="676820C7"/>
    <w:rsid w:val="676C7AF9"/>
    <w:rsid w:val="6773075B"/>
    <w:rsid w:val="67762EB6"/>
    <w:rsid w:val="677F7BC6"/>
    <w:rsid w:val="67811055"/>
    <w:rsid w:val="67842D4D"/>
    <w:rsid w:val="67871C0A"/>
    <w:rsid w:val="67876B18"/>
    <w:rsid w:val="679E7A04"/>
    <w:rsid w:val="679E7E6C"/>
    <w:rsid w:val="67A35F04"/>
    <w:rsid w:val="67A42040"/>
    <w:rsid w:val="67BB777D"/>
    <w:rsid w:val="67BE2804"/>
    <w:rsid w:val="67C41250"/>
    <w:rsid w:val="67C85703"/>
    <w:rsid w:val="67CF52DA"/>
    <w:rsid w:val="67D705E8"/>
    <w:rsid w:val="67DA6F9C"/>
    <w:rsid w:val="67EC1464"/>
    <w:rsid w:val="67F41423"/>
    <w:rsid w:val="67FC0442"/>
    <w:rsid w:val="68010449"/>
    <w:rsid w:val="680175E6"/>
    <w:rsid w:val="680F537C"/>
    <w:rsid w:val="68214DAD"/>
    <w:rsid w:val="68225AEB"/>
    <w:rsid w:val="68350B46"/>
    <w:rsid w:val="68385A47"/>
    <w:rsid w:val="68390BDA"/>
    <w:rsid w:val="683B6D91"/>
    <w:rsid w:val="683B7018"/>
    <w:rsid w:val="683D30EC"/>
    <w:rsid w:val="68422FD3"/>
    <w:rsid w:val="68432643"/>
    <w:rsid w:val="684D3FCE"/>
    <w:rsid w:val="685C752E"/>
    <w:rsid w:val="686322AD"/>
    <w:rsid w:val="686A742F"/>
    <w:rsid w:val="68707D50"/>
    <w:rsid w:val="687B212D"/>
    <w:rsid w:val="687C44AE"/>
    <w:rsid w:val="687D55C1"/>
    <w:rsid w:val="68954577"/>
    <w:rsid w:val="68985D98"/>
    <w:rsid w:val="689A777C"/>
    <w:rsid w:val="68A3392A"/>
    <w:rsid w:val="68AC3682"/>
    <w:rsid w:val="68BC2C42"/>
    <w:rsid w:val="68C33743"/>
    <w:rsid w:val="68C96450"/>
    <w:rsid w:val="68CE61F8"/>
    <w:rsid w:val="68D14710"/>
    <w:rsid w:val="68D22F35"/>
    <w:rsid w:val="68D34174"/>
    <w:rsid w:val="68DB3D73"/>
    <w:rsid w:val="68ED4808"/>
    <w:rsid w:val="68F23844"/>
    <w:rsid w:val="68F34583"/>
    <w:rsid w:val="68F725DE"/>
    <w:rsid w:val="68FE683D"/>
    <w:rsid w:val="690F4986"/>
    <w:rsid w:val="69265536"/>
    <w:rsid w:val="692A295D"/>
    <w:rsid w:val="692E7CC8"/>
    <w:rsid w:val="69325365"/>
    <w:rsid w:val="6937004C"/>
    <w:rsid w:val="69370086"/>
    <w:rsid w:val="69386EE2"/>
    <w:rsid w:val="693C2821"/>
    <w:rsid w:val="69485607"/>
    <w:rsid w:val="695709A8"/>
    <w:rsid w:val="69601542"/>
    <w:rsid w:val="69713264"/>
    <w:rsid w:val="697F4CF4"/>
    <w:rsid w:val="69804EED"/>
    <w:rsid w:val="698D3FE8"/>
    <w:rsid w:val="69914C1C"/>
    <w:rsid w:val="69947389"/>
    <w:rsid w:val="699C6B19"/>
    <w:rsid w:val="69A066E4"/>
    <w:rsid w:val="69BF20AC"/>
    <w:rsid w:val="69C63104"/>
    <w:rsid w:val="69C85AC7"/>
    <w:rsid w:val="69CB0E44"/>
    <w:rsid w:val="69CE6B69"/>
    <w:rsid w:val="69E30DDB"/>
    <w:rsid w:val="69F92ECA"/>
    <w:rsid w:val="6A0A0396"/>
    <w:rsid w:val="6A0D011F"/>
    <w:rsid w:val="6A12411F"/>
    <w:rsid w:val="6A161402"/>
    <w:rsid w:val="6A1A3650"/>
    <w:rsid w:val="6A1C0440"/>
    <w:rsid w:val="6A2D6A65"/>
    <w:rsid w:val="6A2D75E1"/>
    <w:rsid w:val="6A361EBF"/>
    <w:rsid w:val="6A3D4DDA"/>
    <w:rsid w:val="6A3D547E"/>
    <w:rsid w:val="6A3F046A"/>
    <w:rsid w:val="6A4053B4"/>
    <w:rsid w:val="6A457258"/>
    <w:rsid w:val="6A480C63"/>
    <w:rsid w:val="6A502ED8"/>
    <w:rsid w:val="6A59013E"/>
    <w:rsid w:val="6A775D9C"/>
    <w:rsid w:val="6A7F2B1E"/>
    <w:rsid w:val="6A8977D6"/>
    <w:rsid w:val="6A9D0D80"/>
    <w:rsid w:val="6AA4796B"/>
    <w:rsid w:val="6AAA059A"/>
    <w:rsid w:val="6AAF64DC"/>
    <w:rsid w:val="6AB47D37"/>
    <w:rsid w:val="6AC33A14"/>
    <w:rsid w:val="6AD4646E"/>
    <w:rsid w:val="6AD70BDF"/>
    <w:rsid w:val="6AEA3F21"/>
    <w:rsid w:val="6AF0079A"/>
    <w:rsid w:val="6AF07D25"/>
    <w:rsid w:val="6AF21313"/>
    <w:rsid w:val="6AF92496"/>
    <w:rsid w:val="6B0368F9"/>
    <w:rsid w:val="6B05064A"/>
    <w:rsid w:val="6B0E7C0C"/>
    <w:rsid w:val="6B1831D5"/>
    <w:rsid w:val="6B1E5554"/>
    <w:rsid w:val="6B2A7AD7"/>
    <w:rsid w:val="6B305159"/>
    <w:rsid w:val="6B5142AF"/>
    <w:rsid w:val="6B610278"/>
    <w:rsid w:val="6B64589C"/>
    <w:rsid w:val="6B755B32"/>
    <w:rsid w:val="6B7E7450"/>
    <w:rsid w:val="6B9F253D"/>
    <w:rsid w:val="6BAC211F"/>
    <w:rsid w:val="6BB127B8"/>
    <w:rsid w:val="6BCE3BAA"/>
    <w:rsid w:val="6BD37DE9"/>
    <w:rsid w:val="6BDA1EE8"/>
    <w:rsid w:val="6BF62AC5"/>
    <w:rsid w:val="6C136504"/>
    <w:rsid w:val="6C161ADA"/>
    <w:rsid w:val="6C166D86"/>
    <w:rsid w:val="6C1B2B06"/>
    <w:rsid w:val="6C1F6C7F"/>
    <w:rsid w:val="6C2B56AA"/>
    <w:rsid w:val="6C322B23"/>
    <w:rsid w:val="6C416B52"/>
    <w:rsid w:val="6C437A8D"/>
    <w:rsid w:val="6C4D5F14"/>
    <w:rsid w:val="6C502421"/>
    <w:rsid w:val="6C6479BA"/>
    <w:rsid w:val="6C6A555B"/>
    <w:rsid w:val="6C6D0ECA"/>
    <w:rsid w:val="6C700066"/>
    <w:rsid w:val="6C7170AD"/>
    <w:rsid w:val="6C7E3E03"/>
    <w:rsid w:val="6C8605B4"/>
    <w:rsid w:val="6C866ED6"/>
    <w:rsid w:val="6C9D00DD"/>
    <w:rsid w:val="6C9E44EC"/>
    <w:rsid w:val="6C9F3F80"/>
    <w:rsid w:val="6C9F5BB4"/>
    <w:rsid w:val="6CA02624"/>
    <w:rsid w:val="6CB67928"/>
    <w:rsid w:val="6CC81EF3"/>
    <w:rsid w:val="6CD506B9"/>
    <w:rsid w:val="6CDB7666"/>
    <w:rsid w:val="6CEC1C0F"/>
    <w:rsid w:val="6CFF3ADC"/>
    <w:rsid w:val="6D084976"/>
    <w:rsid w:val="6D0E4567"/>
    <w:rsid w:val="6D100EFD"/>
    <w:rsid w:val="6D1111FB"/>
    <w:rsid w:val="6D26564A"/>
    <w:rsid w:val="6D3750D8"/>
    <w:rsid w:val="6D4D667F"/>
    <w:rsid w:val="6D57438B"/>
    <w:rsid w:val="6D582FD4"/>
    <w:rsid w:val="6D5B6A73"/>
    <w:rsid w:val="6D6D41E2"/>
    <w:rsid w:val="6D730FDB"/>
    <w:rsid w:val="6D7C5B7D"/>
    <w:rsid w:val="6D8309C8"/>
    <w:rsid w:val="6D84669E"/>
    <w:rsid w:val="6D8C1E5D"/>
    <w:rsid w:val="6D8F070C"/>
    <w:rsid w:val="6D943F13"/>
    <w:rsid w:val="6D9603CF"/>
    <w:rsid w:val="6DAE7ED2"/>
    <w:rsid w:val="6DC43AC2"/>
    <w:rsid w:val="6DD433CC"/>
    <w:rsid w:val="6DD44D9A"/>
    <w:rsid w:val="6DD65B2C"/>
    <w:rsid w:val="6DD87C79"/>
    <w:rsid w:val="6DEF53B5"/>
    <w:rsid w:val="6DF043A6"/>
    <w:rsid w:val="6DF551C2"/>
    <w:rsid w:val="6DF70367"/>
    <w:rsid w:val="6DFA070E"/>
    <w:rsid w:val="6DFC1F33"/>
    <w:rsid w:val="6E093A21"/>
    <w:rsid w:val="6E095C80"/>
    <w:rsid w:val="6E183537"/>
    <w:rsid w:val="6E2762DB"/>
    <w:rsid w:val="6E3D5BB7"/>
    <w:rsid w:val="6E3F7D23"/>
    <w:rsid w:val="6E4317D1"/>
    <w:rsid w:val="6E463D02"/>
    <w:rsid w:val="6E4B284B"/>
    <w:rsid w:val="6E5060E6"/>
    <w:rsid w:val="6E5646F6"/>
    <w:rsid w:val="6E611600"/>
    <w:rsid w:val="6E6138F9"/>
    <w:rsid w:val="6E66344B"/>
    <w:rsid w:val="6E713910"/>
    <w:rsid w:val="6E774230"/>
    <w:rsid w:val="6E812D97"/>
    <w:rsid w:val="6E8A64C8"/>
    <w:rsid w:val="6E8C6315"/>
    <w:rsid w:val="6E9C17A5"/>
    <w:rsid w:val="6EA824D2"/>
    <w:rsid w:val="6EB209A7"/>
    <w:rsid w:val="6EC1095F"/>
    <w:rsid w:val="6EC65F8D"/>
    <w:rsid w:val="6ECC5E3C"/>
    <w:rsid w:val="6EE65474"/>
    <w:rsid w:val="6EEE668D"/>
    <w:rsid w:val="6EFA7717"/>
    <w:rsid w:val="6F014DDB"/>
    <w:rsid w:val="6F0B558F"/>
    <w:rsid w:val="6F0E2F1B"/>
    <w:rsid w:val="6F1A4439"/>
    <w:rsid w:val="6F1F0F56"/>
    <w:rsid w:val="6F205F46"/>
    <w:rsid w:val="6F241ED7"/>
    <w:rsid w:val="6F350FD8"/>
    <w:rsid w:val="6F3B6E81"/>
    <w:rsid w:val="6F3E7C5D"/>
    <w:rsid w:val="6F4236C4"/>
    <w:rsid w:val="6F44681B"/>
    <w:rsid w:val="6F5124C2"/>
    <w:rsid w:val="6F60125D"/>
    <w:rsid w:val="6F650D52"/>
    <w:rsid w:val="6F6634ED"/>
    <w:rsid w:val="6F6A22CD"/>
    <w:rsid w:val="6F77551E"/>
    <w:rsid w:val="6F8567B3"/>
    <w:rsid w:val="6F8A063E"/>
    <w:rsid w:val="6F8C1A9E"/>
    <w:rsid w:val="6F906C75"/>
    <w:rsid w:val="6F935AE5"/>
    <w:rsid w:val="6F952B5E"/>
    <w:rsid w:val="6F987C3E"/>
    <w:rsid w:val="6F9D3691"/>
    <w:rsid w:val="6FA47B3A"/>
    <w:rsid w:val="6FA81839"/>
    <w:rsid w:val="6FB55C30"/>
    <w:rsid w:val="6FB74669"/>
    <w:rsid w:val="6FC361EA"/>
    <w:rsid w:val="6FD2002C"/>
    <w:rsid w:val="6FD4591D"/>
    <w:rsid w:val="6FD51000"/>
    <w:rsid w:val="6FDF2EAD"/>
    <w:rsid w:val="6FE663EB"/>
    <w:rsid w:val="6FEA4EF7"/>
    <w:rsid w:val="6FF85033"/>
    <w:rsid w:val="70026BDC"/>
    <w:rsid w:val="70032017"/>
    <w:rsid w:val="700356D0"/>
    <w:rsid w:val="700A5A41"/>
    <w:rsid w:val="7013378A"/>
    <w:rsid w:val="70166F23"/>
    <w:rsid w:val="70171F4C"/>
    <w:rsid w:val="701A22C0"/>
    <w:rsid w:val="701A5B2B"/>
    <w:rsid w:val="701E376A"/>
    <w:rsid w:val="70222E9E"/>
    <w:rsid w:val="70234821"/>
    <w:rsid w:val="702B0FC6"/>
    <w:rsid w:val="702C2861"/>
    <w:rsid w:val="702E6C43"/>
    <w:rsid w:val="702F6EBD"/>
    <w:rsid w:val="70326219"/>
    <w:rsid w:val="70383645"/>
    <w:rsid w:val="70400D78"/>
    <w:rsid w:val="704141DB"/>
    <w:rsid w:val="704A7795"/>
    <w:rsid w:val="704D0DFD"/>
    <w:rsid w:val="70567F8B"/>
    <w:rsid w:val="70573775"/>
    <w:rsid w:val="705752A3"/>
    <w:rsid w:val="7064553F"/>
    <w:rsid w:val="706D7C1B"/>
    <w:rsid w:val="70726660"/>
    <w:rsid w:val="707643FC"/>
    <w:rsid w:val="7077215F"/>
    <w:rsid w:val="707C4EBF"/>
    <w:rsid w:val="70877CCE"/>
    <w:rsid w:val="708C2D75"/>
    <w:rsid w:val="709B67A4"/>
    <w:rsid w:val="70AE4B7D"/>
    <w:rsid w:val="70AF7EED"/>
    <w:rsid w:val="70CD7392"/>
    <w:rsid w:val="70CF2FDE"/>
    <w:rsid w:val="70DE09D3"/>
    <w:rsid w:val="70E2025D"/>
    <w:rsid w:val="70EB5ACD"/>
    <w:rsid w:val="70F9724F"/>
    <w:rsid w:val="710F0FBD"/>
    <w:rsid w:val="711547EC"/>
    <w:rsid w:val="711F6D93"/>
    <w:rsid w:val="712B0BCD"/>
    <w:rsid w:val="71403317"/>
    <w:rsid w:val="714300D0"/>
    <w:rsid w:val="714658E1"/>
    <w:rsid w:val="71576864"/>
    <w:rsid w:val="71582DEC"/>
    <w:rsid w:val="71664442"/>
    <w:rsid w:val="71684ACE"/>
    <w:rsid w:val="717D0458"/>
    <w:rsid w:val="717D7570"/>
    <w:rsid w:val="718222DC"/>
    <w:rsid w:val="718478B2"/>
    <w:rsid w:val="719278F7"/>
    <w:rsid w:val="71943273"/>
    <w:rsid w:val="71A218FE"/>
    <w:rsid w:val="71A24F8C"/>
    <w:rsid w:val="71A31503"/>
    <w:rsid w:val="71B009CF"/>
    <w:rsid w:val="71B15785"/>
    <w:rsid w:val="71C60CFA"/>
    <w:rsid w:val="71C63B69"/>
    <w:rsid w:val="71CD432F"/>
    <w:rsid w:val="71CE42D7"/>
    <w:rsid w:val="71DD292F"/>
    <w:rsid w:val="71E210BD"/>
    <w:rsid w:val="72094BD7"/>
    <w:rsid w:val="721A31B2"/>
    <w:rsid w:val="72201239"/>
    <w:rsid w:val="722A5469"/>
    <w:rsid w:val="722E21F6"/>
    <w:rsid w:val="722F1D27"/>
    <w:rsid w:val="72350F40"/>
    <w:rsid w:val="724318B1"/>
    <w:rsid w:val="725E0BB8"/>
    <w:rsid w:val="725F2747"/>
    <w:rsid w:val="72655686"/>
    <w:rsid w:val="726D653F"/>
    <w:rsid w:val="729803A2"/>
    <w:rsid w:val="72A3542C"/>
    <w:rsid w:val="72AE06BE"/>
    <w:rsid w:val="72C32818"/>
    <w:rsid w:val="72C806E0"/>
    <w:rsid w:val="72CF785D"/>
    <w:rsid w:val="73014926"/>
    <w:rsid w:val="732107AC"/>
    <w:rsid w:val="73222389"/>
    <w:rsid w:val="7323485E"/>
    <w:rsid w:val="734371BD"/>
    <w:rsid w:val="734B637C"/>
    <w:rsid w:val="7374492D"/>
    <w:rsid w:val="737B0E04"/>
    <w:rsid w:val="737E1DF7"/>
    <w:rsid w:val="73837932"/>
    <w:rsid w:val="73897D12"/>
    <w:rsid w:val="739668B3"/>
    <w:rsid w:val="73A24153"/>
    <w:rsid w:val="73A3784F"/>
    <w:rsid w:val="73B3721C"/>
    <w:rsid w:val="73B4060F"/>
    <w:rsid w:val="73B75BB2"/>
    <w:rsid w:val="73BF5308"/>
    <w:rsid w:val="73C30BCF"/>
    <w:rsid w:val="73CA54D4"/>
    <w:rsid w:val="73CC7229"/>
    <w:rsid w:val="73CE2411"/>
    <w:rsid w:val="73D362A8"/>
    <w:rsid w:val="73D56F42"/>
    <w:rsid w:val="73DC5C72"/>
    <w:rsid w:val="73DE2B75"/>
    <w:rsid w:val="73E801B5"/>
    <w:rsid w:val="73F55C62"/>
    <w:rsid w:val="73FA6DE3"/>
    <w:rsid w:val="74005F5C"/>
    <w:rsid w:val="740A3659"/>
    <w:rsid w:val="7411323E"/>
    <w:rsid w:val="74292C5D"/>
    <w:rsid w:val="742A4238"/>
    <w:rsid w:val="742B584F"/>
    <w:rsid w:val="743A60C2"/>
    <w:rsid w:val="744677AD"/>
    <w:rsid w:val="745F538B"/>
    <w:rsid w:val="747838CA"/>
    <w:rsid w:val="7491272C"/>
    <w:rsid w:val="74A33E46"/>
    <w:rsid w:val="74A46EB9"/>
    <w:rsid w:val="74AB767E"/>
    <w:rsid w:val="74B35283"/>
    <w:rsid w:val="74B37D3A"/>
    <w:rsid w:val="74BD563A"/>
    <w:rsid w:val="74C12516"/>
    <w:rsid w:val="74CA0240"/>
    <w:rsid w:val="74CB2FA6"/>
    <w:rsid w:val="74CB3482"/>
    <w:rsid w:val="74CB6C11"/>
    <w:rsid w:val="74D02C5B"/>
    <w:rsid w:val="74D42726"/>
    <w:rsid w:val="74D5129F"/>
    <w:rsid w:val="74D60D29"/>
    <w:rsid w:val="74DA2941"/>
    <w:rsid w:val="74E03EAC"/>
    <w:rsid w:val="74E21BE3"/>
    <w:rsid w:val="74F115EC"/>
    <w:rsid w:val="74F21B8B"/>
    <w:rsid w:val="74F93BEB"/>
    <w:rsid w:val="74FA706D"/>
    <w:rsid w:val="75083718"/>
    <w:rsid w:val="75141450"/>
    <w:rsid w:val="75212E25"/>
    <w:rsid w:val="75290945"/>
    <w:rsid w:val="752B4CAE"/>
    <w:rsid w:val="7530764C"/>
    <w:rsid w:val="75352389"/>
    <w:rsid w:val="75394D6E"/>
    <w:rsid w:val="753D2FC9"/>
    <w:rsid w:val="75585F56"/>
    <w:rsid w:val="755B0A82"/>
    <w:rsid w:val="755E7A4E"/>
    <w:rsid w:val="7560050F"/>
    <w:rsid w:val="75686A10"/>
    <w:rsid w:val="756C0732"/>
    <w:rsid w:val="75783EEC"/>
    <w:rsid w:val="75803D18"/>
    <w:rsid w:val="759C5E14"/>
    <w:rsid w:val="759E3EDD"/>
    <w:rsid w:val="75A37B9D"/>
    <w:rsid w:val="75AC1C87"/>
    <w:rsid w:val="75B11ED1"/>
    <w:rsid w:val="75B81371"/>
    <w:rsid w:val="75BE41EF"/>
    <w:rsid w:val="75C109E9"/>
    <w:rsid w:val="75C50092"/>
    <w:rsid w:val="75C62AE4"/>
    <w:rsid w:val="75C66E22"/>
    <w:rsid w:val="75D30F39"/>
    <w:rsid w:val="75D8306F"/>
    <w:rsid w:val="75E230EA"/>
    <w:rsid w:val="75E96AD9"/>
    <w:rsid w:val="75F22B54"/>
    <w:rsid w:val="75FC33A5"/>
    <w:rsid w:val="760600C1"/>
    <w:rsid w:val="760A25CE"/>
    <w:rsid w:val="760B5269"/>
    <w:rsid w:val="760E1328"/>
    <w:rsid w:val="76155D38"/>
    <w:rsid w:val="761D5BB8"/>
    <w:rsid w:val="76252234"/>
    <w:rsid w:val="76456276"/>
    <w:rsid w:val="76457A54"/>
    <w:rsid w:val="764A404F"/>
    <w:rsid w:val="7653614B"/>
    <w:rsid w:val="765A4F7C"/>
    <w:rsid w:val="76630A5C"/>
    <w:rsid w:val="76685750"/>
    <w:rsid w:val="7678170F"/>
    <w:rsid w:val="768C1720"/>
    <w:rsid w:val="769154CC"/>
    <w:rsid w:val="769240D1"/>
    <w:rsid w:val="7693088A"/>
    <w:rsid w:val="7694330F"/>
    <w:rsid w:val="769F4D7E"/>
    <w:rsid w:val="76A807E1"/>
    <w:rsid w:val="76A962A1"/>
    <w:rsid w:val="76BE1FCC"/>
    <w:rsid w:val="76C4592C"/>
    <w:rsid w:val="76CE5B4B"/>
    <w:rsid w:val="76CF299A"/>
    <w:rsid w:val="76D8220B"/>
    <w:rsid w:val="76E16306"/>
    <w:rsid w:val="76E95CA3"/>
    <w:rsid w:val="77052A9C"/>
    <w:rsid w:val="77184A48"/>
    <w:rsid w:val="771B0B3F"/>
    <w:rsid w:val="77245CFC"/>
    <w:rsid w:val="77275B85"/>
    <w:rsid w:val="773C075B"/>
    <w:rsid w:val="77405E3B"/>
    <w:rsid w:val="7743012D"/>
    <w:rsid w:val="77454535"/>
    <w:rsid w:val="77490A00"/>
    <w:rsid w:val="77504C66"/>
    <w:rsid w:val="77507622"/>
    <w:rsid w:val="77541C26"/>
    <w:rsid w:val="77542A08"/>
    <w:rsid w:val="776107B6"/>
    <w:rsid w:val="776305DC"/>
    <w:rsid w:val="77630736"/>
    <w:rsid w:val="776871FB"/>
    <w:rsid w:val="776B012D"/>
    <w:rsid w:val="776B56D5"/>
    <w:rsid w:val="777142BE"/>
    <w:rsid w:val="77805993"/>
    <w:rsid w:val="77823158"/>
    <w:rsid w:val="77855366"/>
    <w:rsid w:val="77873CCB"/>
    <w:rsid w:val="778949FB"/>
    <w:rsid w:val="778A7AC9"/>
    <w:rsid w:val="778D63F5"/>
    <w:rsid w:val="77936D84"/>
    <w:rsid w:val="77937E9C"/>
    <w:rsid w:val="77B0796D"/>
    <w:rsid w:val="77BE7373"/>
    <w:rsid w:val="77D0397C"/>
    <w:rsid w:val="77D50738"/>
    <w:rsid w:val="77DB4988"/>
    <w:rsid w:val="77DC4191"/>
    <w:rsid w:val="77DD6C52"/>
    <w:rsid w:val="77E436D7"/>
    <w:rsid w:val="77EA4218"/>
    <w:rsid w:val="78071090"/>
    <w:rsid w:val="780A3874"/>
    <w:rsid w:val="780D5411"/>
    <w:rsid w:val="781252FC"/>
    <w:rsid w:val="7812717E"/>
    <w:rsid w:val="781B345E"/>
    <w:rsid w:val="781F3B09"/>
    <w:rsid w:val="78206465"/>
    <w:rsid w:val="783252F1"/>
    <w:rsid w:val="78373583"/>
    <w:rsid w:val="783B7656"/>
    <w:rsid w:val="784A109B"/>
    <w:rsid w:val="785207AA"/>
    <w:rsid w:val="78587FBE"/>
    <w:rsid w:val="786A62BD"/>
    <w:rsid w:val="78746809"/>
    <w:rsid w:val="78754E4C"/>
    <w:rsid w:val="787F3276"/>
    <w:rsid w:val="78870A4C"/>
    <w:rsid w:val="788C5095"/>
    <w:rsid w:val="78920521"/>
    <w:rsid w:val="78966286"/>
    <w:rsid w:val="78987A03"/>
    <w:rsid w:val="789B47A6"/>
    <w:rsid w:val="78A93859"/>
    <w:rsid w:val="78B04B2C"/>
    <w:rsid w:val="78CA6B37"/>
    <w:rsid w:val="78CD37E5"/>
    <w:rsid w:val="78E17478"/>
    <w:rsid w:val="78E20830"/>
    <w:rsid w:val="78E62870"/>
    <w:rsid w:val="78E75862"/>
    <w:rsid w:val="78EB6D9E"/>
    <w:rsid w:val="78EF34A5"/>
    <w:rsid w:val="78F16139"/>
    <w:rsid w:val="78FE7EB6"/>
    <w:rsid w:val="79085ACC"/>
    <w:rsid w:val="790E396B"/>
    <w:rsid w:val="791B4599"/>
    <w:rsid w:val="792430C3"/>
    <w:rsid w:val="79273702"/>
    <w:rsid w:val="79342F2B"/>
    <w:rsid w:val="79347F12"/>
    <w:rsid w:val="793C2991"/>
    <w:rsid w:val="794216FE"/>
    <w:rsid w:val="79470A3F"/>
    <w:rsid w:val="794C59AD"/>
    <w:rsid w:val="795528C8"/>
    <w:rsid w:val="79574292"/>
    <w:rsid w:val="79597853"/>
    <w:rsid w:val="795A62EB"/>
    <w:rsid w:val="79822418"/>
    <w:rsid w:val="79862654"/>
    <w:rsid w:val="798C1357"/>
    <w:rsid w:val="79904BD6"/>
    <w:rsid w:val="799C07ED"/>
    <w:rsid w:val="79A067DC"/>
    <w:rsid w:val="79A2667D"/>
    <w:rsid w:val="79A26E9D"/>
    <w:rsid w:val="79AE00B3"/>
    <w:rsid w:val="79C050E0"/>
    <w:rsid w:val="79C425CB"/>
    <w:rsid w:val="79CD61E5"/>
    <w:rsid w:val="79CF2C7D"/>
    <w:rsid w:val="79CF57CE"/>
    <w:rsid w:val="79D02E27"/>
    <w:rsid w:val="79E07E20"/>
    <w:rsid w:val="79E11CAE"/>
    <w:rsid w:val="79E4303C"/>
    <w:rsid w:val="79E86C5A"/>
    <w:rsid w:val="79F8110F"/>
    <w:rsid w:val="79FC42F7"/>
    <w:rsid w:val="7A0205BE"/>
    <w:rsid w:val="7A0469B8"/>
    <w:rsid w:val="7A140323"/>
    <w:rsid w:val="7A340771"/>
    <w:rsid w:val="7A3676DA"/>
    <w:rsid w:val="7A3A2B5E"/>
    <w:rsid w:val="7A4E4D10"/>
    <w:rsid w:val="7A5144E4"/>
    <w:rsid w:val="7A5926A9"/>
    <w:rsid w:val="7A5C7572"/>
    <w:rsid w:val="7A5F4D68"/>
    <w:rsid w:val="7A673D06"/>
    <w:rsid w:val="7A697C3C"/>
    <w:rsid w:val="7A6A5E5D"/>
    <w:rsid w:val="7A723436"/>
    <w:rsid w:val="7A7542E8"/>
    <w:rsid w:val="7A89682F"/>
    <w:rsid w:val="7A9854F5"/>
    <w:rsid w:val="7A9B173D"/>
    <w:rsid w:val="7AA0235F"/>
    <w:rsid w:val="7AA9304B"/>
    <w:rsid w:val="7AB5524A"/>
    <w:rsid w:val="7AB96E46"/>
    <w:rsid w:val="7ABA2F56"/>
    <w:rsid w:val="7ACD086B"/>
    <w:rsid w:val="7AD82006"/>
    <w:rsid w:val="7AE161AF"/>
    <w:rsid w:val="7AE45DF5"/>
    <w:rsid w:val="7AF5309C"/>
    <w:rsid w:val="7AFE794D"/>
    <w:rsid w:val="7B0B4832"/>
    <w:rsid w:val="7B0F3662"/>
    <w:rsid w:val="7B1601B0"/>
    <w:rsid w:val="7B1F36A6"/>
    <w:rsid w:val="7B2478B1"/>
    <w:rsid w:val="7B2D4E0F"/>
    <w:rsid w:val="7B537E34"/>
    <w:rsid w:val="7B563075"/>
    <w:rsid w:val="7B5F36F0"/>
    <w:rsid w:val="7B631FD2"/>
    <w:rsid w:val="7B6B620B"/>
    <w:rsid w:val="7B704EC0"/>
    <w:rsid w:val="7B7609F6"/>
    <w:rsid w:val="7B7A0497"/>
    <w:rsid w:val="7B86008B"/>
    <w:rsid w:val="7B8C3B67"/>
    <w:rsid w:val="7B9A531C"/>
    <w:rsid w:val="7BA57897"/>
    <w:rsid w:val="7BA657FE"/>
    <w:rsid w:val="7BAA36F2"/>
    <w:rsid w:val="7BAD6CEE"/>
    <w:rsid w:val="7BB64D26"/>
    <w:rsid w:val="7BC004AC"/>
    <w:rsid w:val="7BD54B62"/>
    <w:rsid w:val="7BDA6A57"/>
    <w:rsid w:val="7BDE47EC"/>
    <w:rsid w:val="7BE75DCF"/>
    <w:rsid w:val="7BEA0656"/>
    <w:rsid w:val="7BEB0E0D"/>
    <w:rsid w:val="7C062D56"/>
    <w:rsid w:val="7C085B43"/>
    <w:rsid w:val="7C0B460F"/>
    <w:rsid w:val="7C0C1E0E"/>
    <w:rsid w:val="7C1124CD"/>
    <w:rsid w:val="7C113C82"/>
    <w:rsid w:val="7C126BE2"/>
    <w:rsid w:val="7C166B1F"/>
    <w:rsid w:val="7C1E4527"/>
    <w:rsid w:val="7C223BCB"/>
    <w:rsid w:val="7C2C5281"/>
    <w:rsid w:val="7C371746"/>
    <w:rsid w:val="7C376D5B"/>
    <w:rsid w:val="7C47260F"/>
    <w:rsid w:val="7C4C41DA"/>
    <w:rsid w:val="7C5767BB"/>
    <w:rsid w:val="7C596613"/>
    <w:rsid w:val="7C5A6A25"/>
    <w:rsid w:val="7C66634F"/>
    <w:rsid w:val="7C6B302A"/>
    <w:rsid w:val="7C747FD1"/>
    <w:rsid w:val="7C8B0438"/>
    <w:rsid w:val="7C8D6D98"/>
    <w:rsid w:val="7C963D37"/>
    <w:rsid w:val="7C9C61D4"/>
    <w:rsid w:val="7CA629E3"/>
    <w:rsid w:val="7CB15B0F"/>
    <w:rsid w:val="7CBA407A"/>
    <w:rsid w:val="7CC17AEE"/>
    <w:rsid w:val="7CC91F37"/>
    <w:rsid w:val="7CD83172"/>
    <w:rsid w:val="7CDA43CC"/>
    <w:rsid w:val="7CDB18D8"/>
    <w:rsid w:val="7CE620B0"/>
    <w:rsid w:val="7CEB23E6"/>
    <w:rsid w:val="7CED73A3"/>
    <w:rsid w:val="7CF05A1F"/>
    <w:rsid w:val="7D010058"/>
    <w:rsid w:val="7D0E2233"/>
    <w:rsid w:val="7D147EA7"/>
    <w:rsid w:val="7D2862C5"/>
    <w:rsid w:val="7D2C65DE"/>
    <w:rsid w:val="7D342E78"/>
    <w:rsid w:val="7D346E1A"/>
    <w:rsid w:val="7D355D1E"/>
    <w:rsid w:val="7D3623BA"/>
    <w:rsid w:val="7D3A0098"/>
    <w:rsid w:val="7D3A1623"/>
    <w:rsid w:val="7D405F99"/>
    <w:rsid w:val="7D4F77F9"/>
    <w:rsid w:val="7D613F5D"/>
    <w:rsid w:val="7D695AD7"/>
    <w:rsid w:val="7D6B2DC5"/>
    <w:rsid w:val="7D701814"/>
    <w:rsid w:val="7D753586"/>
    <w:rsid w:val="7D785678"/>
    <w:rsid w:val="7D946CEE"/>
    <w:rsid w:val="7DA319B6"/>
    <w:rsid w:val="7DB255C4"/>
    <w:rsid w:val="7DB36846"/>
    <w:rsid w:val="7DBE681B"/>
    <w:rsid w:val="7DCB32A0"/>
    <w:rsid w:val="7DD05C37"/>
    <w:rsid w:val="7DD11722"/>
    <w:rsid w:val="7DD94655"/>
    <w:rsid w:val="7E0E568D"/>
    <w:rsid w:val="7E0F5DA8"/>
    <w:rsid w:val="7E105D5B"/>
    <w:rsid w:val="7E3A16D0"/>
    <w:rsid w:val="7E452282"/>
    <w:rsid w:val="7E657D32"/>
    <w:rsid w:val="7E66152E"/>
    <w:rsid w:val="7E6C0835"/>
    <w:rsid w:val="7E7B1C37"/>
    <w:rsid w:val="7E81137C"/>
    <w:rsid w:val="7E816FE6"/>
    <w:rsid w:val="7E820CAD"/>
    <w:rsid w:val="7E8750AC"/>
    <w:rsid w:val="7E8B7993"/>
    <w:rsid w:val="7E9728B2"/>
    <w:rsid w:val="7EAE4D8F"/>
    <w:rsid w:val="7EB20262"/>
    <w:rsid w:val="7EBB10F0"/>
    <w:rsid w:val="7EBE3DF3"/>
    <w:rsid w:val="7EC93048"/>
    <w:rsid w:val="7ECA713D"/>
    <w:rsid w:val="7ECB6C54"/>
    <w:rsid w:val="7ECD7090"/>
    <w:rsid w:val="7EEB321E"/>
    <w:rsid w:val="7EF84F19"/>
    <w:rsid w:val="7EF8592D"/>
    <w:rsid w:val="7EFC422A"/>
    <w:rsid w:val="7F0543C2"/>
    <w:rsid w:val="7F056F10"/>
    <w:rsid w:val="7F074B63"/>
    <w:rsid w:val="7F09155B"/>
    <w:rsid w:val="7F0B32A9"/>
    <w:rsid w:val="7F1239F9"/>
    <w:rsid w:val="7F18252B"/>
    <w:rsid w:val="7F19717B"/>
    <w:rsid w:val="7F346D81"/>
    <w:rsid w:val="7F3958DC"/>
    <w:rsid w:val="7F3F3B71"/>
    <w:rsid w:val="7F4872EE"/>
    <w:rsid w:val="7F5B41D9"/>
    <w:rsid w:val="7F5E2E8B"/>
    <w:rsid w:val="7F7B6752"/>
    <w:rsid w:val="7F845D0F"/>
    <w:rsid w:val="7F8C12C7"/>
    <w:rsid w:val="7F9F0393"/>
    <w:rsid w:val="7FB2258F"/>
    <w:rsid w:val="7FB90D19"/>
    <w:rsid w:val="7FC12E14"/>
    <w:rsid w:val="7FC36A20"/>
    <w:rsid w:val="7FD63068"/>
    <w:rsid w:val="7FD81D4E"/>
    <w:rsid w:val="7FD92F9D"/>
    <w:rsid w:val="7FDC46F1"/>
    <w:rsid w:val="7FDF7ADA"/>
    <w:rsid w:val="7FE23845"/>
    <w:rsid w:val="7FF273B2"/>
    <w:rsid w:val="7FF547F4"/>
    <w:rsid w:val="7FFD4E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Ascii" w:hAnsiTheme="minorAscii" w:eastAsiaTheme="minorEastAsia" w:cstheme="minorBidi"/>
      <w:kern w:val="2"/>
      <w:sz w:val="21"/>
      <w:szCs w:val="24"/>
      <w:lang w:val="en-US" w:eastAsia="zh-CN" w:bidi="ar-SA"/>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ascii="Calibri" w:hAnsi="Calibri" w:eastAsia="宋体" w:cs="Times New Roman"/>
      <w:b/>
      <w:sz w:val="24"/>
      <w:szCs w:val="2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262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2026-01-20T10:58:00Z</dcterms:created>
  <dc:creator>车诒慧</dc:creator>
  <cp:lastModifiedBy>刘成</cp:lastModifiedBy>
  <dcterms:modified xsi:type="dcterms:W3CDTF">2026-03-16T09:18:53Z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7B444F00FB07424DB87CB1EFF02C54BD</vt:lpwstr>
  </property>
</Properties>
</file>