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FCD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b/>
          <w:sz w:val="52"/>
          <w:lang w:val="en-US" w:eastAsia="zh-CN"/>
        </w:rPr>
      </w:pPr>
      <w:r>
        <w:rPr>
          <w:rFonts w:hint="eastAsia" w:ascii="黑体" w:hAnsi="黑体" w:eastAsia="黑体" w:cs="黑体"/>
          <w:b/>
          <w:sz w:val="52"/>
          <w:lang w:eastAsia="zh-CN"/>
        </w:rPr>
        <w:drawing>
          <wp:anchor distT="0" distB="0" distL="114300" distR="114300" simplePos="0" relativeHeight="251659264" behindDoc="1" locked="0" layoutInCell="1" allowOverlap="1">
            <wp:simplePos x="0" y="0"/>
            <wp:positionH relativeFrom="column">
              <wp:posOffset>-1043940</wp:posOffset>
            </wp:positionH>
            <wp:positionV relativeFrom="paragraph">
              <wp:posOffset>-834390</wp:posOffset>
            </wp:positionV>
            <wp:extent cx="7416165" cy="2376805"/>
            <wp:effectExtent l="0" t="0" r="0" b="0"/>
            <wp:wrapTight wrapText="bothSides">
              <wp:wrapPolygon>
                <wp:start x="0" y="0"/>
                <wp:lineTo x="0" y="21288"/>
                <wp:lineTo x="21380" y="21288"/>
                <wp:lineTo x="21380" y="0"/>
                <wp:lineTo x="0" y="0"/>
              </wp:wrapPolygon>
            </wp:wrapTight>
            <wp:docPr id="6"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8" descr="模板-3"/>
                    <pic:cNvPicPr>
                      <a:picLocks noChangeAspect="1"/>
                    </pic:cNvPicPr>
                  </pic:nvPicPr>
                  <pic:blipFill>
                    <a:blip r:embed="rId14"/>
                    <a:srcRect l="499" t="710"/>
                    <a:stretch>
                      <a:fillRect/>
                    </a:stretch>
                  </pic:blipFill>
                  <pic:spPr>
                    <a:xfrm>
                      <a:off x="0" y="0"/>
                      <a:ext cx="7416165" cy="2376805"/>
                    </a:xfrm>
                    <a:prstGeom prst="rect">
                      <a:avLst/>
                    </a:prstGeom>
                    <a:noFill/>
                    <a:ln>
                      <a:noFill/>
                    </a:ln>
                  </pic:spPr>
                </pic:pic>
              </a:graphicData>
            </a:graphic>
          </wp:anchor>
        </w:drawing>
      </w:r>
      <w:r>
        <w:rPr>
          <w:rFonts w:hint="eastAsia" w:ascii="黑体" w:hAnsi="黑体" w:eastAsia="黑体" w:cs="黑体"/>
          <w:b/>
          <w:sz w:val="52"/>
          <w:lang w:eastAsia="zh-CN"/>
        </w:rPr>
        <w:t>电力开源物联版</w:t>
      </w:r>
      <w:r>
        <w:rPr>
          <w:rFonts w:hint="eastAsia" w:ascii="黑体" w:hAnsi="黑体" w:eastAsia="黑体" w:cs="黑体"/>
          <w:b/>
          <w:sz w:val="52"/>
          <w:lang w:val="en-US" w:eastAsia="zh-CN"/>
        </w:rPr>
        <w:t>电力开源物联版配电物联代理单元</w:t>
      </w:r>
    </w:p>
    <w:p w14:paraId="006F7E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sz w:val="52"/>
          <w:lang w:eastAsia="zh-CN"/>
        </w:rPr>
      </w:pPr>
      <w:r>
        <w:rPr>
          <w:rFonts w:hint="eastAsia" w:ascii="黑体" w:hAnsi="黑体" w:eastAsia="黑体" w:cs="黑体"/>
          <w:b/>
          <w:sz w:val="52"/>
          <w:lang w:eastAsia="zh-CN"/>
        </w:rPr>
        <w:t>技术规范书</w:t>
      </w:r>
    </w:p>
    <w:p w14:paraId="0F7AD60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sz w:val="52"/>
          <w:lang w:eastAsia="zh-CN"/>
        </w:rPr>
      </w:pPr>
      <w:r>
        <w:rPr>
          <w:rFonts w:hint="eastAsia" w:ascii="黑体" w:hAnsi="黑体" w:eastAsia="黑体" w:cs="黑体"/>
          <w:b/>
          <w:sz w:val="52"/>
          <w:lang w:eastAsia="zh-CN"/>
        </w:rPr>
        <w:t>（通用部分）</w:t>
      </w:r>
    </w:p>
    <w:p w14:paraId="053755B0">
      <w:pPr>
        <w:keepNext w:val="0"/>
        <w:keepLines w:val="0"/>
        <w:pageBreakBefore w:val="0"/>
        <w:widowControl w:val="0"/>
        <w:kinsoku/>
        <w:wordWrap/>
        <w:overflowPunct/>
        <w:topLinePunct w:val="0"/>
        <w:autoSpaceDE/>
        <w:autoSpaceDN/>
        <w:bidi w:val="0"/>
        <w:adjustRightInd/>
        <w:snapToGrid/>
        <w:spacing w:before="624" w:beforeLines="200"/>
        <w:ind w:firstLine="0" w:firstLineChars="0"/>
        <w:jc w:val="center"/>
        <w:textAlignment w:val="auto"/>
        <w:rPr>
          <w:rFonts w:hint="default" w:ascii="Times New Roman" w:hAnsi="Times New Roman" w:eastAsia="黑体" w:cs="Times New Roman"/>
          <w:b/>
          <w:sz w:val="36"/>
        </w:rPr>
      </w:pPr>
      <w:r>
        <w:rPr>
          <w:rFonts w:hint="default" w:ascii="Times New Roman" w:hAnsi="Times New Roman" w:eastAsia="黑体" w:cs="Times New Roman"/>
          <w:b/>
          <w:sz w:val="36"/>
        </w:rPr>
        <w:t>版本号：202</w:t>
      </w:r>
      <w:r>
        <w:rPr>
          <w:rFonts w:hint="eastAsia" w:ascii="Times New Roman" w:hAnsi="Times New Roman" w:eastAsia="黑体" w:cs="Times New Roman"/>
          <w:b/>
          <w:sz w:val="36"/>
          <w:lang w:val="en-US" w:eastAsia="zh-CN"/>
        </w:rPr>
        <w:t>6</w:t>
      </w:r>
      <w:r>
        <w:rPr>
          <w:rFonts w:hint="default" w:ascii="Times New Roman" w:hAnsi="Times New Roman" w:eastAsia="黑体" w:cs="Times New Roman"/>
          <w:b/>
          <w:sz w:val="36"/>
        </w:rPr>
        <w:t>版</w:t>
      </w:r>
    </w:p>
    <w:p w14:paraId="5E68ECA2">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5B69C3C7">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3457515E">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6135A2C3">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71071EB7">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5625351B">
      <w:pPr>
        <w:pStyle w:val="3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eastAsia="宋体" w:cs="Times New Roman"/>
          <w:b/>
          <w:sz w:val="36"/>
        </w:rPr>
      </w:pPr>
    </w:p>
    <w:p w14:paraId="1AE8DA0B">
      <w:pPr>
        <w:pStyle w:val="32"/>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eastAsia="黑体" w:cs="Times New Roman"/>
          <w:b/>
          <w:sz w:val="36"/>
        </w:rPr>
      </w:pPr>
    </w:p>
    <w:p w14:paraId="281818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
          <w:spacing w:val="20"/>
          <w:w w:val="135"/>
          <w:sz w:val="30"/>
        </w:rPr>
      </w:pPr>
      <w:r>
        <w:rPr>
          <w:rFonts w:hint="default" w:ascii="Times New Roman" w:hAnsi="Times New Roman" w:eastAsia="黑体" w:cs="Times New Roman"/>
          <w:b/>
          <w:spacing w:val="20"/>
          <w:w w:val="135"/>
          <w:sz w:val="30"/>
        </w:rPr>
        <w:t>中国南方电网有限责任公司</w:t>
      </w:r>
    </w:p>
    <w:p w14:paraId="686FB2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
          <w:spacing w:val="20"/>
          <w:w w:val="135"/>
          <w:sz w:val="30"/>
        </w:rPr>
      </w:pPr>
      <w:r>
        <w:rPr>
          <w:rFonts w:hint="default" w:ascii="Times New Roman" w:hAnsi="Times New Roman" w:eastAsia="黑体" w:cs="Times New Roman"/>
          <w:b/>
          <w:spacing w:val="20"/>
          <w:w w:val="135"/>
          <w:sz w:val="30"/>
        </w:rPr>
        <w:t>202</w:t>
      </w:r>
      <w:r>
        <w:rPr>
          <w:rFonts w:hint="eastAsia" w:ascii="Times New Roman" w:hAnsi="Times New Roman" w:eastAsia="黑体" w:cs="Times New Roman"/>
          <w:b/>
          <w:spacing w:val="20"/>
          <w:w w:val="135"/>
          <w:sz w:val="30"/>
          <w:lang w:val="en-US" w:eastAsia="zh-CN"/>
        </w:rPr>
        <w:t>6</w:t>
      </w:r>
      <w:r>
        <w:rPr>
          <w:rFonts w:hint="default" w:ascii="Times New Roman" w:hAnsi="Times New Roman" w:eastAsia="黑体" w:cs="Times New Roman"/>
          <w:b/>
          <w:spacing w:val="20"/>
          <w:w w:val="135"/>
          <w:sz w:val="30"/>
        </w:rPr>
        <w:t>年</w:t>
      </w:r>
      <w:r>
        <w:rPr>
          <w:rFonts w:hint="eastAsia" w:ascii="Times New Roman" w:hAnsi="Times New Roman" w:eastAsia="黑体" w:cs="Times New Roman"/>
          <w:b/>
          <w:spacing w:val="20"/>
          <w:w w:val="135"/>
          <w:sz w:val="30"/>
          <w:lang w:val="en-US" w:eastAsia="zh-CN"/>
        </w:rPr>
        <w:t>3</w:t>
      </w:r>
      <w:r>
        <w:rPr>
          <w:rFonts w:hint="default" w:ascii="Times New Roman" w:hAnsi="Times New Roman" w:eastAsia="黑体" w:cs="Times New Roman"/>
          <w:b/>
          <w:spacing w:val="20"/>
          <w:w w:val="135"/>
          <w:sz w:val="30"/>
        </w:rPr>
        <w:t>月</w:t>
      </w:r>
    </w:p>
    <w:p w14:paraId="388644BE">
      <w:pPr>
        <w:rPr>
          <w:rFonts w:hint="eastAsia" w:ascii="仿宋_GB2312" w:hAnsi="仿宋_GB2312" w:eastAsia="仿宋_GB2312" w:cs="仿宋_GB2312"/>
          <w:b/>
          <w:sz w:val="44"/>
          <w:szCs w:val="44"/>
        </w:rPr>
      </w:pPr>
    </w:p>
    <w:p w14:paraId="2148035D">
      <w:pPr>
        <w:rPr>
          <w:rFonts w:hint="eastAsia" w:ascii="仿宋_GB2312" w:hAnsi="仿宋_GB2312" w:eastAsia="仿宋_GB2312" w:cs="仿宋_GB2312"/>
          <w:b/>
          <w:sz w:val="44"/>
          <w:szCs w:val="44"/>
        </w:rPr>
      </w:pPr>
    </w:p>
    <w:p w14:paraId="17AAF379">
      <w:pPr>
        <w:spacing w:before="312" w:beforeLines="100" w:line="560" w:lineRule="exact"/>
        <w:ind w:firstLine="880"/>
        <w:jc w:val="center"/>
        <w:rPr>
          <w:bCs/>
          <w:sz w:val="44"/>
          <w:szCs w:val="44"/>
        </w:rPr>
      </w:pPr>
      <w:r>
        <w:rPr>
          <w:rFonts w:hint="eastAsia" w:ascii="仿宋_GB2312" w:hAnsi="仿宋_GB2312" w:eastAsia="仿宋_GB2312" w:cs="仿宋_GB2312"/>
          <w:b/>
          <w:sz w:val="44"/>
          <w:szCs w:val="44"/>
        </w:rPr>
        <w:t>知识产权声明</w:t>
      </w:r>
    </w:p>
    <w:p w14:paraId="03C729E6">
      <w:pPr>
        <w:spacing w:line="560" w:lineRule="exact"/>
        <w:ind w:firstLine="643"/>
        <w:jc w:val="center"/>
        <w:rPr>
          <w:b/>
          <w:sz w:val="32"/>
          <w:szCs w:val="32"/>
        </w:rPr>
      </w:pPr>
    </w:p>
    <w:p w14:paraId="0F28B766">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南方电网公司拥有本作品的知识产权，未经南方电网公司书面许可，任何单位和个人不得擅自</w:t>
      </w:r>
      <w:r>
        <w:rPr>
          <w:rFonts w:hint="eastAsia" w:ascii="仿宋_GB2312" w:hAnsi="仿宋_GB2312" w:eastAsia="仿宋_GB2312" w:cs="仿宋_GB2312"/>
          <w:color w:val="333333"/>
          <w:sz w:val="32"/>
          <w:szCs w:val="32"/>
        </w:rPr>
        <w:t>使用（包括但不限于复制、发行、转载、通过信息网络传播等）</w:t>
      </w:r>
      <w:r>
        <w:rPr>
          <w:rFonts w:hint="eastAsia" w:ascii="仿宋_GB2312" w:hAnsi="仿宋_GB2312" w:eastAsia="仿宋_GB2312" w:cs="仿宋_GB2312"/>
          <w:sz w:val="32"/>
          <w:szCs w:val="32"/>
        </w:rPr>
        <w:t>，否则，南方电网公司将依法追究法律责任。</w:t>
      </w:r>
    </w:p>
    <w:p w14:paraId="3041E297">
      <w:pPr>
        <w:spacing w:line="560" w:lineRule="exact"/>
        <w:ind w:firstLine="560"/>
        <w:rPr>
          <w:sz w:val="28"/>
          <w:szCs w:val="28"/>
        </w:rPr>
      </w:pPr>
    </w:p>
    <w:p w14:paraId="7D8C222A">
      <w:pPr>
        <w:spacing w:line="560" w:lineRule="exact"/>
        <w:ind w:firstLine="0" w:firstLineChars="0"/>
        <w:rPr>
          <w:b/>
          <w:bCs/>
          <w:sz w:val="44"/>
          <w:szCs w:val="44"/>
        </w:rPr>
      </w:pPr>
    </w:p>
    <w:p w14:paraId="3FEA26AC">
      <w:pPr>
        <w:spacing w:line="560" w:lineRule="exact"/>
        <w:ind w:firstLine="420" w:firstLineChars="0"/>
        <w:rPr>
          <w:b/>
          <w:bCs/>
          <w:sz w:val="44"/>
          <w:szCs w:val="44"/>
        </w:rPr>
      </w:pPr>
      <w:r>
        <w:rPr>
          <w:b/>
          <w:bCs/>
          <w:sz w:val="44"/>
          <w:szCs w:val="44"/>
        </w:rPr>
        <w:t>Intellectual Property Rights Statement</w:t>
      </w:r>
    </w:p>
    <w:p w14:paraId="72BD0AE0">
      <w:pPr>
        <w:spacing w:line="560" w:lineRule="exact"/>
        <w:ind w:firstLine="640"/>
        <w:rPr>
          <w:sz w:val="32"/>
          <w:szCs w:val="32"/>
        </w:rPr>
      </w:pPr>
    </w:p>
    <w:p w14:paraId="3AB950D2">
      <w:pPr>
        <w:ind w:firstLine="640"/>
      </w:pPr>
      <w:r>
        <w:rPr>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14:paraId="394AC48E">
      <w:pPr>
        <w:ind w:firstLine="420"/>
      </w:pPr>
    </w:p>
    <w:p w14:paraId="06D9AA81">
      <w:pPr>
        <w:ind w:firstLine="420"/>
      </w:pPr>
      <w:r>
        <w:br w:type="page"/>
      </w:r>
      <w:r>
        <w:t>本规范对应的专用技术规范目录</w:t>
      </w:r>
    </w:p>
    <w:tbl>
      <w:tblPr>
        <w:tblStyle w:val="33"/>
        <w:tblW w:w="0" w:type="auto"/>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4723"/>
        <w:gridCol w:w="2840"/>
      </w:tblGrid>
      <w:tr w14:paraId="743DE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14:paraId="2CC4D4F7">
            <w:pPr>
              <w:ind w:firstLine="0" w:firstLineChars="0"/>
              <w:jc w:val="center"/>
              <w:rPr>
                <w:szCs w:val="21"/>
              </w:rPr>
            </w:pPr>
            <w:r>
              <w:t>序号</w:t>
            </w:r>
          </w:p>
        </w:tc>
        <w:tc>
          <w:tcPr>
            <w:tcW w:w="4723" w:type="dxa"/>
          </w:tcPr>
          <w:p w14:paraId="2C2E944B">
            <w:pPr>
              <w:ind w:firstLine="420"/>
              <w:jc w:val="center"/>
              <w:rPr>
                <w:szCs w:val="21"/>
              </w:rPr>
            </w:pPr>
            <w:r>
              <w:t>名称</w:t>
            </w:r>
          </w:p>
        </w:tc>
        <w:tc>
          <w:tcPr>
            <w:tcW w:w="2840" w:type="dxa"/>
          </w:tcPr>
          <w:p w14:paraId="7D1E8C1D">
            <w:pPr>
              <w:ind w:firstLine="420"/>
              <w:jc w:val="center"/>
              <w:rPr>
                <w:szCs w:val="21"/>
              </w:rPr>
            </w:pPr>
            <w:r>
              <w:t>编号</w:t>
            </w:r>
          </w:p>
        </w:tc>
      </w:tr>
      <w:tr w14:paraId="73637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vAlign w:val="center"/>
          </w:tcPr>
          <w:p w14:paraId="3633ACB2">
            <w:pPr>
              <w:ind w:firstLine="420"/>
              <w:rPr>
                <w:szCs w:val="21"/>
              </w:rPr>
            </w:pPr>
            <w:r>
              <w:t>1</w:t>
            </w:r>
          </w:p>
        </w:tc>
        <w:tc>
          <w:tcPr>
            <w:tcW w:w="4723" w:type="dxa"/>
            <w:vAlign w:val="center"/>
          </w:tcPr>
          <w:p w14:paraId="44109C11">
            <w:pPr>
              <w:ind w:firstLine="420"/>
              <w:jc w:val="center"/>
              <w:rPr>
                <w:szCs w:val="21"/>
              </w:rPr>
            </w:pPr>
            <w:r>
              <w:rPr>
                <w:rFonts w:hint="eastAsia"/>
                <w:lang w:eastAsia="zh-CN"/>
              </w:rPr>
              <w:t>电力开源物联版配电物联代理单元</w:t>
            </w:r>
            <w:r>
              <w:t>技术规范书（专用部分）</w:t>
            </w:r>
          </w:p>
        </w:tc>
        <w:tc>
          <w:tcPr>
            <w:tcW w:w="2840" w:type="dxa"/>
            <w:vAlign w:val="center"/>
          </w:tcPr>
          <w:p w14:paraId="535CE498">
            <w:pPr>
              <w:widowControl/>
              <w:ind w:firstLine="480"/>
              <w:jc w:val="center"/>
              <w:textAlignment w:val="center"/>
              <w:rPr>
                <w:rFonts w:hint="eastAsia" w:ascii="仿宋" w:hAnsi="仿宋" w:eastAsia="仿宋" w:cs="仿宋"/>
                <w:color w:val="000000"/>
                <w:kern w:val="0"/>
                <w:sz w:val="24"/>
                <w:szCs w:val="24"/>
                <w:lang w:bidi="ar"/>
              </w:rPr>
            </w:pPr>
          </w:p>
        </w:tc>
      </w:tr>
      <w:tr w14:paraId="51C91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14:paraId="69EF4923">
            <w:pPr>
              <w:ind w:firstLine="420"/>
              <w:jc w:val="center"/>
              <w:rPr>
                <w:szCs w:val="21"/>
              </w:rPr>
            </w:pPr>
          </w:p>
        </w:tc>
        <w:tc>
          <w:tcPr>
            <w:tcW w:w="4723" w:type="dxa"/>
            <w:vAlign w:val="center"/>
          </w:tcPr>
          <w:p w14:paraId="2F0409E3">
            <w:pPr>
              <w:ind w:firstLine="420"/>
              <w:jc w:val="left"/>
              <w:rPr>
                <w:szCs w:val="21"/>
              </w:rPr>
            </w:pPr>
          </w:p>
        </w:tc>
        <w:tc>
          <w:tcPr>
            <w:tcW w:w="2840" w:type="dxa"/>
            <w:vAlign w:val="center"/>
          </w:tcPr>
          <w:p w14:paraId="0FF0B06E">
            <w:pPr>
              <w:ind w:firstLine="420"/>
              <w:jc w:val="center"/>
              <w:rPr>
                <w:szCs w:val="21"/>
              </w:rPr>
            </w:pPr>
          </w:p>
        </w:tc>
      </w:tr>
      <w:tr w14:paraId="0E346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14:paraId="79AF5619">
            <w:pPr>
              <w:ind w:firstLine="420"/>
              <w:jc w:val="center"/>
              <w:rPr>
                <w:szCs w:val="21"/>
              </w:rPr>
            </w:pPr>
          </w:p>
        </w:tc>
        <w:tc>
          <w:tcPr>
            <w:tcW w:w="4723" w:type="dxa"/>
            <w:vAlign w:val="center"/>
          </w:tcPr>
          <w:p w14:paraId="047FE038">
            <w:pPr>
              <w:ind w:firstLine="420"/>
              <w:jc w:val="left"/>
              <w:rPr>
                <w:szCs w:val="21"/>
              </w:rPr>
            </w:pPr>
          </w:p>
        </w:tc>
        <w:tc>
          <w:tcPr>
            <w:tcW w:w="2840" w:type="dxa"/>
            <w:vAlign w:val="center"/>
          </w:tcPr>
          <w:p w14:paraId="02DFD1E7">
            <w:pPr>
              <w:ind w:firstLine="420"/>
              <w:jc w:val="center"/>
              <w:rPr>
                <w:szCs w:val="21"/>
              </w:rPr>
            </w:pPr>
          </w:p>
        </w:tc>
      </w:tr>
      <w:tr w14:paraId="2A9392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14:paraId="24572F71">
            <w:pPr>
              <w:ind w:firstLine="420"/>
              <w:jc w:val="center"/>
              <w:rPr>
                <w:szCs w:val="21"/>
              </w:rPr>
            </w:pPr>
          </w:p>
        </w:tc>
        <w:tc>
          <w:tcPr>
            <w:tcW w:w="4723" w:type="dxa"/>
          </w:tcPr>
          <w:p w14:paraId="72E64120">
            <w:pPr>
              <w:ind w:firstLine="420"/>
              <w:jc w:val="center"/>
              <w:rPr>
                <w:szCs w:val="21"/>
              </w:rPr>
            </w:pPr>
          </w:p>
        </w:tc>
        <w:tc>
          <w:tcPr>
            <w:tcW w:w="2840" w:type="dxa"/>
          </w:tcPr>
          <w:p w14:paraId="727CCAAB">
            <w:pPr>
              <w:ind w:firstLine="420"/>
              <w:jc w:val="center"/>
              <w:rPr>
                <w:szCs w:val="21"/>
              </w:rPr>
            </w:pPr>
          </w:p>
        </w:tc>
      </w:tr>
      <w:tr w14:paraId="5C881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14:paraId="674A3A05">
            <w:pPr>
              <w:ind w:firstLine="420"/>
              <w:jc w:val="center"/>
              <w:rPr>
                <w:szCs w:val="21"/>
              </w:rPr>
            </w:pPr>
          </w:p>
        </w:tc>
        <w:tc>
          <w:tcPr>
            <w:tcW w:w="4723" w:type="dxa"/>
          </w:tcPr>
          <w:p w14:paraId="09DDEBE3">
            <w:pPr>
              <w:ind w:firstLine="420"/>
              <w:jc w:val="center"/>
              <w:rPr>
                <w:szCs w:val="21"/>
              </w:rPr>
            </w:pPr>
          </w:p>
        </w:tc>
        <w:tc>
          <w:tcPr>
            <w:tcW w:w="2840" w:type="dxa"/>
          </w:tcPr>
          <w:p w14:paraId="72FA3813">
            <w:pPr>
              <w:ind w:firstLine="420"/>
              <w:jc w:val="center"/>
              <w:rPr>
                <w:szCs w:val="21"/>
              </w:rPr>
            </w:pPr>
          </w:p>
        </w:tc>
      </w:tr>
    </w:tbl>
    <w:p w14:paraId="64EC7CBD">
      <w:pPr>
        <w:ind w:firstLine="420"/>
        <w:sectPr>
          <w:headerReference r:id="rId7" w:type="first"/>
          <w:footerReference r:id="rId10" w:type="first"/>
          <w:headerReference r:id="rId5" w:type="default"/>
          <w:footerReference r:id="rId8" w:type="default"/>
          <w:headerReference r:id="rId6" w:type="even"/>
          <w:footerReference r:id="rId9" w:type="even"/>
          <w:pgSz w:w="11906" w:h="16838"/>
          <w:pgMar w:top="1440" w:right="1486" w:bottom="1440" w:left="1380" w:header="851" w:footer="992" w:gutter="0"/>
          <w:pgNumType w:start="1"/>
          <w:cols w:space="720" w:num="1"/>
          <w:docGrid w:type="lines" w:linePitch="312" w:charSpace="0"/>
        </w:sectPr>
      </w:pPr>
    </w:p>
    <w:p w14:paraId="37BA2F5E">
      <w:pPr>
        <w:pStyle w:val="30"/>
        <w:ind w:firstLine="562"/>
        <w:rPr>
          <w:sz w:val="28"/>
          <w:szCs w:val="28"/>
          <w:lang w:val="zh-CN"/>
        </w:rPr>
      </w:pPr>
      <w:bookmarkStart w:id="0" w:name="_Toc3666"/>
      <w:bookmarkStart w:id="1" w:name="_Toc15016"/>
      <w:bookmarkStart w:id="2" w:name="_Toc9964"/>
      <w:bookmarkStart w:id="3" w:name="_Toc32669"/>
      <w:bookmarkStart w:id="4" w:name="_Toc30518"/>
      <w:bookmarkStart w:id="5" w:name="_Toc1558"/>
      <w:bookmarkStart w:id="6" w:name="_Toc25168"/>
      <w:bookmarkStart w:id="7" w:name="_Toc3576"/>
      <w:bookmarkStart w:id="8" w:name="_Toc9379"/>
      <w:bookmarkStart w:id="9" w:name="_Toc18992"/>
      <w:bookmarkStart w:id="10" w:name="_Toc30087"/>
      <w:bookmarkStart w:id="11" w:name="_Toc27289"/>
      <w:bookmarkStart w:id="12" w:name="_Toc2915"/>
      <w:bookmarkStart w:id="13" w:name="_Toc32081"/>
      <w:bookmarkStart w:id="14" w:name="_Toc32422"/>
      <w:bookmarkStart w:id="15" w:name="_Toc30112"/>
      <w:bookmarkStart w:id="16" w:name="_Toc7792"/>
      <w:bookmarkStart w:id="17" w:name="_Toc13504"/>
      <w:r>
        <w:rPr>
          <w:sz w:val="28"/>
          <w:szCs w:val="28"/>
          <w:lang w:val="zh-CN"/>
        </w:rPr>
        <w:t>目    录</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C04D33">
      <w:pPr>
        <w:pStyle w:val="25"/>
        <w:tabs>
          <w:tab w:val="right" w:leader="dot" w:pos="8306"/>
          <w:tab w:val="clear" w:pos="284"/>
          <w:tab w:val="clear" w:pos="8296"/>
        </w:tabs>
      </w:pPr>
      <w:r>
        <w:fldChar w:fldCharType="begin"/>
      </w:r>
      <w:r>
        <w:instrText xml:space="preserve">TOC \o "1-2" \h \u </w:instrText>
      </w:r>
      <w:r>
        <w:fldChar w:fldCharType="separate"/>
      </w:r>
      <w:r>
        <w:fldChar w:fldCharType="begin"/>
      </w:r>
      <w:r>
        <w:instrText xml:space="preserve"> HYPERLINK \l _Toc30112 </w:instrText>
      </w:r>
      <w:r>
        <w:fldChar w:fldCharType="separate"/>
      </w:r>
      <w:r>
        <w:rPr>
          <w:szCs w:val="28"/>
          <w:lang w:val="zh-CN"/>
        </w:rPr>
        <w:t>目    录</w:t>
      </w:r>
      <w:r>
        <w:tab/>
      </w:r>
      <w:r>
        <w:fldChar w:fldCharType="begin"/>
      </w:r>
      <w:r>
        <w:instrText xml:space="preserve"> PAGEREF _Toc30112 \h </w:instrText>
      </w:r>
      <w:r>
        <w:fldChar w:fldCharType="separate"/>
      </w:r>
      <w:r>
        <w:t>1</w:t>
      </w:r>
      <w:r>
        <w:fldChar w:fldCharType="end"/>
      </w:r>
      <w:r>
        <w:fldChar w:fldCharType="end"/>
      </w:r>
    </w:p>
    <w:p w14:paraId="76B1A98E">
      <w:pPr>
        <w:pStyle w:val="25"/>
        <w:tabs>
          <w:tab w:val="right" w:leader="dot" w:pos="8306"/>
          <w:tab w:val="clear" w:pos="284"/>
          <w:tab w:val="clear" w:pos="8296"/>
        </w:tabs>
      </w:pPr>
      <w:r>
        <w:fldChar w:fldCharType="begin"/>
      </w:r>
      <w:r>
        <w:instrText xml:space="preserve"> HYPERLINK \l _Toc1817 </w:instrText>
      </w:r>
      <w:r>
        <w:fldChar w:fldCharType="separate"/>
      </w:r>
      <w:r>
        <w:rPr>
          <w:rFonts w:hint="default"/>
        </w:rPr>
        <w:t xml:space="preserve">1 </w:t>
      </w:r>
      <w:r>
        <w:t>总则</w:t>
      </w:r>
      <w:r>
        <w:tab/>
      </w:r>
      <w:r>
        <w:fldChar w:fldCharType="begin"/>
      </w:r>
      <w:r>
        <w:instrText xml:space="preserve"> PAGEREF _Toc1817 \h </w:instrText>
      </w:r>
      <w:r>
        <w:fldChar w:fldCharType="separate"/>
      </w:r>
      <w:r>
        <w:t>3</w:t>
      </w:r>
      <w:r>
        <w:fldChar w:fldCharType="end"/>
      </w:r>
      <w:r>
        <w:fldChar w:fldCharType="end"/>
      </w:r>
    </w:p>
    <w:p w14:paraId="17C97117">
      <w:pPr>
        <w:pStyle w:val="25"/>
        <w:tabs>
          <w:tab w:val="right" w:leader="dot" w:pos="8306"/>
          <w:tab w:val="clear" w:pos="284"/>
          <w:tab w:val="clear" w:pos="8296"/>
        </w:tabs>
      </w:pPr>
      <w:r>
        <w:fldChar w:fldCharType="begin"/>
      </w:r>
      <w:r>
        <w:instrText xml:space="preserve"> HYPERLINK \l _Toc7303 </w:instrText>
      </w:r>
      <w:r>
        <w:fldChar w:fldCharType="separate"/>
      </w:r>
      <w:r>
        <w:rPr>
          <w:rFonts w:hint="default"/>
        </w:rPr>
        <w:t xml:space="preserve">2 </w:t>
      </w:r>
      <w:r>
        <w:t>工作范围</w:t>
      </w:r>
      <w:r>
        <w:tab/>
      </w:r>
      <w:r>
        <w:fldChar w:fldCharType="begin"/>
      </w:r>
      <w:r>
        <w:instrText xml:space="preserve"> PAGEREF _Toc7303 \h </w:instrText>
      </w:r>
      <w:r>
        <w:fldChar w:fldCharType="separate"/>
      </w:r>
      <w:r>
        <w:t>3</w:t>
      </w:r>
      <w:r>
        <w:fldChar w:fldCharType="end"/>
      </w:r>
      <w:r>
        <w:fldChar w:fldCharType="end"/>
      </w:r>
    </w:p>
    <w:p w14:paraId="33987425">
      <w:pPr>
        <w:pStyle w:val="28"/>
        <w:tabs>
          <w:tab w:val="right" w:leader="dot" w:pos="8306"/>
          <w:tab w:val="clear" w:pos="851"/>
          <w:tab w:val="clear" w:pos="8296"/>
        </w:tabs>
      </w:pPr>
      <w:r>
        <w:fldChar w:fldCharType="begin"/>
      </w:r>
      <w:r>
        <w:instrText xml:space="preserve"> HYPERLINK \l _Toc32289 </w:instrText>
      </w:r>
      <w:r>
        <w:fldChar w:fldCharType="separate"/>
      </w:r>
      <w:r>
        <w:rPr>
          <w:rFonts w:hint="default"/>
        </w:rPr>
        <w:t xml:space="preserve">2.1 </w:t>
      </w:r>
      <w:r>
        <w:t>工程概况</w:t>
      </w:r>
      <w:r>
        <w:tab/>
      </w:r>
      <w:r>
        <w:fldChar w:fldCharType="begin"/>
      </w:r>
      <w:r>
        <w:instrText xml:space="preserve"> PAGEREF _Toc32289 \h </w:instrText>
      </w:r>
      <w:r>
        <w:fldChar w:fldCharType="separate"/>
      </w:r>
      <w:r>
        <w:t>3</w:t>
      </w:r>
      <w:r>
        <w:fldChar w:fldCharType="end"/>
      </w:r>
      <w:r>
        <w:fldChar w:fldCharType="end"/>
      </w:r>
    </w:p>
    <w:p w14:paraId="652D6897">
      <w:pPr>
        <w:pStyle w:val="28"/>
        <w:tabs>
          <w:tab w:val="right" w:leader="dot" w:pos="8306"/>
          <w:tab w:val="clear" w:pos="851"/>
          <w:tab w:val="clear" w:pos="8296"/>
        </w:tabs>
      </w:pPr>
      <w:r>
        <w:fldChar w:fldCharType="begin"/>
      </w:r>
      <w:r>
        <w:instrText xml:space="preserve"> HYPERLINK \l _Toc13651 </w:instrText>
      </w:r>
      <w:r>
        <w:fldChar w:fldCharType="separate"/>
      </w:r>
      <w:r>
        <w:rPr>
          <w:rFonts w:hint="default"/>
        </w:rPr>
        <w:t xml:space="preserve">2.2 </w:t>
      </w:r>
      <w:r>
        <w:t>范围和界限</w:t>
      </w:r>
      <w:r>
        <w:tab/>
      </w:r>
      <w:r>
        <w:fldChar w:fldCharType="begin"/>
      </w:r>
      <w:r>
        <w:instrText xml:space="preserve"> PAGEREF _Toc13651 \h </w:instrText>
      </w:r>
      <w:r>
        <w:fldChar w:fldCharType="separate"/>
      </w:r>
      <w:r>
        <w:t>3</w:t>
      </w:r>
      <w:r>
        <w:fldChar w:fldCharType="end"/>
      </w:r>
      <w:r>
        <w:fldChar w:fldCharType="end"/>
      </w:r>
    </w:p>
    <w:p w14:paraId="3D212C33">
      <w:pPr>
        <w:pStyle w:val="28"/>
        <w:tabs>
          <w:tab w:val="right" w:leader="dot" w:pos="8306"/>
          <w:tab w:val="clear" w:pos="851"/>
          <w:tab w:val="clear" w:pos="8296"/>
        </w:tabs>
      </w:pPr>
      <w:r>
        <w:fldChar w:fldCharType="begin"/>
      </w:r>
      <w:r>
        <w:instrText xml:space="preserve"> HYPERLINK \l _Toc30376 </w:instrText>
      </w:r>
      <w:r>
        <w:fldChar w:fldCharType="separate"/>
      </w:r>
      <w:r>
        <w:rPr>
          <w:rFonts w:hint="default"/>
        </w:rPr>
        <w:t xml:space="preserve">2.3 </w:t>
      </w:r>
      <w:r>
        <w:t>服务范围</w:t>
      </w:r>
      <w:r>
        <w:tab/>
      </w:r>
      <w:r>
        <w:fldChar w:fldCharType="begin"/>
      </w:r>
      <w:r>
        <w:instrText xml:space="preserve"> PAGEREF _Toc30376 \h </w:instrText>
      </w:r>
      <w:r>
        <w:fldChar w:fldCharType="separate"/>
      </w:r>
      <w:r>
        <w:t>4</w:t>
      </w:r>
      <w:r>
        <w:fldChar w:fldCharType="end"/>
      </w:r>
      <w:r>
        <w:fldChar w:fldCharType="end"/>
      </w:r>
    </w:p>
    <w:p w14:paraId="41C9EEA8">
      <w:pPr>
        <w:pStyle w:val="25"/>
        <w:tabs>
          <w:tab w:val="right" w:leader="dot" w:pos="8306"/>
          <w:tab w:val="clear" w:pos="284"/>
          <w:tab w:val="clear" w:pos="8296"/>
        </w:tabs>
      </w:pPr>
      <w:r>
        <w:fldChar w:fldCharType="begin"/>
      </w:r>
      <w:r>
        <w:instrText xml:space="preserve"> HYPERLINK \l _Toc19739 </w:instrText>
      </w:r>
      <w:r>
        <w:fldChar w:fldCharType="separate"/>
      </w:r>
      <w:r>
        <w:rPr>
          <w:rFonts w:hint="default"/>
        </w:rPr>
        <w:t xml:space="preserve">3 </w:t>
      </w:r>
      <w:r>
        <w:t>应遵循的主要标准</w:t>
      </w:r>
      <w:r>
        <w:tab/>
      </w:r>
      <w:r>
        <w:fldChar w:fldCharType="begin"/>
      </w:r>
      <w:r>
        <w:instrText xml:space="preserve"> PAGEREF _Toc19739 \h </w:instrText>
      </w:r>
      <w:r>
        <w:fldChar w:fldCharType="separate"/>
      </w:r>
      <w:r>
        <w:t>4</w:t>
      </w:r>
      <w:r>
        <w:fldChar w:fldCharType="end"/>
      </w:r>
      <w:r>
        <w:fldChar w:fldCharType="end"/>
      </w:r>
    </w:p>
    <w:p w14:paraId="16C6661C">
      <w:pPr>
        <w:pStyle w:val="25"/>
        <w:tabs>
          <w:tab w:val="right" w:leader="dot" w:pos="8306"/>
          <w:tab w:val="clear" w:pos="284"/>
          <w:tab w:val="clear" w:pos="8296"/>
        </w:tabs>
      </w:pPr>
      <w:r>
        <w:fldChar w:fldCharType="begin"/>
      </w:r>
      <w:r>
        <w:instrText xml:space="preserve"> HYPERLINK \l _Toc19676 </w:instrText>
      </w:r>
      <w:r>
        <w:fldChar w:fldCharType="separate"/>
      </w:r>
      <w:r>
        <w:rPr>
          <w:rFonts w:hint="default"/>
        </w:rPr>
        <w:t xml:space="preserve">4 </w:t>
      </w:r>
      <w:r>
        <w:t>使用条件</w:t>
      </w:r>
      <w:r>
        <w:tab/>
      </w:r>
      <w:r>
        <w:fldChar w:fldCharType="begin"/>
      </w:r>
      <w:r>
        <w:instrText xml:space="preserve"> PAGEREF _Toc19676 \h </w:instrText>
      </w:r>
      <w:r>
        <w:fldChar w:fldCharType="separate"/>
      </w:r>
      <w:r>
        <w:t>6</w:t>
      </w:r>
      <w:r>
        <w:fldChar w:fldCharType="end"/>
      </w:r>
      <w:r>
        <w:fldChar w:fldCharType="end"/>
      </w:r>
    </w:p>
    <w:p w14:paraId="44C8D1B9">
      <w:pPr>
        <w:pStyle w:val="28"/>
        <w:tabs>
          <w:tab w:val="right" w:leader="dot" w:pos="8306"/>
          <w:tab w:val="clear" w:pos="851"/>
          <w:tab w:val="clear" w:pos="8296"/>
        </w:tabs>
      </w:pPr>
      <w:r>
        <w:fldChar w:fldCharType="begin"/>
      </w:r>
      <w:r>
        <w:instrText xml:space="preserve"> HYPERLINK \l _Toc29803 </w:instrText>
      </w:r>
      <w:r>
        <w:fldChar w:fldCharType="separate"/>
      </w:r>
      <w:r>
        <w:rPr>
          <w:rFonts w:hint="default"/>
        </w:rPr>
        <w:t xml:space="preserve">4.1 </w:t>
      </w:r>
      <w:r>
        <w:t>正常使用条件</w:t>
      </w:r>
      <w:r>
        <w:tab/>
      </w:r>
      <w:r>
        <w:fldChar w:fldCharType="begin"/>
      </w:r>
      <w:r>
        <w:instrText xml:space="preserve"> PAGEREF _Toc29803 \h </w:instrText>
      </w:r>
      <w:r>
        <w:fldChar w:fldCharType="separate"/>
      </w:r>
      <w:r>
        <w:t>6</w:t>
      </w:r>
      <w:r>
        <w:fldChar w:fldCharType="end"/>
      </w:r>
      <w:r>
        <w:fldChar w:fldCharType="end"/>
      </w:r>
    </w:p>
    <w:p w14:paraId="0C204BF0">
      <w:pPr>
        <w:pStyle w:val="25"/>
        <w:tabs>
          <w:tab w:val="right" w:leader="dot" w:pos="8306"/>
          <w:tab w:val="clear" w:pos="284"/>
          <w:tab w:val="clear" w:pos="8296"/>
        </w:tabs>
      </w:pPr>
      <w:r>
        <w:fldChar w:fldCharType="begin"/>
      </w:r>
      <w:r>
        <w:instrText xml:space="preserve"> HYPERLINK \l _Toc21729 </w:instrText>
      </w:r>
      <w:r>
        <w:fldChar w:fldCharType="separate"/>
      </w:r>
      <w:r>
        <w:rPr>
          <w:rFonts w:hint="default"/>
        </w:rPr>
        <w:t xml:space="preserve">5 </w:t>
      </w:r>
      <w:r>
        <w:rPr>
          <w:rFonts w:hint="eastAsia"/>
        </w:rPr>
        <w:t>功能技术要求</w:t>
      </w:r>
      <w:r>
        <w:tab/>
      </w:r>
      <w:r>
        <w:fldChar w:fldCharType="begin"/>
      </w:r>
      <w:r>
        <w:instrText xml:space="preserve"> PAGEREF _Toc21729 \h </w:instrText>
      </w:r>
      <w:r>
        <w:fldChar w:fldCharType="separate"/>
      </w:r>
      <w:r>
        <w:t>7</w:t>
      </w:r>
      <w:r>
        <w:fldChar w:fldCharType="end"/>
      </w:r>
      <w:r>
        <w:fldChar w:fldCharType="end"/>
      </w:r>
    </w:p>
    <w:p w14:paraId="50C87B3A">
      <w:pPr>
        <w:pStyle w:val="28"/>
        <w:tabs>
          <w:tab w:val="right" w:leader="dot" w:pos="8306"/>
          <w:tab w:val="clear" w:pos="851"/>
          <w:tab w:val="clear" w:pos="8296"/>
        </w:tabs>
      </w:pPr>
      <w:r>
        <w:fldChar w:fldCharType="begin"/>
      </w:r>
      <w:r>
        <w:instrText xml:space="preserve"> HYPERLINK \l _Toc1181 </w:instrText>
      </w:r>
      <w:r>
        <w:fldChar w:fldCharType="separate"/>
      </w:r>
      <w:r>
        <w:rPr>
          <w:rFonts w:hint="default"/>
        </w:rPr>
        <w:t xml:space="preserve">5.1 </w:t>
      </w:r>
      <w:r>
        <w:rPr>
          <w:rFonts w:hint="eastAsia"/>
        </w:rPr>
        <w:t>技术指标</w:t>
      </w:r>
      <w:r>
        <w:tab/>
      </w:r>
      <w:r>
        <w:fldChar w:fldCharType="begin"/>
      </w:r>
      <w:r>
        <w:instrText xml:space="preserve"> PAGEREF _Toc1181 \h </w:instrText>
      </w:r>
      <w:r>
        <w:fldChar w:fldCharType="separate"/>
      </w:r>
      <w:r>
        <w:t>7</w:t>
      </w:r>
      <w:r>
        <w:fldChar w:fldCharType="end"/>
      </w:r>
      <w:r>
        <w:fldChar w:fldCharType="end"/>
      </w:r>
    </w:p>
    <w:p w14:paraId="017ED655">
      <w:pPr>
        <w:pStyle w:val="28"/>
        <w:tabs>
          <w:tab w:val="right" w:leader="dot" w:pos="8306"/>
          <w:tab w:val="clear" w:pos="851"/>
          <w:tab w:val="clear" w:pos="8296"/>
        </w:tabs>
      </w:pPr>
      <w:r>
        <w:fldChar w:fldCharType="begin"/>
      </w:r>
      <w:r>
        <w:instrText xml:space="preserve"> HYPERLINK \l _Toc452 </w:instrText>
      </w:r>
      <w:r>
        <w:fldChar w:fldCharType="separate"/>
      </w:r>
      <w:r>
        <w:rPr>
          <w:rFonts w:hint="default"/>
        </w:rPr>
        <w:t xml:space="preserve">5.2 </w:t>
      </w:r>
      <w:r>
        <w:rPr>
          <w:rFonts w:hint="eastAsia"/>
        </w:rPr>
        <w:t>功能要求</w:t>
      </w:r>
      <w:r>
        <w:tab/>
      </w:r>
      <w:r>
        <w:fldChar w:fldCharType="begin"/>
      </w:r>
      <w:r>
        <w:instrText xml:space="preserve"> PAGEREF _Toc452 \h </w:instrText>
      </w:r>
      <w:r>
        <w:fldChar w:fldCharType="separate"/>
      </w:r>
      <w:r>
        <w:t>11</w:t>
      </w:r>
      <w:r>
        <w:fldChar w:fldCharType="end"/>
      </w:r>
      <w:r>
        <w:fldChar w:fldCharType="end"/>
      </w:r>
    </w:p>
    <w:p w14:paraId="50949291">
      <w:pPr>
        <w:pStyle w:val="25"/>
        <w:tabs>
          <w:tab w:val="right" w:leader="dot" w:pos="8306"/>
          <w:tab w:val="clear" w:pos="284"/>
          <w:tab w:val="clear" w:pos="8296"/>
        </w:tabs>
      </w:pPr>
      <w:r>
        <w:fldChar w:fldCharType="begin"/>
      </w:r>
      <w:r>
        <w:instrText xml:space="preserve"> HYPERLINK \l _Toc9772 </w:instrText>
      </w:r>
      <w:r>
        <w:fldChar w:fldCharType="separate"/>
      </w:r>
      <w:r>
        <w:rPr>
          <w:rFonts w:hint="default"/>
        </w:rPr>
        <w:t xml:space="preserve">6 </w:t>
      </w:r>
      <w:r>
        <w:rPr>
          <w:rFonts w:hint="eastAsia"/>
        </w:rPr>
        <w:t>试验</w:t>
      </w:r>
      <w:r>
        <w:tab/>
      </w:r>
      <w:r>
        <w:fldChar w:fldCharType="begin"/>
      </w:r>
      <w:r>
        <w:instrText xml:space="preserve"> PAGEREF _Toc9772 \h </w:instrText>
      </w:r>
      <w:r>
        <w:fldChar w:fldCharType="separate"/>
      </w:r>
      <w:r>
        <w:t>15</w:t>
      </w:r>
      <w:r>
        <w:fldChar w:fldCharType="end"/>
      </w:r>
      <w:r>
        <w:fldChar w:fldCharType="end"/>
      </w:r>
    </w:p>
    <w:p w14:paraId="5BB3A28C">
      <w:pPr>
        <w:pStyle w:val="28"/>
        <w:tabs>
          <w:tab w:val="right" w:leader="dot" w:pos="8306"/>
          <w:tab w:val="clear" w:pos="851"/>
          <w:tab w:val="clear" w:pos="8296"/>
        </w:tabs>
      </w:pPr>
      <w:r>
        <w:fldChar w:fldCharType="begin"/>
      </w:r>
      <w:r>
        <w:instrText xml:space="preserve"> HYPERLINK \l _Toc25229 </w:instrText>
      </w:r>
      <w:r>
        <w:fldChar w:fldCharType="separate"/>
      </w:r>
      <w:r>
        <w:rPr>
          <w:rFonts w:hint="default"/>
        </w:rPr>
        <w:t xml:space="preserve">6.1 </w:t>
      </w:r>
      <w:r>
        <w:t>试验</w:t>
      </w:r>
      <w:r>
        <w:rPr>
          <w:rFonts w:hint="eastAsia"/>
          <w:lang w:val="en-US" w:eastAsia="zh-CN"/>
        </w:rPr>
        <w:t>环境</w:t>
      </w:r>
      <w:r>
        <w:tab/>
      </w:r>
      <w:r>
        <w:fldChar w:fldCharType="begin"/>
      </w:r>
      <w:r>
        <w:instrText xml:space="preserve"> PAGEREF _Toc25229 \h </w:instrText>
      </w:r>
      <w:r>
        <w:fldChar w:fldCharType="separate"/>
      </w:r>
      <w:r>
        <w:t>16</w:t>
      </w:r>
      <w:r>
        <w:fldChar w:fldCharType="end"/>
      </w:r>
      <w:r>
        <w:fldChar w:fldCharType="end"/>
      </w:r>
    </w:p>
    <w:p w14:paraId="7441713D">
      <w:pPr>
        <w:pStyle w:val="28"/>
        <w:tabs>
          <w:tab w:val="right" w:leader="dot" w:pos="8306"/>
          <w:tab w:val="clear" w:pos="851"/>
          <w:tab w:val="clear" w:pos="8296"/>
        </w:tabs>
      </w:pPr>
      <w:r>
        <w:fldChar w:fldCharType="begin"/>
      </w:r>
      <w:r>
        <w:instrText xml:space="preserve"> HYPERLINK \l _Toc30995 </w:instrText>
      </w:r>
      <w:r>
        <w:fldChar w:fldCharType="separate"/>
      </w:r>
      <w:r>
        <w:rPr>
          <w:rFonts w:hint="default"/>
        </w:rPr>
        <w:t xml:space="preserve">6.2 </w:t>
      </w:r>
      <w:r>
        <w:rPr>
          <w:rFonts w:hint="eastAsia"/>
        </w:rPr>
        <w:t>结构外观</w:t>
      </w:r>
      <w:r>
        <w:tab/>
      </w:r>
      <w:r>
        <w:fldChar w:fldCharType="begin"/>
      </w:r>
      <w:r>
        <w:instrText xml:space="preserve"> PAGEREF _Toc30995 \h </w:instrText>
      </w:r>
      <w:r>
        <w:fldChar w:fldCharType="separate"/>
      </w:r>
      <w:r>
        <w:t>17</w:t>
      </w:r>
      <w:r>
        <w:fldChar w:fldCharType="end"/>
      </w:r>
      <w:r>
        <w:fldChar w:fldCharType="end"/>
      </w:r>
    </w:p>
    <w:p w14:paraId="3D8D371F">
      <w:pPr>
        <w:pStyle w:val="28"/>
        <w:tabs>
          <w:tab w:val="right" w:leader="dot" w:pos="8306"/>
          <w:tab w:val="clear" w:pos="851"/>
          <w:tab w:val="clear" w:pos="8296"/>
        </w:tabs>
      </w:pPr>
      <w:r>
        <w:fldChar w:fldCharType="begin"/>
      </w:r>
      <w:r>
        <w:instrText xml:space="preserve"> HYPERLINK \l _Toc14642 </w:instrText>
      </w:r>
      <w:r>
        <w:fldChar w:fldCharType="separate"/>
      </w:r>
      <w:r>
        <w:rPr>
          <w:rFonts w:hint="default" w:eastAsia="宋体"/>
        </w:rPr>
        <w:t>6.3 电磁兼容试验</w:t>
      </w:r>
      <w:r>
        <w:tab/>
      </w:r>
      <w:r>
        <w:fldChar w:fldCharType="begin"/>
      </w:r>
      <w:r>
        <w:instrText xml:space="preserve"> PAGEREF _Toc14642 \h </w:instrText>
      </w:r>
      <w:r>
        <w:fldChar w:fldCharType="separate"/>
      </w:r>
      <w:r>
        <w:t>17</w:t>
      </w:r>
      <w:r>
        <w:fldChar w:fldCharType="end"/>
      </w:r>
      <w:r>
        <w:fldChar w:fldCharType="end"/>
      </w:r>
    </w:p>
    <w:p w14:paraId="39001244">
      <w:pPr>
        <w:pStyle w:val="28"/>
        <w:tabs>
          <w:tab w:val="right" w:leader="dot" w:pos="8306"/>
          <w:tab w:val="clear" w:pos="851"/>
          <w:tab w:val="clear" w:pos="8296"/>
        </w:tabs>
      </w:pPr>
      <w:r>
        <w:fldChar w:fldCharType="begin"/>
      </w:r>
      <w:r>
        <w:instrText xml:space="preserve"> HYPERLINK \l _Toc31151 </w:instrText>
      </w:r>
      <w:r>
        <w:fldChar w:fldCharType="separate"/>
      </w:r>
      <w:r>
        <w:rPr>
          <w:rFonts w:hint="default" w:eastAsia="宋体"/>
        </w:rPr>
        <w:t>6.4 环境适应性试验</w:t>
      </w:r>
      <w:r>
        <w:tab/>
      </w:r>
      <w:r>
        <w:fldChar w:fldCharType="begin"/>
      </w:r>
      <w:r>
        <w:instrText xml:space="preserve"> PAGEREF _Toc31151 \h </w:instrText>
      </w:r>
      <w:r>
        <w:fldChar w:fldCharType="separate"/>
      </w:r>
      <w:r>
        <w:t>18</w:t>
      </w:r>
      <w:r>
        <w:fldChar w:fldCharType="end"/>
      </w:r>
      <w:r>
        <w:fldChar w:fldCharType="end"/>
      </w:r>
    </w:p>
    <w:p w14:paraId="6EA63582">
      <w:pPr>
        <w:pStyle w:val="28"/>
        <w:tabs>
          <w:tab w:val="right" w:leader="dot" w:pos="8306"/>
          <w:tab w:val="clear" w:pos="851"/>
          <w:tab w:val="clear" w:pos="8296"/>
        </w:tabs>
      </w:pPr>
      <w:r>
        <w:fldChar w:fldCharType="begin"/>
      </w:r>
      <w:r>
        <w:instrText xml:space="preserve"> HYPERLINK \l _Toc20957 </w:instrText>
      </w:r>
      <w:r>
        <w:fldChar w:fldCharType="separate"/>
      </w:r>
      <w:r>
        <w:rPr>
          <w:rFonts w:hint="default" w:eastAsia="宋体"/>
        </w:rPr>
        <w:t>6.5 绝缘性能试验</w:t>
      </w:r>
      <w:r>
        <w:tab/>
      </w:r>
      <w:r>
        <w:fldChar w:fldCharType="begin"/>
      </w:r>
      <w:r>
        <w:instrText xml:space="preserve"> PAGEREF _Toc20957 \h </w:instrText>
      </w:r>
      <w:r>
        <w:fldChar w:fldCharType="separate"/>
      </w:r>
      <w:r>
        <w:t>19</w:t>
      </w:r>
      <w:r>
        <w:fldChar w:fldCharType="end"/>
      </w:r>
      <w:r>
        <w:fldChar w:fldCharType="end"/>
      </w:r>
    </w:p>
    <w:p w14:paraId="29CDBFE5">
      <w:pPr>
        <w:pStyle w:val="28"/>
        <w:tabs>
          <w:tab w:val="right" w:leader="dot" w:pos="8306"/>
          <w:tab w:val="clear" w:pos="851"/>
          <w:tab w:val="clear" w:pos="8296"/>
        </w:tabs>
      </w:pPr>
      <w:r>
        <w:fldChar w:fldCharType="begin"/>
      </w:r>
      <w:r>
        <w:instrText xml:space="preserve"> HYPERLINK \l _Toc26581 </w:instrText>
      </w:r>
      <w:r>
        <w:fldChar w:fldCharType="separate"/>
      </w:r>
      <w:r>
        <w:rPr>
          <w:rFonts w:hint="default" w:eastAsia="宋体"/>
        </w:rPr>
        <w:t>6.6 机械性能试验</w:t>
      </w:r>
      <w:r>
        <w:tab/>
      </w:r>
      <w:r>
        <w:fldChar w:fldCharType="begin"/>
      </w:r>
      <w:r>
        <w:instrText xml:space="preserve"> PAGEREF _Toc26581 \h </w:instrText>
      </w:r>
      <w:r>
        <w:fldChar w:fldCharType="separate"/>
      </w:r>
      <w:r>
        <w:t>20</w:t>
      </w:r>
      <w:r>
        <w:fldChar w:fldCharType="end"/>
      </w:r>
      <w:r>
        <w:fldChar w:fldCharType="end"/>
      </w:r>
    </w:p>
    <w:p w14:paraId="6CF3A349">
      <w:pPr>
        <w:pStyle w:val="28"/>
        <w:tabs>
          <w:tab w:val="right" w:leader="dot" w:pos="8306"/>
          <w:tab w:val="clear" w:pos="851"/>
          <w:tab w:val="clear" w:pos="8296"/>
        </w:tabs>
      </w:pPr>
      <w:r>
        <w:fldChar w:fldCharType="begin"/>
      </w:r>
      <w:r>
        <w:instrText xml:space="preserve"> HYPERLINK \l _Toc18450 </w:instrText>
      </w:r>
      <w:r>
        <w:fldChar w:fldCharType="separate"/>
      </w:r>
      <w:r>
        <w:rPr>
          <w:rFonts w:hint="default" w:eastAsia="宋体"/>
        </w:rPr>
        <w:t xml:space="preserve">6.7 </w:t>
      </w:r>
      <w:r>
        <w:rPr>
          <w:rFonts w:hint="eastAsia" w:eastAsia="宋体"/>
        </w:rPr>
        <w:t>电源</w:t>
      </w:r>
      <w:r>
        <w:rPr>
          <w:rFonts w:hint="eastAsia" w:eastAsia="宋体"/>
          <w:lang w:val="en-US" w:eastAsia="zh-CN"/>
        </w:rPr>
        <w:t>功能</w:t>
      </w:r>
      <w:r>
        <w:rPr>
          <w:rFonts w:hint="eastAsia" w:eastAsia="宋体"/>
        </w:rPr>
        <w:t>试验</w:t>
      </w:r>
      <w:r>
        <w:tab/>
      </w:r>
      <w:r>
        <w:fldChar w:fldCharType="begin"/>
      </w:r>
      <w:r>
        <w:instrText xml:space="preserve"> PAGEREF _Toc18450 \h </w:instrText>
      </w:r>
      <w:r>
        <w:fldChar w:fldCharType="separate"/>
      </w:r>
      <w:r>
        <w:t>20</w:t>
      </w:r>
      <w:r>
        <w:fldChar w:fldCharType="end"/>
      </w:r>
      <w:r>
        <w:fldChar w:fldCharType="end"/>
      </w:r>
    </w:p>
    <w:p w14:paraId="57748393">
      <w:pPr>
        <w:pStyle w:val="28"/>
        <w:tabs>
          <w:tab w:val="right" w:leader="dot" w:pos="8306"/>
          <w:tab w:val="clear" w:pos="851"/>
          <w:tab w:val="clear" w:pos="8296"/>
        </w:tabs>
      </w:pPr>
      <w:r>
        <w:fldChar w:fldCharType="begin"/>
      </w:r>
      <w:r>
        <w:instrText xml:space="preserve"> HYPERLINK \l _Toc2012 </w:instrText>
      </w:r>
      <w:r>
        <w:fldChar w:fldCharType="separate"/>
      </w:r>
      <w:r>
        <w:rPr>
          <w:rFonts w:hint="default" w:eastAsia="宋体"/>
        </w:rPr>
        <w:t xml:space="preserve">6.8 </w:t>
      </w:r>
      <w:r>
        <w:rPr>
          <w:rFonts w:hint="eastAsia" w:eastAsia="宋体"/>
        </w:rPr>
        <w:t>通信</w:t>
      </w:r>
      <w:r>
        <w:rPr>
          <w:rFonts w:hint="eastAsia" w:eastAsia="宋体"/>
          <w:lang w:val="en-US" w:eastAsia="zh-CN"/>
        </w:rPr>
        <w:t>功能</w:t>
      </w:r>
      <w:r>
        <w:tab/>
      </w:r>
      <w:r>
        <w:fldChar w:fldCharType="begin"/>
      </w:r>
      <w:r>
        <w:instrText xml:space="preserve"> PAGEREF _Toc2012 \h </w:instrText>
      </w:r>
      <w:r>
        <w:fldChar w:fldCharType="separate"/>
      </w:r>
      <w:r>
        <w:t>21</w:t>
      </w:r>
      <w:r>
        <w:fldChar w:fldCharType="end"/>
      </w:r>
      <w:r>
        <w:fldChar w:fldCharType="end"/>
      </w:r>
    </w:p>
    <w:p w14:paraId="2A7558FF">
      <w:pPr>
        <w:pStyle w:val="28"/>
        <w:tabs>
          <w:tab w:val="right" w:leader="dot" w:pos="8306"/>
          <w:tab w:val="clear" w:pos="851"/>
          <w:tab w:val="clear" w:pos="8296"/>
        </w:tabs>
      </w:pPr>
      <w:r>
        <w:fldChar w:fldCharType="begin"/>
      </w:r>
      <w:r>
        <w:instrText xml:space="preserve"> HYPERLINK \l _Toc4652 </w:instrText>
      </w:r>
      <w:r>
        <w:fldChar w:fldCharType="separate"/>
      </w:r>
      <w:r>
        <w:rPr>
          <w:rFonts w:hint="default"/>
        </w:rPr>
        <w:t xml:space="preserve">6.9 </w:t>
      </w:r>
      <w:r>
        <w:rPr>
          <w:rFonts w:hint="eastAsia" w:eastAsia="宋体"/>
        </w:rPr>
        <w:t>事件</w:t>
      </w:r>
      <w:r>
        <w:rPr>
          <w:rFonts w:hint="eastAsia"/>
        </w:rPr>
        <w:t>记录</w:t>
      </w:r>
      <w:r>
        <w:tab/>
      </w:r>
      <w:r>
        <w:fldChar w:fldCharType="begin"/>
      </w:r>
      <w:r>
        <w:instrText xml:space="preserve"> PAGEREF _Toc4652 \h </w:instrText>
      </w:r>
      <w:r>
        <w:fldChar w:fldCharType="separate"/>
      </w:r>
      <w:r>
        <w:t>21</w:t>
      </w:r>
      <w:r>
        <w:fldChar w:fldCharType="end"/>
      </w:r>
      <w:r>
        <w:fldChar w:fldCharType="end"/>
      </w:r>
    </w:p>
    <w:p w14:paraId="5DD327E3">
      <w:pPr>
        <w:pStyle w:val="28"/>
        <w:tabs>
          <w:tab w:val="right" w:leader="dot" w:pos="8306"/>
          <w:tab w:val="clear" w:pos="851"/>
          <w:tab w:val="clear" w:pos="8296"/>
        </w:tabs>
      </w:pPr>
      <w:r>
        <w:fldChar w:fldCharType="begin"/>
      </w:r>
      <w:r>
        <w:instrText xml:space="preserve"> HYPERLINK \l _Toc5284 </w:instrText>
      </w:r>
      <w:r>
        <w:fldChar w:fldCharType="separate"/>
      </w:r>
      <w:r>
        <w:rPr>
          <w:rFonts w:hint="default"/>
        </w:rPr>
        <w:t xml:space="preserve">6.10 </w:t>
      </w:r>
      <w:r>
        <w:rPr>
          <w:rFonts w:hint="eastAsia"/>
        </w:rPr>
        <w:t>升级维护</w:t>
      </w:r>
      <w:r>
        <w:tab/>
      </w:r>
      <w:r>
        <w:fldChar w:fldCharType="begin"/>
      </w:r>
      <w:r>
        <w:instrText xml:space="preserve"> PAGEREF _Toc5284 \h </w:instrText>
      </w:r>
      <w:r>
        <w:fldChar w:fldCharType="separate"/>
      </w:r>
      <w:r>
        <w:t>21</w:t>
      </w:r>
      <w:r>
        <w:fldChar w:fldCharType="end"/>
      </w:r>
      <w:r>
        <w:fldChar w:fldCharType="end"/>
      </w:r>
    </w:p>
    <w:p w14:paraId="6DE697D1">
      <w:pPr>
        <w:pStyle w:val="28"/>
        <w:tabs>
          <w:tab w:val="right" w:leader="dot" w:pos="8306"/>
          <w:tab w:val="clear" w:pos="851"/>
          <w:tab w:val="clear" w:pos="8296"/>
        </w:tabs>
      </w:pPr>
      <w:r>
        <w:fldChar w:fldCharType="begin"/>
      </w:r>
      <w:r>
        <w:instrText xml:space="preserve"> HYPERLINK \l _Toc28081 </w:instrText>
      </w:r>
      <w:r>
        <w:fldChar w:fldCharType="separate"/>
      </w:r>
      <w:r>
        <w:rPr>
          <w:rFonts w:hint="default" w:eastAsia="宋体"/>
        </w:rPr>
        <w:t xml:space="preserve">6.11 </w:t>
      </w:r>
      <w:r>
        <w:rPr>
          <w:rFonts w:hint="eastAsia" w:eastAsia="宋体"/>
        </w:rPr>
        <w:t>开关量采集</w:t>
      </w:r>
      <w:r>
        <w:tab/>
      </w:r>
      <w:r>
        <w:fldChar w:fldCharType="begin"/>
      </w:r>
      <w:r>
        <w:instrText xml:space="preserve"> PAGEREF _Toc28081 \h </w:instrText>
      </w:r>
      <w:r>
        <w:fldChar w:fldCharType="separate"/>
      </w:r>
      <w:r>
        <w:t>21</w:t>
      </w:r>
      <w:r>
        <w:fldChar w:fldCharType="end"/>
      </w:r>
      <w:r>
        <w:fldChar w:fldCharType="end"/>
      </w:r>
    </w:p>
    <w:p w14:paraId="628DE6A5">
      <w:pPr>
        <w:pStyle w:val="28"/>
        <w:tabs>
          <w:tab w:val="right" w:leader="dot" w:pos="8306"/>
          <w:tab w:val="clear" w:pos="851"/>
          <w:tab w:val="clear" w:pos="8296"/>
        </w:tabs>
      </w:pPr>
      <w:r>
        <w:fldChar w:fldCharType="begin"/>
      </w:r>
      <w:r>
        <w:instrText xml:space="preserve"> HYPERLINK \l _Toc13087 </w:instrText>
      </w:r>
      <w:r>
        <w:fldChar w:fldCharType="separate"/>
      </w:r>
      <w:r>
        <w:rPr>
          <w:rFonts w:hint="default" w:eastAsia="宋体"/>
        </w:rPr>
        <w:t xml:space="preserve">6.12 </w:t>
      </w:r>
      <w:r>
        <w:rPr>
          <w:rFonts w:hint="eastAsia" w:eastAsia="宋体"/>
        </w:rPr>
        <w:t>开关量输出</w:t>
      </w:r>
      <w:r>
        <w:tab/>
      </w:r>
      <w:r>
        <w:fldChar w:fldCharType="begin"/>
      </w:r>
      <w:r>
        <w:instrText xml:space="preserve"> PAGEREF _Toc13087 \h </w:instrText>
      </w:r>
      <w:r>
        <w:fldChar w:fldCharType="separate"/>
      </w:r>
      <w:r>
        <w:t>21</w:t>
      </w:r>
      <w:r>
        <w:fldChar w:fldCharType="end"/>
      </w:r>
      <w:r>
        <w:fldChar w:fldCharType="end"/>
      </w:r>
    </w:p>
    <w:p w14:paraId="3C066E46">
      <w:pPr>
        <w:pStyle w:val="28"/>
        <w:tabs>
          <w:tab w:val="right" w:leader="dot" w:pos="8306"/>
          <w:tab w:val="clear" w:pos="851"/>
          <w:tab w:val="clear" w:pos="8296"/>
        </w:tabs>
      </w:pPr>
      <w:r>
        <w:fldChar w:fldCharType="begin"/>
      </w:r>
      <w:r>
        <w:instrText xml:space="preserve"> HYPERLINK \l _Toc23365 </w:instrText>
      </w:r>
      <w:r>
        <w:fldChar w:fldCharType="separate"/>
      </w:r>
      <w:r>
        <w:rPr>
          <w:rFonts w:hint="default" w:eastAsia="宋体"/>
        </w:rPr>
        <w:t xml:space="preserve">6.13 </w:t>
      </w:r>
      <w:r>
        <w:rPr>
          <w:rFonts w:hint="eastAsia" w:eastAsia="宋体"/>
        </w:rPr>
        <w:t>功耗试验</w:t>
      </w:r>
      <w:r>
        <w:tab/>
      </w:r>
      <w:r>
        <w:fldChar w:fldCharType="begin"/>
      </w:r>
      <w:r>
        <w:instrText xml:space="preserve"> PAGEREF _Toc23365 \h </w:instrText>
      </w:r>
      <w:r>
        <w:fldChar w:fldCharType="separate"/>
      </w:r>
      <w:r>
        <w:t>21</w:t>
      </w:r>
      <w:r>
        <w:fldChar w:fldCharType="end"/>
      </w:r>
      <w:r>
        <w:fldChar w:fldCharType="end"/>
      </w:r>
    </w:p>
    <w:p w14:paraId="52522685">
      <w:pPr>
        <w:pStyle w:val="28"/>
        <w:tabs>
          <w:tab w:val="right" w:leader="dot" w:pos="8306"/>
          <w:tab w:val="clear" w:pos="851"/>
          <w:tab w:val="clear" w:pos="8296"/>
        </w:tabs>
      </w:pPr>
      <w:r>
        <w:fldChar w:fldCharType="begin"/>
      </w:r>
      <w:r>
        <w:instrText xml:space="preserve"> HYPERLINK \l _Toc31472 </w:instrText>
      </w:r>
      <w:r>
        <w:fldChar w:fldCharType="separate"/>
      </w:r>
      <w:r>
        <w:rPr>
          <w:rFonts w:hint="default" w:eastAsia="宋体"/>
        </w:rPr>
        <w:t xml:space="preserve">6.14 </w:t>
      </w:r>
      <w:r>
        <w:rPr>
          <w:rFonts w:hint="eastAsia" w:eastAsia="宋体"/>
          <w:lang w:val="en-US" w:eastAsia="zh-CN"/>
        </w:rPr>
        <w:t>光伏调节</w:t>
      </w:r>
      <w:r>
        <w:tab/>
      </w:r>
      <w:r>
        <w:fldChar w:fldCharType="begin"/>
      </w:r>
      <w:r>
        <w:instrText xml:space="preserve"> PAGEREF _Toc31472 \h </w:instrText>
      </w:r>
      <w:r>
        <w:fldChar w:fldCharType="separate"/>
      </w:r>
      <w:r>
        <w:t>21</w:t>
      </w:r>
      <w:r>
        <w:fldChar w:fldCharType="end"/>
      </w:r>
      <w:r>
        <w:fldChar w:fldCharType="end"/>
      </w:r>
    </w:p>
    <w:p w14:paraId="2688F33F">
      <w:pPr>
        <w:pStyle w:val="28"/>
        <w:tabs>
          <w:tab w:val="right" w:leader="dot" w:pos="8306"/>
          <w:tab w:val="clear" w:pos="851"/>
          <w:tab w:val="clear" w:pos="8296"/>
        </w:tabs>
      </w:pPr>
      <w:r>
        <w:fldChar w:fldCharType="begin"/>
      </w:r>
      <w:r>
        <w:instrText xml:space="preserve"> HYPERLINK \l _Toc3915 </w:instrText>
      </w:r>
      <w:r>
        <w:fldChar w:fldCharType="separate"/>
      </w:r>
      <w:r>
        <w:rPr>
          <w:rFonts w:hint="default" w:eastAsia="宋体"/>
        </w:rPr>
        <w:t xml:space="preserve">6.15 </w:t>
      </w:r>
      <w:r>
        <w:rPr>
          <w:rFonts w:hint="eastAsia" w:eastAsia="宋体"/>
          <w:lang w:val="en-US" w:eastAsia="zh-CN"/>
        </w:rPr>
        <w:t>充电桩调节</w:t>
      </w:r>
      <w:r>
        <w:tab/>
      </w:r>
      <w:r>
        <w:fldChar w:fldCharType="begin"/>
      </w:r>
      <w:r>
        <w:instrText xml:space="preserve"> PAGEREF _Toc3915 \h </w:instrText>
      </w:r>
      <w:r>
        <w:fldChar w:fldCharType="separate"/>
      </w:r>
      <w:r>
        <w:t>21</w:t>
      </w:r>
      <w:r>
        <w:fldChar w:fldCharType="end"/>
      </w:r>
      <w:r>
        <w:fldChar w:fldCharType="end"/>
      </w:r>
    </w:p>
    <w:p w14:paraId="025A747B">
      <w:pPr>
        <w:pStyle w:val="25"/>
        <w:tabs>
          <w:tab w:val="right" w:leader="dot" w:pos="8306"/>
          <w:tab w:val="clear" w:pos="284"/>
          <w:tab w:val="clear" w:pos="8296"/>
        </w:tabs>
      </w:pPr>
      <w:r>
        <w:fldChar w:fldCharType="begin"/>
      </w:r>
      <w:r>
        <w:instrText xml:space="preserve"> HYPERLINK \l _Toc1296 </w:instrText>
      </w:r>
      <w:r>
        <w:fldChar w:fldCharType="separate"/>
      </w:r>
      <w:r>
        <w:rPr>
          <w:rFonts w:hint="default"/>
        </w:rPr>
        <w:t xml:space="preserve">7 </w:t>
      </w:r>
      <w:r>
        <w:t>产品对环境的影响</w:t>
      </w:r>
      <w:r>
        <w:tab/>
      </w:r>
      <w:r>
        <w:fldChar w:fldCharType="begin"/>
      </w:r>
      <w:r>
        <w:instrText xml:space="preserve"> PAGEREF _Toc1296 \h </w:instrText>
      </w:r>
      <w:r>
        <w:fldChar w:fldCharType="separate"/>
      </w:r>
      <w:r>
        <w:t>21</w:t>
      </w:r>
      <w:r>
        <w:fldChar w:fldCharType="end"/>
      </w:r>
      <w:r>
        <w:fldChar w:fldCharType="end"/>
      </w:r>
    </w:p>
    <w:p w14:paraId="5C7EF2EA">
      <w:pPr>
        <w:pStyle w:val="25"/>
        <w:tabs>
          <w:tab w:val="right" w:leader="dot" w:pos="8306"/>
          <w:tab w:val="clear" w:pos="284"/>
          <w:tab w:val="clear" w:pos="8296"/>
        </w:tabs>
      </w:pPr>
      <w:r>
        <w:fldChar w:fldCharType="begin"/>
      </w:r>
      <w:r>
        <w:instrText xml:space="preserve"> HYPERLINK \l _Toc9333 </w:instrText>
      </w:r>
      <w:r>
        <w:fldChar w:fldCharType="separate"/>
      </w:r>
      <w:r>
        <w:rPr>
          <w:rFonts w:hint="default"/>
        </w:rPr>
        <w:t xml:space="preserve">8 </w:t>
      </w:r>
      <w:r>
        <w:t>企业VI标识</w:t>
      </w:r>
      <w:r>
        <w:tab/>
      </w:r>
      <w:r>
        <w:fldChar w:fldCharType="begin"/>
      </w:r>
      <w:r>
        <w:instrText xml:space="preserve"> PAGEREF _Toc9333 \h </w:instrText>
      </w:r>
      <w:r>
        <w:fldChar w:fldCharType="separate"/>
      </w:r>
      <w:r>
        <w:t>22</w:t>
      </w:r>
      <w:r>
        <w:fldChar w:fldCharType="end"/>
      </w:r>
      <w:r>
        <w:fldChar w:fldCharType="end"/>
      </w:r>
    </w:p>
    <w:p w14:paraId="2BE478DB">
      <w:pPr>
        <w:pStyle w:val="28"/>
        <w:tabs>
          <w:tab w:val="right" w:leader="dot" w:pos="8306"/>
          <w:tab w:val="clear" w:pos="851"/>
          <w:tab w:val="clear" w:pos="8296"/>
        </w:tabs>
      </w:pPr>
      <w:r>
        <w:fldChar w:fldCharType="begin"/>
      </w:r>
      <w:r>
        <w:instrText xml:space="preserve"> HYPERLINK \l _Toc14494 </w:instrText>
      </w:r>
      <w:r>
        <w:fldChar w:fldCharType="separate"/>
      </w:r>
      <w:r>
        <w:rPr>
          <w:rFonts w:hint="default"/>
        </w:rPr>
        <w:t xml:space="preserve">8.1 </w:t>
      </w:r>
      <w:r>
        <w:t>VI标识</w:t>
      </w:r>
      <w:r>
        <w:tab/>
      </w:r>
      <w:r>
        <w:fldChar w:fldCharType="begin"/>
      </w:r>
      <w:r>
        <w:instrText xml:space="preserve"> PAGEREF _Toc14494 \h </w:instrText>
      </w:r>
      <w:r>
        <w:fldChar w:fldCharType="separate"/>
      </w:r>
      <w:r>
        <w:t>22</w:t>
      </w:r>
      <w:r>
        <w:fldChar w:fldCharType="end"/>
      </w:r>
      <w:r>
        <w:fldChar w:fldCharType="end"/>
      </w:r>
    </w:p>
    <w:p w14:paraId="014EDEA3">
      <w:pPr>
        <w:pStyle w:val="28"/>
        <w:tabs>
          <w:tab w:val="right" w:leader="dot" w:pos="8306"/>
          <w:tab w:val="clear" w:pos="851"/>
          <w:tab w:val="clear" w:pos="8296"/>
        </w:tabs>
      </w:pPr>
      <w:r>
        <w:fldChar w:fldCharType="begin"/>
      </w:r>
      <w:r>
        <w:instrText xml:space="preserve"> HYPERLINK \l _Toc1990 </w:instrText>
      </w:r>
      <w:r>
        <w:fldChar w:fldCharType="separate"/>
      </w:r>
      <w:r>
        <w:rPr>
          <w:rFonts w:hint="default"/>
        </w:rPr>
        <w:t xml:space="preserve">8.2 </w:t>
      </w:r>
      <w:r>
        <w:t>标识地点</w:t>
      </w:r>
      <w:r>
        <w:tab/>
      </w:r>
      <w:r>
        <w:fldChar w:fldCharType="begin"/>
      </w:r>
      <w:r>
        <w:instrText xml:space="preserve"> PAGEREF _Toc1990 \h </w:instrText>
      </w:r>
      <w:r>
        <w:fldChar w:fldCharType="separate"/>
      </w:r>
      <w:r>
        <w:t>22</w:t>
      </w:r>
      <w:r>
        <w:fldChar w:fldCharType="end"/>
      </w:r>
      <w:r>
        <w:fldChar w:fldCharType="end"/>
      </w:r>
    </w:p>
    <w:p w14:paraId="0CE1DE3C">
      <w:pPr>
        <w:pStyle w:val="25"/>
        <w:tabs>
          <w:tab w:val="right" w:leader="dot" w:pos="8306"/>
          <w:tab w:val="clear" w:pos="284"/>
          <w:tab w:val="clear" w:pos="8296"/>
        </w:tabs>
      </w:pPr>
      <w:r>
        <w:fldChar w:fldCharType="begin"/>
      </w:r>
      <w:r>
        <w:instrText xml:space="preserve"> HYPERLINK \l _Toc3919 </w:instrText>
      </w:r>
      <w:r>
        <w:fldChar w:fldCharType="separate"/>
      </w:r>
      <w:r>
        <w:rPr>
          <w:rFonts w:hint="default"/>
        </w:rPr>
        <w:t xml:space="preserve">9 </w:t>
      </w:r>
      <w:r>
        <w:t>技术文件要求</w:t>
      </w:r>
      <w:r>
        <w:tab/>
      </w:r>
      <w:r>
        <w:fldChar w:fldCharType="begin"/>
      </w:r>
      <w:r>
        <w:instrText xml:space="preserve"> PAGEREF _Toc3919 \h </w:instrText>
      </w:r>
      <w:r>
        <w:fldChar w:fldCharType="separate"/>
      </w:r>
      <w:r>
        <w:t>23</w:t>
      </w:r>
      <w:r>
        <w:fldChar w:fldCharType="end"/>
      </w:r>
      <w:r>
        <w:fldChar w:fldCharType="end"/>
      </w:r>
    </w:p>
    <w:p w14:paraId="211AAA18">
      <w:pPr>
        <w:pStyle w:val="28"/>
        <w:tabs>
          <w:tab w:val="right" w:leader="dot" w:pos="8306"/>
          <w:tab w:val="clear" w:pos="851"/>
          <w:tab w:val="clear" w:pos="8296"/>
        </w:tabs>
      </w:pPr>
      <w:r>
        <w:fldChar w:fldCharType="begin"/>
      </w:r>
      <w:r>
        <w:instrText xml:space="preserve"> HYPERLINK \l _Toc4580 </w:instrText>
      </w:r>
      <w:r>
        <w:fldChar w:fldCharType="separate"/>
      </w:r>
      <w:r>
        <w:rPr>
          <w:rFonts w:hint="default"/>
        </w:rPr>
        <w:t xml:space="preserve">9.1 </w:t>
      </w:r>
      <w:r>
        <w:t>一般要求</w:t>
      </w:r>
      <w:r>
        <w:tab/>
      </w:r>
      <w:r>
        <w:fldChar w:fldCharType="begin"/>
      </w:r>
      <w:r>
        <w:instrText xml:space="preserve"> PAGEREF _Toc4580 \h </w:instrText>
      </w:r>
      <w:r>
        <w:fldChar w:fldCharType="separate"/>
      </w:r>
      <w:r>
        <w:t>23</w:t>
      </w:r>
      <w:r>
        <w:fldChar w:fldCharType="end"/>
      </w:r>
      <w:r>
        <w:fldChar w:fldCharType="end"/>
      </w:r>
    </w:p>
    <w:p w14:paraId="202A8E3D">
      <w:pPr>
        <w:pStyle w:val="28"/>
        <w:tabs>
          <w:tab w:val="right" w:leader="dot" w:pos="8306"/>
          <w:tab w:val="clear" w:pos="851"/>
          <w:tab w:val="clear" w:pos="8296"/>
        </w:tabs>
      </w:pPr>
      <w:r>
        <w:fldChar w:fldCharType="begin"/>
      </w:r>
      <w:r>
        <w:instrText xml:space="preserve"> HYPERLINK \l _Toc5641 </w:instrText>
      </w:r>
      <w:r>
        <w:fldChar w:fldCharType="separate"/>
      </w:r>
      <w:r>
        <w:rPr>
          <w:rFonts w:hint="default"/>
        </w:rPr>
        <w:t xml:space="preserve">9.2 </w:t>
      </w:r>
      <w:r>
        <w:t>资料文件</w:t>
      </w:r>
      <w:r>
        <w:tab/>
      </w:r>
      <w:r>
        <w:fldChar w:fldCharType="begin"/>
      </w:r>
      <w:r>
        <w:instrText xml:space="preserve"> PAGEREF _Toc5641 \h </w:instrText>
      </w:r>
      <w:r>
        <w:fldChar w:fldCharType="separate"/>
      </w:r>
      <w:r>
        <w:t>24</w:t>
      </w:r>
      <w:r>
        <w:fldChar w:fldCharType="end"/>
      </w:r>
      <w:r>
        <w:fldChar w:fldCharType="end"/>
      </w:r>
    </w:p>
    <w:p w14:paraId="3A16C695">
      <w:pPr>
        <w:pStyle w:val="28"/>
        <w:tabs>
          <w:tab w:val="right" w:leader="dot" w:pos="8306"/>
          <w:tab w:val="clear" w:pos="851"/>
          <w:tab w:val="clear" w:pos="8296"/>
        </w:tabs>
      </w:pPr>
      <w:r>
        <w:fldChar w:fldCharType="begin"/>
      </w:r>
      <w:r>
        <w:instrText xml:space="preserve"> HYPERLINK \l _Toc8096 </w:instrText>
      </w:r>
      <w:r>
        <w:fldChar w:fldCharType="separate"/>
      </w:r>
      <w:r>
        <w:rPr>
          <w:rFonts w:hint="default"/>
        </w:rPr>
        <w:t xml:space="preserve">9.3 </w:t>
      </w:r>
      <w:r>
        <w:t>设计联络</w:t>
      </w:r>
      <w:r>
        <w:tab/>
      </w:r>
      <w:r>
        <w:fldChar w:fldCharType="begin"/>
      </w:r>
      <w:r>
        <w:instrText xml:space="preserve"> PAGEREF _Toc8096 \h </w:instrText>
      </w:r>
      <w:r>
        <w:fldChar w:fldCharType="separate"/>
      </w:r>
      <w:r>
        <w:t>25</w:t>
      </w:r>
      <w:r>
        <w:fldChar w:fldCharType="end"/>
      </w:r>
      <w:r>
        <w:fldChar w:fldCharType="end"/>
      </w:r>
    </w:p>
    <w:p w14:paraId="2C127226">
      <w:pPr>
        <w:pStyle w:val="25"/>
        <w:tabs>
          <w:tab w:val="right" w:leader="dot" w:pos="8306"/>
          <w:tab w:val="clear" w:pos="284"/>
          <w:tab w:val="clear" w:pos="8296"/>
        </w:tabs>
      </w:pPr>
      <w:r>
        <w:fldChar w:fldCharType="begin"/>
      </w:r>
      <w:r>
        <w:instrText xml:space="preserve"> HYPERLINK \l _Toc21426 </w:instrText>
      </w:r>
      <w:r>
        <w:fldChar w:fldCharType="separate"/>
      </w:r>
      <w:r>
        <w:rPr>
          <w:rFonts w:hint="default"/>
        </w:rPr>
        <w:t xml:space="preserve">10 </w:t>
      </w:r>
      <w:r>
        <w:t>监造、包装、运输和贮存及质量保证</w:t>
      </w:r>
      <w:r>
        <w:tab/>
      </w:r>
      <w:r>
        <w:fldChar w:fldCharType="begin"/>
      </w:r>
      <w:r>
        <w:instrText xml:space="preserve"> PAGEREF _Toc21426 \h </w:instrText>
      </w:r>
      <w:r>
        <w:fldChar w:fldCharType="separate"/>
      </w:r>
      <w:r>
        <w:t>25</w:t>
      </w:r>
      <w:r>
        <w:fldChar w:fldCharType="end"/>
      </w:r>
      <w:r>
        <w:fldChar w:fldCharType="end"/>
      </w:r>
    </w:p>
    <w:p w14:paraId="72548AD1">
      <w:pPr>
        <w:pStyle w:val="28"/>
        <w:tabs>
          <w:tab w:val="right" w:leader="dot" w:pos="8306"/>
          <w:tab w:val="clear" w:pos="851"/>
          <w:tab w:val="clear" w:pos="8296"/>
        </w:tabs>
      </w:pPr>
      <w:r>
        <w:fldChar w:fldCharType="begin"/>
      </w:r>
      <w:r>
        <w:instrText xml:space="preserve"> HYPERLINK \l _Toc19492 </w:instrText>
      </w:r>
      <w:r>
        <w:fldChar w:fldCharType="separate"/>
      </w:r>
      <w:r>
        <w:rPr>
          <w:rFonts w:hint="default"/>
        </w:rPr>
        <w:t xml:space="preserve">10.1 </w:t>
      </w:r>
      <w:r>
        <w:t>监造</w:t>
      </w:r>
      <w:r>
        <w:tab/>
      </w:r>
      <w:r>
        <w:fldChar w:fldCharType="begin"/>
      </w:r>
      <w:r>
        <w:instrText xml:space="preserve"> PAGEREF _Toc19492 \h </w:instrText>
      </w:r>
      <w:r>
        <w:fldChar w:fldCharType="separate"/>
      </w:r>
      <w:r>
        <w:t>25</w:t>
      </w:r>
      <w:r>
        <w:fldChar w:fldCharType="end"/>
      </w:r>
      <w:r>
        <w:fldChar w:fldCharType="end"/>
      </w:r>
    </w:p>
    <w:p w14:paraId="2F7A6B55">
      <w:pPr>
        <w:pStyle w:val="28"/>
        <w:tabs>
          <w:tab w:val="right" w:leader="dot" w:pos="8306"/>
          <w:tab w:val="clear" w:pos="851"/>
          <w:tab w:val="clear" w:pos="8296"/>
        </w:tabs>
      </w:pPr>
      <w:r>
        <w:fldChar w:fldCharType="begin"/>
      </w:r>
      <w:r>
        <w:instrText xml:space="preserve"> HYPERLINK \l _Toc20295 </w:instrText>
      </w:r>
      <w:r>
        <w:fldChar w:fldCharType="separate"/>
      </w:r>
      <w:r>
        <w:rPr>
          <w:rFonts w:hint="default"/>
        </w:rPr>
        <w:t xml:space="preserve">10.2 </w:t>
      </w:r>
      <w:r>
        <w:t>包装</w:t>
      </w:r>
      <w:r>
        <w:tab/>
      </w:r>
      <w:r>
        <w:fldChar w:fldCharType="begin"/>
      </w:r>
      <w:r>
        <w:instrText xml:space="preserve"> PAGEREF _Toc20295 \h </w:instrText>
      </w:r>
      <w:r>
        <w:fldChar w:fldCharType="separate"/>
      </w:r>
      <w:r>
        <w:t>26</w:t>
      </w:r>
      <w:r>
        <w:fldChar w:fldCharType="end"/>
      </w:r>
      <w:r>
        <w:fldChar w:fldCharType="end"/>
      </w:r>
    </w:p>
    <w:p w14:paraId="3FB99C70">
      <w:pPr>
        <w:pStyle w:val="28"/>
        <w:tabs>
          <w:tab w:val="right" w:leader="dot" w:pos="8306"/>
          <w:tab w:val="clear" w:pos="851"/>
          <w:tab w:val="clear" w:pos="8296"/>
        </w:tabs>
      </w:pPr>
      <w:r>
        <w:fldChar w:fldCharType="begin"/>
      </w:r>
      <w:r>
        <w:instrText xml:space="preserve"> HYPERLINK \l _Toc30627 </w:instrText>
      </w:r>
      <w:r>
        <w:fldChar w:fldCharType="separate"/>
      </w:r>
      <w:r>
        <w:rPr>
          <w:rFonts w:hint="default"/>
        </w:rPr>
        <w:t xml:space="preserve">10.3 </w:t>
      </w:r>
      <w:r>
        <w:t>运输</w:t>
      </w:r>
      <w:r>
        <w:tab/>
      </w:r>
      <w:r>
        <w:fldChar w:fldCharType="begin"/>
      </w:r>
      <w:r>
        <w:instrText xml:space="preserve"> PAGEREF _Toc30627 \h </w:instrText>
      </w:r>
      <w:r>
        <w:fldChar w:fldCharType="separate"/>
      </w:r>
      <w:r>
        <w:t>26</w:t>
      </w:r>
      <w:r>
        <w:fldChar w:fldCharType="end"/>
      </w:r>
      <w:r>
        <w:fldChar w:fldCharType="end"/>
      </w:r>
    </w:p>
    <w:p w14:paraId="1494FCF5">
      <w:pPr>
        <w:pStyle w:val="28"/>
        <w:tabs>
          <w:tab w:val="right" w:leader="dot" w:pos="8306"/>
          <w:tab w:val="clear" w:pos="851"/>
          <w:tab w:val="clear" w:pos="8296"/>
        </w:tabs>
      </w:pPr>
      <w:r>
        <w:fldChar w:fldCharType="begin"/>
      </w:r>
      <w:r>
        <w:instrText xml:space="preserve"> HYPERLINK \l _Toc30219 </w:instrText>
      </w:r>
      <w:r>
        <w:fldChar w:fldCharType="separate"/>
      </w:r>
      <w:r>
        <w:rPr>
          <w:rFonts w:hint="default"/>
        </w:rPr>
        <w:t xml:space="preserve">10.4 </w:t>
      </w:r>
      <w:r>
        <w:t>安装指导</w:t>
      </w:r>
      <w:r>
        <w:tab/>
      </w:r>
      <w:r>
        <w:fldChar w:fldCharType="begin"/>
      </w:r>
      <w:r>
        <w:instrText xml:space="preserve"> PAGEREF _Toc30219 \h </w:instrText>
      </w:r>
      <w:r>
        <w:fldChar w:fldCharType="separate"/>
      </w:r>
      <w:r>
        <w:t>26</w:t>
      </w:r>
      <w:r>
        <w:fldChar w:fldCharType="end"/>
      </w:r>
      <w:r>
        <w:fldChar w:fldCharType="end"/>
      </w:r>
    </w:p>
    <w:p w14:paraId="3A79724D">
      <w:pPr>
        <w:pStyle w:val="28"/>
        <w:tabs>
          <w:tab w:val="right" w:leader="dot" w:pos="8306"/>
          <w:tab w:val="clear" w:pos="851"/>
          <w:tab w:val="clear" w:pos="8296"/>
        </w:tabs>
      </w:pPr>
      <w:r>
        <w:fldChar w:fldCharType="begin"/>
      </w:r>
      <w:r>
        <w:instrText xml:space="preserve"> HYPERLINK \l _Toc685 </w:instrText>
      </w:r>
      <w:r>
        <w:fldChar w:fldCharType="separate"/>
      </w:r>
      <w:r>
        <w:rPr>
          <w:rFonts w:hint="default"/>
        </w:rPr>
        <w:t xml:space="preserve">10.5 </w:t>
      </w:r>
      <w:r>
        <w:t>质量保证</w:t>
      </w:r>
      <w:r>
        <w:tab/>
      </w:r>
      <w:r>
        <w:fldChar w:fldCharType="begin"/>
      </w:r>
      <w:r>
        <w:instrText xml:space="preserve"> PAGEREF _Toc685 \h </w:instrText>
      </w:r>
      <w:r>
        <w:fldChar w:fldCharType="separate"/>
      </w:r>
      <w:r>
        <w:t>26</w:t>
      </w:r>
      <w:r>
        <w:fldChar w:fldCharType="end"/>
      </w:r>
      <w:r>
        <w:fldChar w:fldCharType="end"/>
      </w:r>
    </w:p>
    <w:p w14:paraId="04393A8F">
      <w:pPr>
        <w:pStyle w:val="25"/>
        <w:tabs>
          <w:tab w:val="right" w:leader="dot" w:pos="8306"/>
          <w:tab w:val="clear" w:pos="284"/>
          <w:tab w:val="clear" w:pos="8296"/>
        </w:tabs>
      </w:pPr>
      <w:r>
        <w:fldChar w:fldCharType="begin"/>
      </w:r>
      <w:r>
        <w:instrText xml:space="preserve"> HYPERLINK \l _Toc15592 </w:instrText>
      </w:r>
      <w:r>
        <w:fldChar w:fldCharType="separate"/>
      </w:r>
      <w:r>
        <w:rPr>
          <w:rFonts w:hint="eastAsia"/>
        </w:rPr>
        <w:t>附录A：</w:t>
      </w:r>
      <w:r>
        <w:rPr>
          <w:rFonts w:hint="eastAsia"/>
          <w:lang w:eastAsia="zh-CN"/>
        </w:rPr>
        <w:t>电力开源物联版配电物联代理单元</w:t>
      </w:r>
      <w:r>
        <w:rPr>
          <w:rFonts w:hint="eastAsia"/>
        </w:rPr>
        <w:t>结构尺寸要求</w:t>
      </w:r>
      <w:r>
        <w:tab/>
      </w:r>
      <w:r>
        <w:fldChar w:fldCharType="begin"/>
      </w:r>
      <w:r>
        <w:instrText xml:space="preserve"> PAGEREF _Toc15592 \h </w:instrText>
      </w:r>
      <w:r>
        <w:fldChar w:fldCharType="separate"/>
      </w:r>
      <w:r>
        <w:t>28</w:t>
      </w:r>
      <w:r>
        <w:fldChar w:fldCharType="end"/>
      </w:r>
      <w:r>
        <w:fldChar w:fldCharType="end"/>
      </w:r>
    </w:p>
    <w:p w14:paraId="7CFC8E7C">
      <w:pPr>
        <w:pStyle w:val="28"/>
        <w:tabs>
          <w:tab w:val="right" w:leader="dot" w:pos="8306"/>
          <w:tab w:val="clear" w:pos="851"/>
          <w:tab w:val="clear" w:pos="8296"/>
        </w:tabs>
      </w:pPr>
      <w:r>
        <w:fldChar w:fldCharType="begin"/>
      </w:r>
      <w:r>
        <w:instrText xml:space="preserve"> HYPERLINK \l _Toc18115 </w:instrText>
      </w:r>
      <w:r>
        <w:fldChar w:fldCharType="separate"/>
      </w:r>
      <w:r>
        <w:rPr>
          <w:rFonts w:hint="eastAsia"/>
          <w:lang w:val="en-US" w:eastAsia="zh-CN"/>
        </w:rPr>
        <w:t xml:space="preserve">A.1 </w:t>
      </w:r>
      <w:r>
        <w:rPr>
          <w:rFonts w:hint="eastAsia"/>
          <w:lang w:eastAsia="zh-CN"/>
        </w:rPr>
        <w:t>电力开源物联版配电物联代理单元</w:t>
      </w:r>
      <w:r>
        <w:t>结构尺寸示意图</w:t>
      </w:r>
      <w:r>
        <w:tab/>
      </w:r>
      <w:r>
        <w:fldChar w:fldCharType="begin"/>
      </w:r>
      <w:r>
        <w:instrText xml:space="preserve"> PAGEREF _Toc18115 \h </w:instrText>
      </w:r>
      <w:r>
        <w:fldChar w:fldCharType="separate"/>
      </w:r>
      <w:r>
        <w:t>28</w:t>
      </w:r>
      <w:r>
        <w:fldChar w:fldCharType="end"/>
      </w:r>
      <w:r>
        <w:fldChar w:fldCharType="end"/>
      </w:r>
    </w:p>
    <w:p w14:paraId="409F8170">
      <w:pPr>
        <w:pStyle w:val="28"/>
        <w:tabs>
          <w:tab w:val="right" w:leader="dot" w:pos="8306"/>
          <w:tab w:val="clear" w:pos="851"/>
          <w:tab w:val="clear" w:pos="8296"/>
        </w:tabs>
      </w:pPr>
      <w:r>
        <w:fldChar w:fldCharType="begin"/>
      </w:r>
      <w:r>
        <w:instrText xml:space="preserve"> HYPERLINK \l _Toc13502 </w:instrText>
      </w:r>
      <w:r>
        <w:fldChar w:fldCharType="separate"/>
      </w:r>
      <w:r>
        <w:rPr>
          <w:rFonts w:hint="eastAsia"/>
          <w:lang w:val="en-US" w:eastAsia="zh-CN"/>
        </w:rPr>
        <w:t>A.2 电力开源物联版配电物联代理单元结构端子定义</w:t>
      </w:r>
      <w:r>
        <w:tab/>
      </w:r>
      <w:r>
        <w:fldChar w:fldCharType="begin"/>
      </w:r>
      <w:r>
        <w:instrText xml:space="preserve"> PAGEREF _Toc13502 \h </w:instrText>
      </w:r>
      <w:r>
        <w:fldChar w:fldCharType="separate"/>
      </w:r>
      <w:r>
        <w:t>29</w:t>
      </w:r>
      <w:r>
        <w:fldChar w:fldCharType="end"/>
      </w:r>
      <w:r>
        <w:fldChar w:fldCharType="end"/>
      </w:r>
    </w:p>
    <w:p w14:paraId="244AA2DD">
      <w:pPr>
        <w:pStyle w:val="28"/>
        <w:tabs>
          <w:tab w:val="right" w:leader="dot" w:pos="8306"/>
          <w:tab w:val="clear" w:pos="851"/>
          <w:tab w:val="clear" w:pos="8296"/>
        </w:tabs>
      </w:pPr>
      <w:r>
        <w:fldChar w:fldCharType="begin"/>
      </w:r>
      <w:r>
        <w:instrText xml:space="preserve"> HYPERLINK \l _Toc26773 </w:instrText>
      </w:r>
      <w:r>
        <w:fldChar w:fldCharType="separate"/>
      </w:r>
      <w:r>
        <w:rPr>
          <w:rFonts w:hint="eastAsia"/>
          <w:lang w:val="en-US" w:eastAsia="zh-CN"/>
        </w:rPr>
        <w:t>A.3 电力开源物联版配电物联代理单元拓展接口端子定义</w:t>
      </w:r>
      <w:r>
        <w:tab/>
      </w:r>
      <w:r>
        <w:fldChar w:fldCharType="begin"/>
      </w:r>
      <w:r>
        <w:instrText xml:space="preserve"> PAGEREF _Toc26773 \h </w:instrText>
      </w:r>
      <w:r>
        <w:fldChar w:fldCharType="separate"/>
      </w:r>
      <w:r>
        <w:t>30</w:t>
      </w:r>
      <w:r>
        <w:fldChar w:fldCharType="end"/>
      </w:r>
      <w:r>
        <w:fldChar w:fldCharType="end"/>
      </w:r>
    </w:p>
    <w:p w14:paraId="4CE276C6">
      <w:pPr>
        <w:pStyle w:val="28"/>
        <w:tabs>
          <w:tab w:val="right" w:leader="dot" w:pos="8306"/>
          <w:tab w:val="clear" w:pos="851"/>
          <w:tab w:val="clear" w:pos="8296"/>
        </w:tabs>
      </w:pPr>
      <w:r>
        <w:fldChar w:fldCharType="begin"/>
      </w:r>
      <w:r>
        <w:instrText xml:space="preserve"> HYPERLINK \l _Toc12905 </w:instrText>
      </w:r>
      <w:r>
        <w:fldChar w:fldCharType="separate"/>
      </w:r>
      <w:r>
        <w:rPr>
          <w:rFonts w:hint="eastAsia"/>
          <w:lang w:val="en-US" w:eastAsia="zh-CN"/>
        </w:rPr>
        <w:t>A.4 代理单元通信口端子定义</w:t>
      </w:r>
      <w:r>
        <w:tab/>
      </w:r>
      <w:r>
        <w:fldChar w:fldCharType="begin"/>
      </w:r>
      <w:r>
        <w:instrText xml:space="preserve"> PAGEREF _Toc12905 \h </w:instrText>
      </w:r>
      <w:r>
        <w:fldChar w:fldCharType="separate"/>
      </w:r>
      <w:r>
        <w:t>30</w:t>
      </w:r>
      <w:r>
        <w:fldChar w:fldCharType="end"/>
      </w:r>
      <w:r>
        <w:fldChar w:fldCharType="end"/>
      </w:r>
    </w:p>
    <w:p w14:paraId="02659748">
      <w:pPr>
        <w:pStyle w:val="25"/>
        <w:tabs>
          <w:tab w:val="right" w:leader="dot" w:pos="8306"/>
          <w:tab w:val="clear" w:pos="284"/>
          <w:tab w:val="clear" w:pos="8296"/>
        </w:tabs>
      </w:pPr>
      <w:r>
        <w:fldChar w:fldCharType="begin"/>
      </w:r>
      <w:r>
        <w:instrText xml:space="preserve"> HYPERLINK \l _Toc18644 </w:instrText>
      </w:r>
      <w:r>
        <w:fldChar w:fldCharType="separate"/>
      </w:r>
      <w:r>
        <w:rPr>
          <w:rFonts w:hint="eastAsia"/>
        </w:rPr>
        <w:t>附录B：光伏逆变器通信转接线</w:t>
      </w:r>
      <w:r>
        <w:tab/>
      </w:r>
      <w:r>
        <w:fldChar w:fldCharType="begin"/>
      </w:r>
      <w:r>
        <w:instrText xml:space="preserve"> PAGEREF _Toc18644 \h </w:instrText>
      </w:r>
      <w:r>
        <w:fldChar w:fldCharType="separate"/>
      </w:r>
      <w:r>
        <w:t>32</w:t>
      </w:r>
      <w:r>
        <w:fldChar w:fldCharType="end"/>
      </w:r>
      <w:r>
        <w:fldChar w:fldCharType="end"/>
      </w:r>
    </w:p>
    <w:p w14:paraId="59EB1891">
      <w:pPr>
        <w:pStyle w:val="25"/>
        <w:tabs>
          <w:tab w:val="right" w:leader="dot" w:pos="8306"/>
          <w:tab w:val="clear" w:pos="284"/>
          <w:tab w:val="clear" w:pos="8296"/>
        </w:tabs>
      </w:pPr>
      <w:r>
        <w:fldChar w:fldCharType="begin"/>
      </w:r>
      <w:r>
        <w:instrText xml:space="preserve"> HYPERLINK \l _Toc32271 </w:instrText>
      </w:r>
      <w:r>
        <w:fldChar w:fldCharType="separate"/>
      </w:r>
      <w:r>
        <w:rPr>
          <w:rFonts w:hint="eastAsia"/>
        </w:rPr>
        <w:t>附录C：光伏通信棒</w:t>
      </w:r>
      <w:r>
        <w:rPr>
          <w:rFonts w:hint="eastAsia"/>
          <w:lang w:eastAsia="zh-CN"/>
        </w:rPr>
        <w:t>无线扩展模块</w:t>
      </w:r>
      <w:r>
        <w:tab/>
      </w:r>
      <w:r>
        <w:fldChar w:fldCharType="begin"/>
      </w:r>
      <w:r>
        <w:instrText xml:space="preserve"> PAGEREF _Toc32271 \h </w:instrText>
      </w:r>
      <w:r>
        <w:fldChar w:fldCharType="separate"/>
      </w:r>
      <w:r>
        <w:t>32</w:t>
      </w:r>
      <w:r>
        <w:fldChar w:fldCharType="end"/>
      </w:r>
      <w:r>
        <w:fldChar w:fldCharType="end"/>
      </w:r>
    </w:p>
    <w:p w14:paraId="3D34CB3C">
      <w:pPr>
        <w:spacing w:line="240" w:lineRule="auto"/>
        <w:ind w:firstLine="420"/>
        <w:rPr>
          <w:lang w:val="zh-CN"/>
        </w:rPr>
      </w:pPr>
      <w:r>
        <w:fldChar w:fldCharType="end"/>
      </w:r>
      <w:r>
        <w:rPr>
          <w:lang w:val="zh-CN"/>
        </w:rPr>
        <w:br w:type="page"/>
      </w:r>
    </w:p>
    <w:p w14:paraId="17D0387B">
      <w:pPr>
        <w:pStyle w:val="2"/>
      </w:pPr>
      <w:bookmarkStart w:id="18" w:name="_Toc1489"/>
      <w:bookmarkStart w:id="19" w:name="_Toc24716"/>
      <w:bookmarkStart w:id="20" w:name="_Toc28946"/>
      <w:bookmarkStart w:id="21" w:name="_Toc26758"/>
      <w:bookmarkStart w:id="22" w:name="_Toc13776"/>
      <w:bookmarkStart w:id="23" w:name="_Toc395186717"/>
      <w:bookmarkStart w:id="24" w:name="_Toc5677"/>
      <w:bookmarkStart w:id="25" w:name="_Toc2165"/>
      <w:bookmarkStart w:id="26" w:name="_Toc21757"/>
      <w:bookmarkStart w:id="27" w:name="_Toc17263"/>
      <w:bookmarkStart w:id="28" w:name="_Toc22254"/>
      <w:bookmarkStart w:id="29" w:name="_Toc22289"/>
      <w:bookmarkStart w:id="30" w:name="_Toc8177"/>
      <w:bookmarkStart w:id="31" w:name="_Toc23945"/>
      <w:bookmarkStart w:id="32" w:name="_Toc16101"/>
      <w:bookmarkStart w:id="33" w:name="_Toc292025341"/>
      <w:bookmarkStart w:id="34" w:name="_Toc1817"/>
      <w:bookmarkStart w:id="35" w:name="_Toc5092"/>
      <w:bookmarkStart w:id="36" w:name="_Toc90022976"/>
      <w:bookmarkStart w:id="37" w:name="_Toc31721"/>
      <w:bookmarkStart w:id="38" w:name="_Toc3818"/>
      <w:r>
        <w:t>总则</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AD251D7">
      <w:pPr>
        <w:numPr>
          <w:ilvl w:val="1"/>
          <w:numId w:val="7"/>
        </w:numPr>
        <w:ind w:left="0" w:firstLine="0" w:firstLineChars="0"/>
      </w:pPr>
      <w:r>
        <w:t>本技术规范书适用于中国南方电网公司采购的</w:t>
      </w:r>
      <w:r>
        <w:rPr>
          <w:rFonts w:hint="eastAsia"/>
          <w:lang w:val="en-US" w:eastAsia="zh-CN"/>
        </w:rPr>
        <w:t>电力开源物联版</w:t>
      </w:r>
      <w:r>
        <w:rPr>
          <w:rFonts w:hint="eastAsia"/>
          <w:lang w:eastAsia="zh-CN"/>
        </w:rPr>
        <w:t>电力开源物联版配电物联代理单元</w:t>
      </w:r>
      <w:r>
        <w:t>，它提出了该设备本体及附属设备的功能设计、结构、性能、安装和试验等方面的技术要求。</w:t>
      </w:r>
    </w:p>
    <w:p w14:paraId="55AAB518">
      <w:pPr>
        <w:numPr>
          <w:ilvl w:val="1"/>
          <w:numId w:val="7"/>
        </w:numPr>
        <w:ind w:left="0" w:firstLine="0" w:firstLineChars="0"/>
      </w:pPr>
      <w:r>
        <w:t>本技术规范书提出的是最低限度的技术要求。凡本技术规范书中未规定，但在相关设备的行业标准、国家标准或IEC标准中有规定的规范条文，投标方应按相关标准的最高技术要求执行。对国家有关安全、环保等强制性标准，必须满足其要求。</w:t>
      </w:r>
    </w:p>
    <w:p w14:paraId="136527D5">
      <w:pPr>
        <w:numPr>
          <w:ilvl w:val="1"/>
          <w:numId w:val="7"/>
        </w:numPr>
        <w:ind w:left="0" w:firstLine="0" w:firstLineChars="0"/>
      </w:pPr>
      <w:r>
        <w:t>如果投标方没有以书面形式对本技术规范书的条文提出异议，则意味着投标方提供的设备完全符合本技术规范书的要求。如有异议，不管是多么微小，都应在投标文件中以“技术偏差表”为标题的专门章节中加以详细描述。</w:t>
      </w:r>
    </w:p>
    <w:p w14:paraId="0D43D459">
      <w:pPr>
        <w:numPr>
          <w:ilvl w:val="1"/>
          <w:numId w:val="7"/>
        </w:numPr>
        <w:ind w:left="0" w:firstLine="0" w:firstLineChars="0"/>
      </w:pPr>
      <w:r>
        <w:t>本技术规范书所使用的标准如遇与投标方所执行的标准不一致时，按技术要求较高的标准执行。</w:t>
      </w:r>
    </w:p>
    <w:p w14:paraId="329048A0">
      <w:pPr>
        <w:numPr>
          <w:ilvl w:val="1"/>
          <w:numId w:val="7"/>
        </w:numPr>
        <w:ind w:left="0" w:firstLine="0" w:firstLineChars="0"/>
      </w:pPr>
      <w:r>
        <w:t>本技术规范书经买、卖双方确认后作为订货合同的技术附件，与合同正文具有同等的法律效力。</w:t>
      </w:r>
    </w:p>
    <w:p w14:paraId="6CF31951">
      <w:pPr>
        <w:numPr>
          <w:ilvl w:val="1"/>
          <w:numId w:val="7"/>
        </w:numPr>
        <w:ind w:left="0" w:firstLine="0" w:firstLineChars="0"/>
      </w:pPr>
      <w:r>
        <w:t>本技术规范书未尽事宜，由买、卖双方协商确定。</w:t>
      </w:r>
    </w:p>
    <w:p w14:paraId="51504E7E">
      <w:pPr>
        <w:numPr>
          <w:ilvl w:val="1"/>
          <w:numId w:val="7"/>
        </w:numPr>
        <w:ind w:left="0" w:firstLine="0" w:firstLineChars="0"/>
      </w:pPr>
      <w:r>
        <w:t>投标方在投标技术文件中应如实反映投标产品与本技术规范书的技术差异。如果投标方没有提出技术差异，而在执行合同的过程中，招标方发现投标方提供的产品与其投标技术文件的条文存在差异，招标方有权利要求退货，并追究投标方违约责任。</w:t>
      </w:r>
    </w:p>
    <w:p w14:paraId="0E5A674C">
      <w:pPr>
        <w:numPr>
          <w:ilvl w:val="1"/>
          <w:numId w:val="7"/>
        </w:numPr>
        <w:ind w:left="0" w:firstLine="0" w:firstLineChars="0"/>
      </w:pPr>
      <w:r>
        <w:t>投标方应在投标技术部分按本技术规范书的要求如实详细的填写投标设备的标准配置表，并在投标商务部分按此标准配置进行报价，如发现二者有矛盾之处，将按有利于招标方的条款执行。</w:t>
      </w:r>
    </w:p>
    <w:p w14:paraId="260EADAE">
      <w:pPr>
        <w:numPr>
          <w:ilvl w:val="1"/>
          <w:numId w:val="7"/>
        </w:numPr>
        <w:ind w:left="0" w:firstLine="0" w:firstLineChars="0"/>
      </w:pPr>
      <w:r>
        <w:t>投标方应充分理解本技术规范书并按具体条款、格式要求填写投标的技术文件，如发现投标的技术文件条款、格式不符合本技术规范书的要求，则认为投标不严肃，在评标时将有不同程度的扣分。</w:t>
      </w:r>
    </w:p>
    <w:p w14:paraId="278E8BFB">
      <w:pPr>
        <w:pStyle w:val="2"/>
      </w:pPr>
      <w:bookmarkStart w:id="39" w:name="_Toc292025342"/>
      <w:bookmarkStart w:id="40" w:name="_Toc23413"/>
      <w:bookmarkStart w:id="41" w:name="_Toc271281204"/>
      <w:bookmarkStart w:id="42" w:name="_Toc13883"/>
      <w:bookmarkStart w:id="43" w:name="_Toc276490890"/>
      <w:bookmarkStart w:id="44" w:name="_Toc24884"/>
      <w:bookmarkStart w:id="45" w:name="_Toc246216316"/>
      <w:bookmarkStart w:id="46" w:name="_Toc2984"/>
      <w:bookmarkStart w:id="47" w:name="_Toc3619"/>
      <w:bookmarkStart w:id="48" w:name="_Toc733"/>
      <w:bookmarkStart w:id="49" w:name="_Toc1952"/>
      <w:bookmarkStart w:id="50" w:name="_Toc395186718"/>
      <w:bookmarkStart w:id="51" w:name="_Toc112756677"/>
      <w:bookmarkStart w:id="52" w:name="_Toc31999"/>
      <w:bookmarkStart w:id="53" w:name="_Toc8505"/>
      <w:bookmarkStart w:id="54" w:name="_Toc4406"/>
      <w:bookmarkStart w:id="55" w:name="_Toc4181"/>
      <w:bookmarkStart w:id="56" w:name="_Toc90022977"/>
      <w:bookmarkStart w:id="57" w:name="_Toc23924"/>
      <w:bookmarkStart w:id="58" w:name="_Toc276492358"/>
      <w:bookmarkStart w:id="59" w:name="_Toc6161"/>
      <w:bookmarkStart w:id="60" w:name="_Toc7303"/>
      <w:bookmarkStart w:id="61" w:name="_Toc279695347"/>
      <w:bookmarkStart w:id="62" w:name="_Toc5341"/>
      <w:bookmarkStart w:id="63" w:name="_Toc11720"/>
      <w:bookmarkStart w:id="64" w:name="_Toc4916"/>
      <w:bookmarkStart w:id="65" w:name="_Toc17120"/>
      <w:bookmarkStart w:id="66" w:name="_Toc241911995"/>
      <w:bookmarkStart w:id="67" w:name="_Toc155114607"/>
      <w:r>
        <w:t>工作范围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B0DB5B">
      <w:pPr>
        <w:pStyle w:val="3"/>
      </w:pPr>
      <w:bookmarkStart w:id="68" w:name="_Toc7154"/>
      <w:bookmarkStart w:id="69" w:name="_Toc23991"/>
      <w:bookmarkStart w:id="70" w:name="_Toc25384"/>
      <w:bookmarkStart w:id="71" w:name="_Toc16524"/>
      <w:bookmarkStart w:id="72" w:name="_Toc26928"/>
      <w:bookmarkStart w:id="73" w:name="_Toc28961"/>
      <w:bookmarkStart w:id="74" w:name="_Toc17055"/>
      <w:bookmarkStart w:id="75" w:name="_Toc5454"/>
      <w:bookmarkStart w:id="76" w:name="_Toc22110"/>
      <w:bookmarkStart w:id="77" w:name="_Toc6526"/>
      <w:bookmarkStart w:id="78" w:name="_Toc717"/>
      <w:bookmarkStart w:id="79" w:name="_Toc400640369"/>
      <w:bookmarkStart w:id="80" w:name="_Toc3695"/>
      <w:bookmarkStart w:id="81" w:name="_Toc21918"/>
      <w:bookmarkStart w:id="82" w:name="_Toc8053"/>
      <w:bookmarkStart w:id="83" w:name="_Toc15674"/>
      <w:bookmarkStart w:id="84" w:name="_Toc31539"/>
      <w:bookmarkStart w:id="85" w:name="_Toc90022978"/>
      <w:bookmarkStart w:id="86" w:name="_Toc16365"/>
      <w:bookmarkStart w:id="87" w:name="_Toc384340977"/>
      <w:bookmarkStart w:id="88" w:name="_Toc32289"/>
      <w:r>
        <w:t>工程概况</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5C5FFE">
      <w:pPr>
        <w:pStyle w:val="76"/>
      </w:pPr>
      <w:r>
        <w:t>本技术规范书采购的设备适用的工程概况详见专用部分。</w:t>
      </w:r>
    </w:p>
    <w:p w14:paraId="30E09D83">
      <w:pPr>
        <w:pStyle w:val="3"/>
      </w:pPr>
      <w:bookmarkStart w:id="89" w:name="_Toc19324"/>
      <w:bookmarkStart w:id="90" w:name="_Toc8272"/>
      <w:bookmarkStart w:id="91" w:name="_Toc32664"/>
      <w:bookmarkStart w:id="92" w:name="_Toc9877"/>
      <w:bookmarkStart w:id="93" w:name="_Toc25613"/>
      <w:bookmarkStart w:id="94" w:name="_Toc21490"/>
      <w:bookmarkStart w:id="95" w:name="_Toc12583"/>
      <w:bookmarkStart w:id="96" w:name="_Toc13651"/>
      <w:bookmarkStart w:id="97" w:name="_Toc19791"/>
      <w:bookmarkStart w:id="98" w:name="_Toc20463"/>
      <w:bookmarkStart w:id="99" w:name="_Toc11884"/>
      <w:bookmarkStart w:id="100" w:name="_Toc32758"/>
      <w:bookmarkStart w:id="101" w:name="_Toc7404"/>
      <w:bookmarkStart w:id="102" w:name="_Toc15921"/>
      <w:bookmarkStart w:id="103" w:name="_Toc25619"/>
      <w:bookmarkStart w:id="104" w:name="_Toc20516"/>
      <w:bookmarkStart w:id="105" w:name="_Toc384340978"/>
      <w:bookmarkStart w:id="106" w:name="_Toc9023"/>
      <w:bookmarkStart w:id="107" w:name="_Toc400640370"/>
      <w:bookmarkStart w:id="108" w:name="_Toc28715"/>
      <w:bookmarkStart w:id="109" w:name="_Toc90022979"/>
      <w:r>
        <w:t>范围和界限</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60FCFCA">
      <w:pPr>
        <w:ind w:firstLine="420"/>
      </w:pPr>
      <w:r>
        <w:t>1）</w:t>
      </w:r>
      <w:r>
        <w:rPr>
          <w:rFonts w:hint="eastAsia"/>
        </w:rPr>
        <w:t>本文件适用于通过220V/380V电压等级并网的新建或改（扩）建低压分布式电源发电系统以及充电桩电网接入的设计、安装、运维及验收。</w:t>
      </w:r>
    </w:p>
    <w:p w14:paraId="5026194A">
      <w:pPr>
        <w:ind w:firstLine="420"/>
      </w:pPr>
      <w:r>
        <w:t>2）运输</w:t>
      </w:r>
    </w:p>
    <w:p w14:paraId="3F3D1EBA">
      <w:pPr>
        <w:ind w:firstLine="420"/>
      </w:pPr>
      <w:r>
        <w:t>运输条件详见专用部分。</w:t>
      </w:r>
    </w:p>
    <w:p w14:paraId="62D29561">
      <w:pPr>
        <w:ind w:firstLine="420"/>
      </w:pPr>
      <w:r>
        <w:t>3）现场安装和试验在投标方的技术指导和监督下由招标方完成。</w:t>
      </w:r>
    </w:p>
    <w:p w14:paraId="00D7CEE5">
      <w:pPr>
        <w:ind w:firstLine="420"/>
      </w:pPr>
      <w:r>
        <w:t>4）本规范书未说明，但又与设计、制造、装配、试验、运输、包装、保管、安装和运行维护有关的技术要求，按条款3所规定的有关标准执行。</w:t>
      </w:r>
    </w:p>
    <w:p w14:paraId="117140F4">
      <w:pPr>
        <w:pStyle w:val="3"/>
      </w:pPr>
      <w:bookmarkStart w:id="110" w:name="_Toc23979"/>
      <w:bookmarkStart w:id="111" w:name="_Toc20965"/>
      <w:bookmarkStart w:id="112" w:name="_Toc400640371"/>
      <w:bookmarkStart w:id="113" w:name="_Toc23890"/>
      <w:bookmarkStart w:id="114" w:name="_Toc25244"/>
      <w:bookmarkStart w:id="115" w:name="_Toc10656"/>
      <w:bookmarkStart w:id="116" w:name="_Toc32496"/>
      <w:bookmarkStart w:id="117" w:name="_Toc20273"/>
      <w:bookmarkStart w:id="118" w:name="_Toc90022980"/>
      <w:bookmarkStart w:id="119" w:name="_Toc21472"/>
      <w:bookmarkStart w:id="120" w:name="_Toc1819"/>
      <w:bookmarkStart w:id="121" w:name="_Toc10327"/>
      <w:bookmarkStart w:id="122" w:name="_Toc30293"/>
      <w:bookmarkStart w:id="123" w:name="_Toc26897"/>
      <w:bookmarkStart w:id="124" w:name="_Toc384340979"/>
      <w:bookmarkStart w:id="125" w:name="_Toc20367"/>
      <w:bookmarkStart w:id="126" w:name="_Toc15849"/>
      <w:bookmarkStart w:id="127" w:name="_Toc24812"/>
      <w:bookmarkStart w:id="128" w:name="_Toc30376"/>
      <w:bookmarkStart w:id="129" w:name="_Toc15750"/>
      <w:bookmarkStart w:id="130" w:name="_Toc9944"/>
      <w:r>
        <w:t>服务范围</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B6ED8AD">
      <w:pPr>
        <w:ind w:firstLine="420"/>
      </w:pPr>
      <w:r>
        <w:t>1）投标方应按本规范书的要求提供台全新的、合格的</w:t>
      </w:r>
      <w:r>
        <w:rPr>
          <w:rFonts w:hint="eastAsia"/>
          <w:lang w:eastAsia="zh-CN"/>
        </w:rPr>
        <w:t>电力开源物联版配电物联代理单元</w:t>
      </w:r>
      <w:r>
        <w:t>及其附属设备、备品备件、专用工具和仪器。投标方所提供的组件或附件如需向第三方外购时，投标方应对质量向招标方负责，并提供相应出厂和验收证明。</w:t>
      </w:r>
    </w:p>
    <w:p w14:paraId="0E0839D1">
      <w:pPr>
        <w:ind w:firstLine="420"/>
      </w:pPr>
      <w:r>
        <w:t>2）供货范围</w:t>
      </w:r>
      <w:bookmarkStart w:id="131" w:name="_Toc283011667"/>
      <w:bookmarkStart w:id="132" w:name="_Toc282433715"/>
      <w:bookmarkStart w:id="133" w:name="_Toc283142589"/>
      <w:r>
        <w:t>一览表</w:t>
      </w:r>
      <w:bookmarkEnd w:id="131"/>
      <w:bookmarkEnd w:id="132"/>
      <w:bookmarkEnd w:id="133"/>
    </w:p>
    <w:p w14:paraId="16D55901">
      <w:pPr>
        <w:ind w:firstLine="420"/>
      </w:pPr>
      <w:r>
        <w:t>供货设备技术规格一览表详见专用部分。备品备件及专用工具等详见专用条款。</w:t>
      </w:r>
    </w:p>
    <w:p w14:paraId="21ED5F76">
      <w:pPr>
        <w:ind w:firstLine="420"/>
      </w:pPr>
      <w:r>
        <w:t>3）工厂试验由投标方在生产厂家内完成，但应有招标方代表参加，参加工厂验收的人数及天数等规定详见规范书商务部分。</w:t>
      </w:r>
    </w:p>
    <w:p w14:paraId="3AE0F7D3">
      <w:pPr>
        <w:ind w:firstLine="420"/>
      </w:pPr>
      <w:r>
        <w:t>4）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14:paraId="279AACC6">
      <w:pPr>
        <w:ind w:firstLine="420"/>
      </w:pPr>
      <w:r>
        <w:t>5）投标方应协助招标方解决设备运行中出现的问题。</w:t>
      </w:r>
    </w:p>
    <w:p w14:paraId="30D9B2CC">
      <w:pPr>
        <w:ind w:firstLine="420"/>
      </w:pPr>
      <w:r>
        <w:t>6）产品零整比不大于</w:t>
      </w:r>
      <w:r>
        <w:rPr>
          <w:rFonts w:hint="eastAsia"/>
        </w:rPr>
        <w:t>2</w:t>
      </w:r>
      <w:r>
        <w:t>，供货商零部件总成本不应超过</w:t>
      </w:r>
      <w:r>
        <w:rPr>
          <w:rFonts w:hint="eastAsia"/>
          <w:lang w:eastAsia="zh-CN"/>
        </w:rPr>
        <w:t>电力开源物联版配电物联代理单元</w:t>
      </w:r>
      <w:r>
        <w:t>本体成本</w:t>
      </w:r>
      <w:r>
        <w:rPr>
          <w:rFonts w:hint="eastAsia"/>
        </w:rPr>
        <w:t>2</w:t>
      </w:r>
      <w:r>
        <w:t>倍。</w:t>
      </w:r>
    </w:p>
    <w:p w14:paraId="4D6771E2">
      <w:pPr>
        <w:ind w:firstLine="420"/>
      </w:pPr>
      <w:r>
        <w:t>7）设计联络会议的地点及招标方参加人员的人数和天数等规定详见规范书商务部分。</w:t>
      </w:r>
    </w:p>
    <w:p w14:paraId="1C4E85FE">
      <w:pPr>
        <w:ind w:firstLine="420"/>
      </w:pPr>
      <w:r>
        <w:t>8）设备安装、调试和性能试验合格后方可投运。设备投运并稳定运行后，投标方和招标方（业主）双方应根据相关法律、法规和公司管理制度签署合同设备的验收证明书。该证明书共两份，双方各执一份。</w:t>
      </w:r>
    </w:p>
    <w:p w14:paraId="0D5AF24C">
      <w:pPr>
        <w:ind w:firstLine="420"/>
      </w:pPr>
      <w:r>
        <w:t>9）如果安装、调试、性能试验、试运行及质保期内技术指标一项或多项不能满足合同技术部分要求，买卖双方共同分析原因，分清责任，如属制造方面的原因，或涉及索赔部分，按商务部分有关条款执行。</w:t>
      </w:r>
    </w:p>
    <w:bookmarkEnd w:id="66"/>
    <w:bookmarkEnd w:id="67"/>
    <w:p w14:paraId="075A68A7">
      <w:pPr>
        <w:pStyle w:val="2"/>
      </w:pPr>
      <w:bookmarkStart w:id="134" w:name="_Toc28809"/>
      <w:bookmarkStart w:id="135" w:name="_Toc3650"/>
      <w:bookmarkStart w:id="136" w:name="_Toc11473"/>
      <w:bookmarkStart w:id="137" w:name="_Toc25037"/>
      <w:bookmarkStart w:id="138" w:name="_Toc15299"/>
      <w:bookmarkStart w:id="139" w:name="_Toc26966"/>
      <w:bookmarkStart w:id="140" w:name="_Toc4639"/>
      <w:bookmarkStart w:id="141" w:name="_Toc22356"/>
      <w:bookmarkStart w:id="142" w:name="_Toc6455"/>
      <w:bookmarkStart w:id="143" w:name="_Toc29853"/>
      <w:bookmarkStart w:id="144" w:name="_Toc780"/>
      <w:bookmarkStart w:id="145" w:name="_Toc20562"/>
      <w:bookmarkStart w:id="146" w:name="_Toc2956"/>
      <w:bookmarkStart w:id="147" w:name="_Toc90022981"/>
      <w:bookmarkStart w:id="148" w:name="_Toc292025346"/>
      <w:bookmarkStart w:id="149" w:name="_Toc19739"/>
      <w:bookmarkStart w:id="150" w:name="_Toc10428"/>
      <w:bookmarkStart w:id="151" w:name="_Toc19017"/>
      <w:bookmarkStart w:id="152" w:name="_Toc3893"/>
      <w:bookmarkStart w:id="153" w:name="_Toc395186722"/>
      <w:bookmarkStart w:id="154" w:name="_Toc4179"/>
      <w:r>
        <w:t>应遵循的主要标准</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713D7F8">
      <w:pPr>
        <w:ind w:firstLine="420"/>
      </w:pPr>
      <w:r>
        <w:t>除本技术规范特殊规定外，投标方所提供的设备均按规定的标准和规程的最新版本进行设计、制造、试验和安装。如果这些标准内容有矛盾时，应按技术要求最高的条款执行或按双方商定的标准执行。如果投标方选用本技术规范规定以外的标准时，则需提交这种替换标准供审查和分析。仅在投标方已证明替换标准相当或优于技术规范规定的标准，并从招标方处获得书面的认可才能使用。提交供审查的标准应为中文版本。</w:t>
      </w:r>
    </w:p>
    <w:p w14:paraId="371403EE">
      <w:pPr>
        <w:ind w:firstLine="420"/>
      </w:pPr>
      <w:r>
        <w:t>下列文件对于本技术规范书的应用是必不可少。凡是注日期的引用文件，仅注日期的版本适用于本技术规范书。凡是不注日期的引用文件，其最新版本（包括所有的修改单）适用于本技术规范书：</w:t>
      </w:r>
    </w:p>
    <w:p w14:paraId="7518F472">
      <w:pPr>
        <w:ind w:firstLine="420"/>
      </w:pPr>
      <w:r>
        <w:t>GB/T 4797.1</w:t>
      </w:r>
      <w:r>
        <w:tab/>
      </w:r>
      <w:r>
        <w:tab/>
      </w:r>
      <w:r>
        <w:tab/>
      </w:r>
      <w:r>
        <w:tab/>
      </w:r>
      <w:r>
        <w:t>电工电子产品自然环境条件 温度和湿度</w:t>
      </w:r>
    </w:p>
    <w:p w14:paraId="7584DE4F">
      <w:pPr>
        <w:ind w:firstLine="420"/>
      </w:pPr>
      <w:r>
        <w:t>GB/T 2423.1</w:t>
      </w:r>
      <w:r>
        <w:tab/>
      </w:r>
      <w:r>
        <w:tab/>
      </w:r>
      <w:r>
        <w:tab/>
      </w:r>
      <w:r>
        <w:tab/>
      </w:r>
      <w:r>
        <w:t>电工电子产品环境试验第2部分：试验方法A：低温</w:t>
      </w:r>
    </w:p>
    <w:p w14:paraId="51F8F921">
      <w:pPr>
        <w:ind w:firstLine="420"/>
      </w:pPr>
      <w:r>
        <w:t>GB/T 2423.2</w:t>
      </w:r>
      <w:r>
        <w:tab/>
      </w:r>
      <w:r>
        <w:tab/>
      </w:r>
      <w:r>
        <w:tab/>
      </w:r>
      <w:r>
        <w:tab/>
      </w:r>
      <w:r>
        <w:t>电工电子产品环境试验第2部分：试验方法A：高温</w:t>
      </w:r>
    </w:p>
    <w:p w14:paraId="4E54B124">
      <w:pPr>
        <w:ind w:firstLine="420"/>
      </w:pPr>
      <w:r>
        <w:t>GB/T 2423.9</w:t>
      </w:r>
      <w:r>
        <w:tab/>
      </w:r>
      <w:r>
        <w:tab/>
      </w:r>
      <w:r>
        <w:tab/>
      </w:r>
      <w:r>
        <w:tab/>
      </w:r>
      <w:r>
        <w:t>电工电子产品环境试验第2部分：试验方法试验Cb：设备用恒定湿热</w:t>
      </w:r>
    </w:p>
    <w:p w14:paraId="7A8C8499">
      <w:pPr>
        <w:ind w:firstLine="420"/>
      </w:pPr>
      <w:r>
        <w:t>GB/T17626.2</w:t>
      </w:r>
      <w:r>
        <w:tab/>
      </w:r>
      <w:r>
        <w:tab/>
      </w:r>
      <w:r>
        <w:tab/>
      </w:r>
      <w:r>
        <w:tab/>
      </w:r>
      <w:r>
        <w:t>电磁兼容试验和测量技术静电放电抗扰度试验</w:t>
      </w:r>
    </w:p>
    <w:p w14:paraId="34CE3B6E">
      <w:pPr>
        <w:ind w:firstLine="420"/>
      </w:pPr>
      <w:r>
        <w:t>GB/T17626.3</w:t>
      </w:r>
      <w:r>
        <w:tab/>
      </w:r>
      <w:r>
        <w:tab/>
      </w:r>
      <w:r>
        <w:tab/>
      </w:r>
      <w:r>
        <w:tab/>
      </w:r>
      <w:r>
        <w:t>电磁兼容试验和测量技术射频电磁场辐射抗扰度试验</w:t>
      </w:r>
    </w:p>
    <w:p w14:paraId="36FC27E8">
      <w:pPr>
        <w:ind w:firstLine="420"/>
      </w:pPr>
      <w:r>
        <w:t>GB/T17626.4</w:t>
      </w:r>
      <w:r>
        <w:tab/>
      </w:r>
      <w:r>
        <w:tab/>
      </w:r>
      <w:r>
        <w:tab/>
      </w:r>
      <w:r>
        <w:tab/>
      </w:r>
      <w:r>
        <w:t>电磁兼容试验和测量技术电快速瞬变脉冲群抗扰度检验</w:t>
      </w:r>
    </w:p>
    <w:p w14:paraId="7D215B02">
      <w:pPr>
        <w:ind w:firstLine="420"/>
      </w:pPr>
      <w:r>
        <w:t>GB/T17626.5</w:t>
      </w:r>
      <w:r>
        <w:tab/>
      </w:r>
      <w:r>
        <w:tab/>
      </w:r>
      <w:r>
        <w:tab/>
      </w:r>
      <w:r>
        <w:tab/>
      </w:r>
      <w:r>
        <w:t>电磁兼容试验和测量技术浪涌抗扰度试验</w:t>
      </w:r>
    </w:p>
    <w:p w14:paraId="6F2116D6">
      <w:pPr>
        <w:ind w:firstLine="420"/>
      </w:pPr>
      <w:r>
        <w:t>GB/T17626.6</w:t>
      </w:r>
      <w:r>
        <w:tab/>
      </w:r>
      <w:r>
        <w:tab/>
      </w:r>
      <w:r>
        <w:tab/>
      </w:r>
      <w:r>
        <w:tab/>
      </w:r>
      <w:r>
        <w:t>电磁兼容试验和测量技术射频感应的传导骚扰抗扰度</w:t>
      </w:r>
    </w:p>
    <w:p w14:paraId="132FA1C4">
      <w:pPr>
        <w:ind w:firstLine="420"/>
      </w:pPr>
      <w:r>
        <w:t>GB/T 17626</w:t>
      </w:r>
      <w:r>
        <w:tab/>
      </w:r>
      <w:r>
        <w:tab/>
      </w:r>
      <w:r>
        <w:tab/>
      </w:r>
      <w:r>
        <w:tab/>
      </w:r>
      <w:r>
        <w:t>电磁兼容试验和测量技术</w:t>
      </w:r>
    </w:p>
    <w:p w14:paraId="020C44E6">
      <w:pPr>
        <w:ind w:firstLine="420"/>
      </w:pPr>
      <w:r>
        <w:t>GB 4208</w:t>
      </w:r>
      <w:r>
        <w:tab/>
      </w:r>
      <w:r>
        <w:tab/>
      </w:r>
      <w:r>
        <w:tab/>
      </w:r>
      <w:r>
        <w:tab/>
      </w:r>
      <w:r>
        <w:tab/>
      </w:r>
      <w:r>
        <w:t>外壳防护等级（IP代码）</w:t>
      </w:r>
    </w:p>
    <w:p w14:paraId="4176C098">
      <w:pPr>
        <w:ind w:firstLine="420"/>
      </w:pPr>
      <w:r>
        <w:t>GB50348</w:t>
      </w:r>
      <w:r>
        <w:tab/>
      </w:r>
      <w:r>
        <w:tab/>
      </w:r>
      <w:r>
        <w:tab/>
      </w:r>
      <w:r>
        <w:tab/>
      </w:r>
      <w:r>
        <w:tab/>
      </w:r>
      <w:r>
        <w:t>安全防范工程技术规范</w:t>
      </w:r>
    </w:p>
    <w:p w14:paraId="4E3A445F">
      <w:pPr>
        <w:ind w:firstLine="420"/>
      </w:pPr>
      <w:r>
        <w:t>GB/T 17626</w:t>
      </w:r>
      <w:r>
        <w:tab/>
      </w:r>
      <w:r>
        <w:tab/>
      </w:r>
      <w:r>
        <w:tab/>
      </w:r>
      <w:r>
        <w:tab/>
      </w:r>
      <w:r>
        <w:t>电磁兼容 试验和测量技术</w:t>
      </w:r>
    </w:p>
    <w:p w14:paraId="395B9BB0">
      <w:pPr>
        <w:ind w:firstLine="420"/>
      </w:pPr>
      <w:r>
        <w:rPr>
          <w:rFonts w:hint="eastAsia"/>
        </w:rPr>
        <w:t>GB/T 19582</w:t>
      </w:r>
      <w:r>
        <w:rPr>
          <w:rFonts w:hint="eastAsia"/>
        </w:rPr>
        <w:tab/>
      </w:r>
      <w:r>
        <w:tab/>
      </w:r>
      <w:r>
        <w:tab/>
      </w:r>
      <w:r>
        <w:tab/>
      </w:r>
      <w:r>
        <w:rPr>
          <w:rFonts w:hint="eastAsia"/>
        </w:rPr>
        <w:t>基于Modbus协议的工业自动化网络规范</w:t>
      </w:r>
    </w:p>
    <w:p w14:paraId="60974D9E">
      <w:pPr>
        <w:ind w:firstLine="420"/>
      </w:pPr>
      <w:r>
        <w:rPr>
          <w:rFonts w:hint="eastAsia"/>
        </w:rPr>
        <w:t>DL/T 645</w:t>
      </w:r>
      <w:r>
        <w:tab/>
      </w:r>
      <w:r>
        <w:rPr>
          <w:rFonts w:hint="eastAsia"/>
        </w:rPr>
        <w:t xml:space="preserve"> </w:t>
      </w:r>
      <w:r>
        <w:tab/>
      </w:r>
      <w:r>
        <w:tab/>
      </w:r>
      <w:r>
        <w:tab/>
      </w:r>
      <w:r>
        <w:tab/>
      </w:r>
      <w:r>
        <w:rPr>
          <w:rFonts w:hint="eastAsia"/>
        </w:rPr>
        <w:t>多功能电能表通信协议</w:t>
      </w:r>
    </w:p>
    <w:p w14:paraId="0AF5E816">
      <w:pPr>
        <w:ind w:firstLine="420"/>
      </w:pPr>
      <w:r>
        <w:rPr>
          <w:rFonts w:hint="eastAsia"/>
        </w:rPr>
        <w:t>Q/CSG 11109003-2013 中国南方电网有限责任公司低压电力用户集中抄表系统集中器技术规范</w:t>
      </w:r>
    </w:p>
    <w:p w14:paraId="662515E2">
      <w:pPr>
        <w:ind w:firstLine="420"/>
      </w:pPr>
      <w:r>
        <w:rPr>
          <w:rFonts w:hint="eastAsia"/>
        </w:rPr>
        <w:t>Q/CSG 11109004-2013 中国南方电网有限责任公司计量自动化终端上行通信规约</w:t>
      </w:r>
    </w:p>
    <w:p w14:paraId="6E3D68F5">
      <w:pPr>
        <w:ind w:firstLine="420"/>
      </w:pPr>
      <w:r>
        <w:rPr>
          <w:rFonts w:hint="eastAsia"/>
        </w:rPr>
        <w:t>计量自动化终端本地通信模块接口协议</w:t>
      </w:r>
    </w:p>
    <w:p w14:paraId="6DD9A046">
      <w:pPr>
        <w:ind w:firstLine="420"/>
      </w:pPr>
      <w:r>
        <w:t>国家发改委14号令</w:t>
      </w:r>
      <w:r>
        <w:tab/>
      </w:r>
      <w:r>
        <w:tab/>
      </w:r>
      <w:r>
        <w:t>电力监控系统安全防护规定</w:t>
      </w:r>
    </w:p>
    <w:p w14:paraId="2A23326E">
      <w:pPr>
        <w:ind w:firstLine="420"/>
      </w:pPr>
      <w:r>
        <w:t>国能安全〔2015〕36号</w:t>
      </w:r>
      <w:r>
        <w:tab/>
      </w:r>
      <w:r>
        <w:t>电力监控系统安全防护总体方案等安全防护方案和评估规范</w:t>
      </w:r>
    </w:p>
    <w:p w14:paraId="04060618">
      <w:pPr>
        <w:ind w:firstLine="420"/>
      </w:pPr>
      <w:r>
        <w:t>Q/CSG1204009</w:t>
      </w:r>
      <w:r>
        <w:tab/>
      </w:r>
      <w:r>
        <w:tab/>
      </w:r>
      <w:r>
        <w:tab/>
      </w:r>
      <w:r>
        <w:t>中国南方电网电力监控系统安全防护技术规范</w:t>
      </w:r>
    </w:p>
    <w:p w14:paraId="52BB30FB">
      <w:pPr>
        <w:ind w:firstLine="420"/>
      </w:pPr>
      <w:r>
        <w:rPr>
          <w:rFonts w:hint="eastAsia"/>
        </w:rPr>
        <w:t>GB/T 22239</w:t>
      </w:r>
      <w:r>
        <w:softHyphen/>
      </w:r>
      <w:r>
        <w:softHyphen/>
      </w:r>
      <w:r>
        <w:t>—2019</w:t>
      </w:r>
      <w:r>
        <w:rPr>
          <w:rFonts w:hint="eastAsia"/>
        </w:rPr>
        <w:tab/>
      </w:r>
      <w:r>
        <w:rPr>
          <w:rFonts w:hint="eastAsia"/>
        </w:rPr>
        <w:tab/>
      </w:r>
      <w:r>
        <w:rPr>
          <w:rFonts w:hint="eastAsia"/>
        </w:rPr>
        <w:t>信息安全技术 网络安全等级保护基本要求</w:t>
      </w:r>
    </w:p>
    <w:p w14:paraId="3A3B8357">
      <w:pPr>
        <w:ind w:firstLine="420"/>
      </w:pPr>
      <w:r>
        <w:rPr>
          <w:rFonts w:hint="eastAsia"/>
        </w:rPr>
        <w:t>GBT 18487.1</w:t>
      </w:r>
      <w:r>
        <w:softHyphen/>
      </w:r>
      <w:r>
        <w:softHyphen/>
      </w:r>
      <w:r>
        <w:t>—</w:t>
      </w:r>
      <w:r>
        <w:rPr>
          <w:rFonts w:hint="eastAsia"/>
        </w:rPr>
        <w:t>2023</w:t>
      </w:r>
      <w:r>
        <w:rPr>
          <w:rFonts w:hint="eastAsia"/>
        </w:rPr>
        <w:tab/>
      </w:r>
      <w:r>
        <w:rPr>
          <w:rFonts w:hint="eastAsia"/>
        </w:rPr>
        <w:tab/>
      </w:r>
      <w:r>
        <w:rPr>
          <w:rFonts w:hint="eastAsia"/>
        </w:rPr>
        <w:t>电动汽车传导充电系统 第1部分 通用要求</w:t>
      </w:r>
    </w:p>
    <w:p w14:paraId="4BD11A16">
      <w:pPr>
        <w:ind w:firstLine="420"/>
      </w:pPr>
      <w:r>
        <w:rPr>
          <w:rFonts w:hint="eastAsia"/>
        </w:rPr>
        <w:t>GB/T 27930</w:t>
      </w:r>
      <w:r>
        <w:softHyphen/>
      </w:r>
      <w:r>
        <w:softHyphen/>
      </w:r>
      <w:r>
        <w:t>—</w:t>
      </w:r>
      <w:r>
        <w:rPr>
          <w:rFonts w:hint="eastAsia"/>
        </w:rPr>
        <w:t>2023</w:t>
      </w:r>
      <w:r>
        <w:rPr>
          <w:rFonts w:hint="eastAsia"/>
        </w:rPr>
        <w:tab/>
      </w:r>
      <w:r>
        <w:rPr>
          <w:rFonts w:hint="eastAsia"/>
        </w:rPr>
        <w:tab/>
      </w:r>
      <w:r>
        <w:rPr>
          <w:rFonts w:hint="eastAsia"/>
        </w:rPr>
        <w:t>电动汽车非车载传导式充电机与电池管理系统之间的通信协议</w:t>
      </w:r>
    </w:p>
    <w:p w14:paraId="68570FEA">
      <w:pPr>
        <w:ind w:firstLine="420"/>
      </w:pPr>
      <w:r>
        <w:rPr>
          <w:rFonts w:hint="eastAsia"/>
        </w:rPr>
        <w:t>GB/T 32907-2016</w:t>
      </w:r>
      <w:r>
        <w:rPr>
          <w:rFonts w:hint="eastAsia"/>
        </w:rPr>
        <w:tab/>
      </w:r>
      <w:r>
        <w:rPr>
          <w:rFonts w:hint="eastAsia"/>
        </w:rPr>
        <w:tab/>
      </w:r>
      <w:r>
        <w:rPr>
          <w:rFonts w:hint="eastAsia"/>
        </w:rPr>
        <w:tab/>
      </w:r>
      <w:r>
        <w:rPr>
          <w:rFonts w:hint="eastAsia"/>
        </w:rPr>
        <w:t>信息安全技术 SM4 分组密码算法</w:t>
      </w:r>
    </w:p>
    <w:p w14:paraId="056D52DA">
      <w:pPr>
        <w:ind w:firstLine="420"/>
      </w:pPr>
      <w:r>
        <w:rPr>
          <w:rFonts w:hint="eastAsia"/>
        </w:rPr>
        <w:t>GB/T 36624-2018</w:t>
      </w:r>
      <w:r>
        <w:rPr>
          <w:rFonts w:hint="eastAsia"/>
        </w:rPr>
        <w:tab/>
      </w:r>
      <w:r>
        <w:rPr>
          <w:rFonts w:hint="eastAsia"/>
        </w:rPr>
        <w:tab/>
      </w:r>
      <w:r>
        <w:rPr>
          <w:rFonts w:hint="eastAsia"/>
        </w:rPr>
        <w:tab/>
      </w:r>
      <w:r>
        <w:rPr>
          <w:rFonts w:hint="eastAsia"/>
        </w:rPr>
        <w:t>信息技术 安全技术 可鉴别的加密机制</w:t>
      </w:r>
    </w:p>
    <w:p w14:paraId="236001D8">
      <w:pPr>
        <w:ind w:firstLine="420"/>
      </w:pPr>
      <w:r>
        <w:t>Q/CSG</w:t>
      </w:r>
      <w:r>
        <w:rPr>
          <w:rFonts w:hint="eastAsia"/>
        </w:rPr>
        <w:t xml:space="preserve"> </w:t>
      </w:r>
      <w:r>
        <w:t>1209020</w:t>
      </w:r>
      <w:r>
        <w:tab/>
      </w:r>
      <w:r>
        <w:rPr>
          <w:rFonts w:hint="eastAsia"/>
        </w:rPr>
        <w:tab/>
      </w:r>
      <w:r>
        <w:rPr>
          <w:rFonts w:hint="eastAsia"/>
        </w:rPr>
        <w:tab/>
      </w:r>
      <w:r>
        <w:t>中国南方电网有限责任公司计量自动化系统微功率无线通信规约</w:t>
      </w:r>
    </w:p>
    <w:p w14:paraId="54E9F4A7">
      <w:pPr>
        <w:ind w:firstLine="420"/>
      </w:pPr>
      <w:r>
        <w:rPr>
          <w:rFonts w:hint="eastAsia"/>
        </w:rPr>
        <w:t xml:space="preserve">Q/CSG 1209005―2015 </w:t>
      </w:r>
      <w:r>
        <w:rPr>
          <w:rFonts w:hint="eastAsia"/>
        </w:rPr>
        <w:tab/>
      </w:r>
      <w:r>
        <w:rPr>
          <w:rFonts w:hint="eastAsia"/>
        </w:rPr>
        <w:tab/>
      </w:r>
      <w:r>
        <w:rPr>
          <w:rFonts w:hint="eastAsia"/>
        </w:rPr>
        <w:t>中国南方电网公司费控电能表信息交换安全认证技术要求</w:t>
      </w:r>
    </w:p>
    <w:p w14:paraId="413A9ECD">
      <w:pPr>
        <w:spacing w:before="25" w:line="228" w:lineRule="auto"/>
        <w:jc w:val="left"/>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Q/CSG 1210076</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电鸿物联操作系统技术规范</w:t>
      </w:r>
    </w:p>
    <w:p w14:paraId="2543F934">
      <w:pPr>
        <w:pStyle w:val="32"/>
      </w:pPr>
      <w:r>
        <w:rPr>
          <w:rFonts w:hint="eastAsia" w:ascii="Times New Roman" w:hAnsi="Times New Roman" w:eastAsia="宋体" w:cs="Times New Roman"/>
          <w:kern w:val="2"/>
          <w:sz w:val="21"/>
          <w:szCs w:val="22"/>
          <w:highlight w:val="none"/>
        </w:rPr>
        <w:t>电鸿物联操作系统PHM公共中间件技术规范</w:t>
      </w:r>
    </w:p>
    <w:p w14:paraId="4A223F12">
      <w:pPr>
        <w:pStyle w:val="2"/>
      </w:pPr>
      <w:bookmarkStart w:id="155" w:name="_Toc402276224"/>
      <w:bookmarkEnd w:id="155"/>
      <w:bookmarkStart w:id="156" w:name="_Toc10109"/>
      <w:bookmarkStart w:id="157" w:name="_Toc12237"/>
      <w:bookmarkStart w:id="158" w:name="_Toc21246"/>
      <w:bookmarkStart w:id="159" w:name="_Toc5698"/>
      <w:bookmarkStart w:id="160" w:name="_Toc20350"/>
      <w:bookmarkStart w:id="161" w:name="_Toc14525"/>
      <w:bookmarkStart w:id="162" w:name="_Toc29666"/>
      <w:bookmarkStart w:id="163" w:name="_Toc29473"/>
      <w:bookmarkStart w:id="164" w:name="_Toc32465"/>
      <w:bookmarkStart w:id="165" w:name="_Toc26800"/>
      <w:bookmarkStart w:id="166" w:name="_Toc15524"/>
      <w:bookmarkStart w:id="167" w:name="_Toc16547"/>
      <w:bookmarkStart w:id="168" w:name="_Toc26026"/>
      <w:bookmarkStart w:id="169" w:name="_Toc15129"/>
      <w:bookmarkStart w:id="170" w:name="_Toc19676"/>
      <w:bookmarkStart w:id="171" w:name="_Toc25790"/>
      <w:bookmarkStart w:id="172" w:name="_Toc90022982"/>
      <w:bookmarkStart w:id="173" w:name="_Toc6850"/>
      <w:bookmarkStart w:id="174" w:name="_Toc14730"/>
      <w:bookmarkStart w:id="175" w:name="_Toc395186723"/>
      <w:bookmarkStart w:id="176" w:name="_Toc292025347"/>
      <w:bookmarkStart w:id="177" w:name="_Toc282993250"/>
      <w:r>
        <w:t>使用条件</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2A998AE">
      <w:pPr>
        <w:ind w:firstLine="420"/>
      </w:pPr>
      <w:r>
        <w:t>投标方提供的</w:t>
      </w:r>
      <w:r>
        <w:rPr>
          <w:rFonts w:hint="eastAsia"/>
          <w:lang w:eastAsia="zh-CN"/>
        </w:rPr>
        <w:t>电力开源物联版配电物联代理单元</w:t>
      </w:r>
      <w:r>
        <w:t>不仅应满足本技术规范要求，相关性能参数还应按实际安装地点的外部条件要求进行校验、核对，使所供设备满足实际外部条件要求及全工况运行要求。</w:t>
      </w:r>
    </w:p>
    <w:p w14:paraId="581E018B">
      <w:pPr>
        <w:pStyle w:val="3"/>
      </w:pPr>
      <w:bookmarkStart w:id="178" w:name="_Toc279695711"/>
      <w:bookmarkStart w:id="179" w:name="_Toc7324"/>
      <w:bookmarkStart w:id="180" w:name="_Toc292025348"/>
      <w:bookmarkStart w:id="181" w:name="_Toc31357"/>
      <w:bookmarkStart w:id="182" w:name="_Toc2620"/>
      <w:bookmarkStart w:id="183" w:name="_Toc29803"/>
      <w:bookmarkStart w:id="184" w:name="_Toc19803"/>
      <w:bookmarkStart w:id="185" w:name="_Toc26259"/>
      <w:bookmarkStart w:id="186" w:name="_Toc21747"/>
      <w:bookmarkStart w:id="187" w:name="_Toc28587"/>
      <w:bookmarkStart w:id="188" w:name="_Toc30017"/>
      <w:bookmarkStart w:id="189" w:name="_Toc21980"/>
      <w:bookmarkStart w:id="190" w:name="_Toc12669"/>
      <w:bookmarkStart w:id="191" w:name="_Toc282993251"/>
      <w:bookmarkStart w:id="192" w:name="_Toc90022983"/>
      <w:bookmarkStart w:id="193" w:name="_Toc15784"/>
      <w:bookmarkStart w:id="194" w:name="_Toc11845"/>
      <w:bookmarkStart w:id="195" w:name="_Toc13783"/>
      <w:bookmarkStart w:id="196" w:name="_Toc405368417"/>
      <w:bookmarkStart w:id="197" w:name="_Toc28224"/>
      <w:bookmarkStart w:id="198" w:name="_Toc10073"/>
      <w:bookmarkStart w:id="199" w:name="_Toc2116"/>
      <w:bookmarkStart w:id="200" w:name="_Toc11391"/>
      <w:r>
        <w:t>正常使用条件</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F16F1B9">
      <w:pPr>
        <w:pStyle w:val="4"/>
      </w:pPr>
      <w:r>
        <w:t>系统运行条件</w:t>
      </w:r>
    </w:p>
    <w:p w14:paraId="279D3865">
      <w:pPr>
        <w:numPr>
          <w:ilvl w:val="0"/>
          <w:numId w:val="8"/>
        </w:numPr>
        <w:ind w:left="0" w:firstLine="420"/>
      </w:pPr>
      <w:r>
        <w:t>系统额定频率：50Hz；</w:t>
      </w:r>
    </w:p>
    <w:p w14:paraId="55898A5E">
      <w:pPr>
        <w:numPr>
          <w:ilvl w:val="0"/>
          <w:numId w:val="8"/>
        </w:numPr>
        <w:ind w:left="0" w:firstLine="420"/>
      </w:pPr>
      <w:r>
        <w:rPr>
          <w:rFonts w:hint="eastAsia"/>
        </w:rPr>
        <w:t>供电</w:t>
      </w:r>
      <w:r>
        <w:t>电压：</w:t>
      </w:r>
      <w:r>
        <w:rPr>
          <w:rFonts w:hint="eastAsia"/>
        </w:rPr>
        <w:t>AC220V供电</w:t>
      </w:r>
    </w:p>
    <w:p w14:paraId="3EFEE473">
      <w:pPr>
        <w:pStyle w:val="4"/>
      </w:pPr>
      <w:r>
        <w:t>周围空气温度</w:t>
      </w:r>
    </w:p>
    <w:p w14:paraId="1A13EC88">
      <w:pPr>
        <w:numPr>
          <w:ilvl w:val="0"/>
          <w:numId w:val="9"/>
        </w:numPr>
        <w:ind w:left="0" w:firstLine="420"/>
      </w:pPr>
      <w:r>
        <w:t>最高温度：+70℃；</w:t>
      </w:r>
    </w:p>
    <w:p w14:paraId="0515CE29">
      <w:pPr>
        <w:numPr>
          <w:ilvl w:val="0"/>
          <w:numId w:val="9"/>
        </w:numPr>
        <w:ind w:left="0" w:firstLine="420"/>
      </w:pPr>
      <w:r>
        <w:t>最低温度：-25℃；</w:t>
      </w:r>
    </w:p>
    <w:p w14:paraId="5B884D0B">
      <w:pPr>
        <w:numPr>
          <w:ilvl w:val="0"/>
          <w:numId w:val="9"/>
        </w:numPr>
        <w:ind w:left="0" w:firstLine="420"/>
      </w:pPr>
      <w:r>
        <w:t>最大日温差：25℃；</w:t>
      </w:r>
    </w:p>
    <w:p w14:paraId="093507C7">
      <w:pPr>
        <w:numPr>
          <w:ilvl w:val="0"/>
          <w:numId w:val="9"/>
        </w:numPr>
        <w:ind w:left="0" w:firstLine="420"/>
      </w:pPr>
      <w:r>
        <w:t>环境温度最大变化率：1℃/min。</w:t>
      </w:r>
    </w:p>
    <w:p w14:paraId="24FDC160">
      <w:pPr>
        <w:pStyle w:val="4"/>
      </w:pPr>
      <w:r>
        <w:t>环境湿度</w:t>
      </w:r>
    </w:p>
    <w:p w14:paraId="1BF501D5">
      <w:pPr>
        <w:numPr>
          <w:ilvl w:val="0"/>
          <w:numId w:val="10"/>
        </w:numPr>
        <w:ind w:left="0" w:firstLine="420"/>
      </w:pPr>
      <w:r>
        <w:t>日平均值不超过：95%；</w:t>
      </w:r>
    </w:p>
    <w:p w14:paraId="1D96EAE7">
      <w:pPr>
        <w:numPr>
          <w:ilvl w:val="0"/>
          <w:numId w:val="10"/>
        </w:numPr>
        <w:ind w:left="0" w:firstLine="420"/>
      </w:pPr>
      <w:r>
        <w:t>月平均值不超过：90%。</w:t>
      </w:r>
    </w:p>
    <w:p w14:paraId="2EE45506">
      <w:pPr>
        <w:pStyle w:val="4"/>
      </w:pPr>
      <w:r>
        <w:t>海拔</w:t>
      </w:r>
    </w:p>
    <w:p w14:paraId="11A733C1">
      <w:pPr>
        <w:ind w:firstLine="420"/>
      </w:pPr>
      <w:r>
        <w:t>不超过</w:t>
      </w:r>
      <w:r>
        <w:rPr>
          <w:rFonts w:hint="eastAsia"/>
        </w:rPr>
        <w:t>2000m</w:t>
      </w:r>
      <w:r>
        <w:t>。</w:t>
      </w:r>
    </w:p>
    <w:p w14:paraId="34601AF2">
      <w:pPr>
        <w:pStyle w:val="4"/>
      </w:pPr>
      <w:r>
        <w:rPr>
          <w:rFonts w:hint="eastAsia"/>
        </w:rPr>
        <w:t>耐受地震能力</w:t>
      </w:r>
    </w:p>
    <w:p w14:paraId="0556C7F5">
      <w:pPr>
        <w:ind w:firstLine="420"/>
      </w:pPr>
      <w:r>
        <w:t>规定为8度，应满足表4.1的规定。</w:t>
      </w:r>
    </w:p>
    <w:p w14:paraId="5D74415B">
      <w:pPr>
        <w:ind w:firstLine="0" w:firstLineChars="0"/>
        <w:jc w:val="center"/>
      </w:pPr>
      <w:r>
        <w:rPr>
          <w:snapToGrid w:val="0"/>
          <w:kern w:val="0"/>
          <w:szCs w:val="21"/>
        </w:rPr>
        <w:t>表4.1 耐受地震烈度试验</w:t>
      </w:r>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61"/>
        <w:gridCol w:w="1568"/>
        <w:gridCol w:w="1357"/>
      </w:tblGrid>
      <w:tr w14:paraId="3AA39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Merge w:val="restart"/>
            <w:vAlign w:val="center"/>
          </w:tcPr>
          <w:p w14:paraId="75BFF5B7">
            <w:pPr>
              <w:spacing w:line="240" w:lineRule="auto"/>
              <w:ind w:firstLine="0" w:firstLineChars="0"/>
              <w:jc w:val="center"/>
              <w:rPr>
                <w:snapToGrid w:val="0"/>
                <w:kern w:val="0"/>
                <w:szCs w:val="21"/>
              </w:rPr>
            </w:pPr>
            <w:r>
              <w:t>考核波形</w:t>
            </w:r>
          </w:p>
        </w:tc>
        <w:tc>
          <w:tcPr>
            <w:tcW w:w="2925" w:type="dxa"/>
            <w:gridSpan w:val="2"/>
            <w:vAlign w:val="center"/>
          </w:tcPr>
          <w:p w14:paraId="57D1A09B">
            <w:pPr>
              <w:spacing w:line="240" w:lineRule="auto"/>
              <w:ind w:firstLine="0" w:firstLineChars="0"/>
              <w:jc w:val="center"/>
              <w:rPr>
                <w:snapToGrid w:val="0"/>
                <w:kern w:val="0"/>
                <w:szCs w:val="21"/>
              </w:rPr>
            </w:pPr>
            <w:r>
              <w:t>设防烈度</w:t>
            </w:r>
          </w:p>
        </w:tc>
      </w:tr>
      <w:tr w14:paraId="0EE15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Merge w:val="continue"/>
            <w:vAlign w:val="center"/>
          </w:tcPr>
          <w:p w14:paraId="2653FFC8">
            <w:pPr>
              <w:spacing w:line="240" w:lineRule="auto"/>
              <w:ind w:firstLine="0" w:firstLineChars="0"/>
              <w:jc w:val="center"/>
              <w:rPr>
                <w:snapToGrid w:val="0"/>
                <w:kern w:val="0"/>
                <w:szCs w:val="21"/>
              </w:rPr>
            </w:pPr>
          </w:p>
        </w:tc>
        <w:tc>
          <w:tcPr>
            <w:tcW w:w="1568" w:type="dxa"/>
            <w:vAlign w:val="center"/>
          </w:tcPr>
          <w:p w14:paraId="4309C4DC">
            <w:pPr>
              <w:spacing w:line="240" w:lineRule="auto"/>
              <w:ind w:firstLine="0" w:firstLineChars="0"/>
              <w:jc w:val="center"/>
              <w:rPr>
                <w:snapToGrid w:val="0"/>
                <w:kern w:val="0"/>
                <w:szCs w:val="21"/>
              </w:rPr>
            </w:pPr>
            <w:r>
              <w:t>8度</w:t>
            </w:r>
          </w:p>
        </w:tc>
        <w:tc>
          <w:tcPr>
            <w:tcW w:w="1357" w:type="dxa"/>
            <w:vAlign w:val="center"/>
          </w:tcPr>
          <w:p w14:paraId="43453F7B">
            <w:pPr>
              <w:spacing w:line="240" w:lineRule="auto"/>
              <w:ind w:firstLine="0" w:firstLineChars="0"/>
              <w:jc w:val="center"/>
              <w:rPr>
                <w:snapToGrid w:val="0"/>
                <w:kern w:val="0"/>
                <w:szCs w:val="21"/>
              </w:rPr>
            </w:pPr>
            <w:r>
              <w:t>9度</w:t>
            </w:r>
          </w:p>
        </w:tc>
      </w:tr>
      <w:tr w14:paraId="1E507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Align w:val="center"/>
          </w:tcPr>
          <w:p w14:paraId="72508892">
            <w:pPr>
              <w:spacing w:line="240" w:lineRule="auto"/>
              <w:ind w:firstLine="0" w:firstLineChars="0"/>
              <w:jc w:val="center"/>
              <w:rPr>
                <w:snapToGrid w:val="0"/>
                <w:kern w:val="0"/>
                <w:szCs w:val="21"/>
              </w:rPr>
            </w:pPr>
            <w:r>
              <w:t>人工合成地震波或实震记录</w:t>
            </w:r>
          </w:p>
        </w:tc>
        <w:tc>
          <w:tcPr>
            <w:tcW w:w="1568" w:type="dxa"/>
            <w:vAlign w:val="center"/>
          </w:tcPr>
          <w:p w14:paraId="19BA4B05">
            <w:pPr>
              <w:spacing w:line="240" w:lineRule="auto"/>
              <w:ind w:firstLine="0" w:firstLineChars="0"/>
              <w:jc w:val="center"/>
              <w:rPr>
                <w:snapToGrid w:val="0"/>
                <w:kern w:val="0"/>
                <w:szCs w:val="21"/>
              </w:rPr>
            </w:pPr>
            <w:r>
              <w:t>0.25g</w:t>
            </w:r>
          </w:p>
        </w:tc>
        <w:tc>
          <w:tcPr>
            <w:tcW w:w="1357" w:type="dxa"/>
            <w:vAlign w:val="center"/>
          </w:tcPr>
          <w:p w14:paraId="3C0B2B1B">
            <w:pPr>
              <w:spacing w:line="240" w:lineRule="auto"/>
              <w:ind w:firstLine="0" w:firstLineChars="0"/>
              <w:jc w:val="center"/>
              <w:rPr>
                <w:snapToGrid w:val="0"/>
                <w:kern w:val="0"/>
                <w:szCs w:val="21"/>
              </w:rPr>
            </w:pPr>
            <w:r>
              <w:t>0.5g</w:t>
            </w:r>
          </w:p>
        </w:tc>
      </w:tr>
      <w:tr w14:paraId="12FCC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Align w:val="center"/>
          </w:tcPr>
          <w:p w14:paraId="5A3FBA8E">
            <w:pPr>
              <w:spacing w:line="240" w:lineRule="auto"/>
              <w:ind w:firstLine="0" w:firstLineChars="0"/>
              <w:jc w:val="center"/>
              <w:rPr>
                <w:snapToGrid w:val="0"/>
                <w:kern w:val="0"/>
                <w:szCs w:val="21"/>
              </w:rPr>
            </w:pPr>
            <w:r>
              <w:t>正弦共振拍波</w:t>
            </w:r>
          </w:p>
        </w:tc>
        <w:tc>
          <w:tcPr>
            <w:tcW w:w="1568" w:type="dxa"/>
            <w:vAlign w:val="center"/>
          </w:tcPr>
          <w:p w14:paraId="27269603">
            <w:pPr>
              <w:spacing w:line="240" w:lineRule="auto"/>
              <w:ind w:firstLine="0" w:firstLineChars="0"/>
              <w:jc w:val="center"/>
              <w:rPr>
                <w:snapToGrid w:val="0"/>
                <w:kern w:val="0"/>
                <w:szCs w:val="21"/>
              </w:rPr>
            </w:pPr>
            <w:r>
              <w:t>0.15g</w:t>
            </w:r>
          </w:p>
        </w:tc>
        <w:tc>
          <w:tcPr>
            <w:tcW w:w="1357" w:type="dxa"/>
            <w:vAlign w:val="center"/>
          </w:tcPr>
          <w:p w14:paraId="443A8C28">
            <w:pPr>
              <w:spacing w:line="240" w:lineRule="auto"/>
              <w:ind w:firstLine="0" w:firstLineChars="0"/>
              <w:jc w:val="center"/>
              <w:rPr>
                <w:snapToGrid w:val="0"/>
                <w:kern w:val="0"/>
                <w:szCs w:val="21"/>
              </w:rPr>
            </w:pPr>
            <w:r>
              <w:t>0.3g</w:t>
            </w:r>
          </w:p>
        </w:tc>
      </w:tr>
      <w:tr w14:paraId="26F58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86" w:type="dxa"/>
            <w:gridSpan w:val="3"/>
          </w:tcPr>
          <w:p w14:paraId="1542DB8A">
            <w:pPr>
              <w:spacing w:line="240" w:lineRule="auto"/>
              <w:ind w:firstLine="0" w:firstLineChars="0"/>
              <w:rPr>
                <w:snapToGrid w:val="0"/>
                <w:kern w:val="0"/>
                <w:szCs w:val="21"/>
              </w:rPr>
            </w:pPr>
            <w:r>
              <w:t>注：g为地心引力加速度，g=9.8m/s2</w:t>
            </w:r>
          </w:p>
        </w:tc>
      </w:tr>
    </w:tbl>
    <w:p w14:paraId="7DFA5E36">
      <w:pPr>
        <w:ind w:firstLine="420"/>
      </w:pPr>
      <w:r>
        <w:t>试验方法按GB/T 13540进行。</w:t>
      </w:r>
    </w:p>
    <w:p w14:paraId="19DE535A">
      <w:pPr>
        <w:pStyle w:val="4"/>
      </w:pPr>
      <w:r>
        <w:t>污秽等级</w:t>
      </w:r>
    </w:p>
    <w:p w14:paraId="25B1CCF1">
      <w:pPr>
        <w:pStyle w:val="76"/>
      </w:pPr>
      <w:r>
        <w:t>不低于d级，绝缘爬电比距31mm/kV。</w:t>
      </w:r>
    </w:p>
    <w:p w14:paraId="68CE2DE0">
      <w:pPr>
        <w:pStyle w:val="4"/>
      </w:pPr>
      <w:r>
        <w:t>盐害</w:t>
      </w:r>
    </w:p>
    <w:p w14:paraId="103E5F64">
      <w:pPr>
        <w:ind w:firstLine="420"/>
      </w:pPr>
      <w:r>
        <w:t>0.30mg/cm2 强电解质。</w:t>
      </w:r>
    </w:p>
    <w:p w14:paraId="6B67D30A">
      <w:pPr>
        <w:pStyle w:val="4"/>
      </w:pPr>
      <w:r>
        <w:t>雷电及风暴日数</w:t>
      </w:r>
    </w:p>
    <w:p w14:paraId="32AD5C51">
      <w:pPr>
        <w:ind w:firstLine="420"/>
      </w:pPr>
      <w:r>
        <w:t>150日/年。</w:t>
      </w:r>
    </w:p>
    <w:p w14:paraId="2283311B">
      <w:pPr>
        <w:pStyle w:val="4"/>
      </w:pPr>
      <w:r>
        <w:t>日照强度</w:t>
      </w:r>
    </w:p>
    <w:p w14:paraId="74B6429B">
      <w:pPr>
        <w:ind w:firstLine="420"/>
      </w:pPr>
      <w:r>
        <w:t>0.1W/cm2(风速0.5m/s)。</w:t>
      </w:r>
    </w:p>
    <w:p w14:paraId="1F63003E">
      <w:pPr>
        <w:pStyle w:val="4"/>
      </w:pPr>
      <w:r>
        <w:t>安装地点</w:t>
      </w:r>
    </w:p>
    <w:p w14:paraId="73F6EA50">
      <w:pPr>
        <w:ind w:firstLine="420"/>
      </w:pPr>
      <w:r>
        <w:rPr>
          <w:rFonts w:hint="eastAsia"/>
        </w:rPr>
        <w:t>户内、户外遮蔽</w:t>
      </w:r>
      <w:r>
        <w:t>。</w:t>
      </w:r>
    </w:p>
    <w:bookmarkEnd w:id="175"/>
    <w:bookmarkEnd w:id="176"/>
    <w:bookmarkEnd w:id="177"/>
    <w:p w14:paraId="09225F59">
      <w:pPr>
        <w:pStyle w:val="2"/>
      </w:pPr>
      <w:bookmarkStart w:id="201" w:name="_Toc34750580"/>
      <w:bookmarkStart w:id="202" w:name="_Toc10291"/>
      <w:bookmarkStart w:id="203" w:name="_Toc2936"/>
      <w:bookmarkStart w:id="204" w:name="_Toc23590"/>
      <w:bookmarkStart w:id="205" w:name="_Toc23838"/>
      <w:bookmarkStart w:id="206" w:name="_Toc17936"/>
      <w:bookmarkStart w:id="207" w:name="_Toc21729"/>
      <w:bookmarkStart w:id="208" w:name="_Toc98363153"/>
      <w:bookmarkStart w:id="209" w:name="_Toc8803"/>
      <w:bookmarkStart w:id="210" w:name="_Toc16139"/>
      <w:bookmarkStart w:id="211" w:name="_Toc14279"/>
      <w:bookmarkStart w:id="212" w:name="_Toc26568"/>
      <w:bookmarkStart w:id="213" w:name="_Toc16788"/>
      <w:bookmarkStart w:id="214" w:name="_Toc12417"/>
      <w:bookmarkStart w:id="215" w:name="_Toc271"/>
      <w:bookmarkStart w:id="216" w:name="_Toc27473"/>
      <w:bookmarkStart w:id="217" w:name="_Toc4089"/>
      <w:bookmarkStart w:id="218" w:name="_Toc32296"/>
      <w:r>
        <w:rPr>
          <w:rFonts w:hint="eastAsia"/>
        </w:rPr>
        <w:t>功能技术</w:t>
      </w:r>
      <w:bookmarkEnd w:id="201"/>
      <w:bookmarkEnd w:id="202"/>
      <w:r>
        <w:rPr>
          <w:rFonts w:hint="eastAsia"/>
        </w:rPr>
        <w:t>要求</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2700D70">
      <w:pPr>
        <w:pStyle w:val="3"/>
      </w:pPr>
      <w:bookmarkStart w:id="219" w:name="_Toc19896"/>
      <w:bookmarkStart w:id="220" w:name="_Toc1181"/>
      <w:r>
        <w:rPr>
          <w:rFonts w:hint="eastAsia"/>
        </w:rPr>
        <w:t>技术指标</w:t>
      </w:r>
      <w:bookmarkEnd w:id="219"/>
      <w:bookmarkEnd w:id="220"/>
    </w:p>
    <w:p w14:paraId="034BE5A5">
      <w:pPr>
        <w:pStyle w:val="4"/>
      </w:pPr>
      <w:r>
        <w:rPr>
          <w:rFonts w:hint="eastAsia"/>
        </w:rPr>
        <w:t>外观结构要求</w:t>
      </w:r>
    </w:p>
    <w:p w14:paraId="0ECE3CC0">
      <w:pPr>
        <w:pStyle w:val="11"/>
      </w:pPr>
      <w:bookmarkStart w:id="221" w:name="_Toc20437"/>
      <w:r>
        <w:rPr>
          <w:rFonts w:hint="eastAsia"/>
        </w:rPr>
        <w:t>尺寸</w:t>
      </w:r>
      <w:bookmarkEnd w:id="221"/>
      <w:r>
        <w:rPr>
          <w:rFonts w:hint="eastAsia"/>
        </w:rPr>
        <w:t>要求</w:t>
      </w:r>
    </w:p>
    <w:p w14:paraId="4259BA3E">
      <w:pPr>
        <w:pStyle w:val="76"/>
      </w:pPr>
      <w:r>
        <w:rPr>
          <w:rFonts w:hint="eastAsia"/>
          <w:lang w:eastAsia="zh-CN"/>
        </w:rPr>
        <w:t>电力开源物联版配电物联代理单元</w:t>
      </w:r>
      <w:r>
        <w:rPr>
          <w:rFonts w:hint="eastAsia"/>
        </w:rPr>
        <w:t>安装方式应支持35mm宽标准U型导轨式卡扣安装和挂钩悬挂安装，应满足如下要求：</w:t>
      </w:r>
    </w:p>
    <w:p w14:paraId="6E276D50">
      <w:pPr>
        <w:pStyle w:val="76"/>
      </w:pPr>
      <w:r>
        <w:rPr>
          <w:rFonts w:hint="eastAsia"/>
        </w:rPr>
        <w:t>a）本体不含安装卡扣</w:t>
      </w:r>
      <w:r>
        <w:t>尺寸：不大于95 mm（长）×70 mm（宽）×75mm（高），外观及端子定义应符合附录A的要求；</w:t>
      </w:r>
    </w:p>
    <w:p w14:paraId="692C39AA">
      <w:pPr>
        <w:pStyle w:val="76"/>
      </w:pPr>
      <w:r>
        <w:rPr>
          <w:rFonts w:hint="eastAsia"/>
        </w:rPr>
        <w:t>b）支持可插拔H</w:t>
      </w:r>
      <w:r>
        <w:t>PLC</w:t>
      </w:r>
      <w:r>
        <w:rPr>
          <w:rFonts w:hint="eastAsia"/>
          <w:lang w:val="en-US" w:eastAsia="zh-CN"/>
        </w:rPr>
        <w:t>/SPLC</w:t>
      </w:r>
      <w:r>
        <w:t>模块带电安装更换，</w:t>
      </w:r>
      <w:r>
        <w:rPr>
          <w:rFonts w:hint="eastAsia"/>
        </w:rPr>
        <w:t>可插拔H</w:t>
      </w:r>
      <w:r>
        <w:t>PLC</w:t>
      </w:r>
      <w:r>
        <w:rPr>
          <w:rFonts w:hint="eastAsia"/>
          <w:lang w:val="en-US" w:eastAsia="zh-CN"/>
        </w:rPr>
        <w:t>/SPLC</w:t>
      </w:r>
      <w:r>
        <w:rPr>
          <w:rFonts w:hint="eastAsia"/>
        </w:rPr>
        <w:t>通信模块的尺寸应满足南网H</w:t>
      </w:r>
      <w:r>
        <w:t>PLC</w:t>
      </w:r>
      <w:r>
        <w:rPr>
          <w:rFonts w:hint="eastAsia"/>
          <w:lang w:val="en-US" w:eastAsia="zh-CN"/>
        </w:rPr>
        <w:t>/SPLC</w:t>
      </w:r>
      <w:r>
        <w:t>模块技术规范</w:t>
      </w:r>
      <w:r>
        <w:rPr>
          <w:rFonts w:hint="eastAsia"/>
        </w:rPr>
        <w:t>。</w:t>
      </w:r>
    </w:p>
    <w:p w14:paraId="59FA5117">
      <w:pPr>
        <w:numPr>
          <w:ilvl w:val="0"/>
          <w:numId w:val="2"/>
        </w:numPr>
        <w:ind w:firstLine="0" w:firstLineChars="0"/>
      </w:pPr>
      <w:r>
        <w:rPr>
          <w:rFonts w:hint="eastAsia"/>
        </w:rPr>
        <w:t>指示灯及按键</w:t>
      </w:r>
    </w:p>
    <w:p w14:paraId="1309A2C0">
      <w:pPr>
        <w:ind w:firstLine="420"/>
      </w:pPr>
      <w:r>
        <w:rPr>
          <w:rFonts w:hint="eastAsia"/>
        </w:rPr>
        <w:t>指示灯、复位按键的位置应符合附录</w:t>
      </w:r>
      <w:r>
        <w:t>A</w:t>
      </w:r>
      <w:r>
        <w:rPr>
          <w:rFonts w:hint="eastAsia"/>
        </w:rPr>
        <w:t>的要求；</w:t>
      </w:r>
    </w:p>
    <w:p w14:paraId="44E07AD7">
      <w:pPr>
        <w:ind w:firstLine="420"/>
      </w:pPr>
      <w:r>
        <w:rPr>
          <w:rFonts w:hint="eastAsia"/>
        </w:rPr>
        <w:t>电源指示灯：红色LED，电源正常时常亮；</w:t>
      </w:r>
    </w:p>
    <w:p w14:paraId="4992F42A">
      <w:pPr>
        <w:ind w:firstLine="420"/>
      </w:pPr>
      <w:r>
        <w:rPr>
          <w:rFonts w:hint="eastAsia"/>
        </w:rPr>
        <w:t>运行指示灯：绿色LED，正常运行时以1Hz频率闪烁；</w:t>
      </w:r>
    </w:p>
    <w:p w14:paraId="2C57C2A4">
      <w:pPr>
        <w:ind w:firstLine="420"/>
      </w:pPr>
      <w:r>
        <w:rPr>
          <w:rFonts w:hint="eastAsia"/>
        </w:rPr>
        <w:t>上行指示灯：无收发数据时灭，收发数据时绿色灯闪烁；</w:t>
      </w:r>
    </w:p>
    <w:p w14:paraId="0706838C">
      <w:pPr>
        <w:ind w:firstLine="420"/>
      </w:pPr>
      <w:r>
        <w:rPr>
          <w:rFonts w:hint="eastAsia"/>
        </w:rPr>
        <w:t>下行指示灯：无收发数据时灭，收发数据时绿色灯闪烁；</w:t>
      </w:r>
    </w:p>
    <w:p w14:paraId="7E2ECE83">
      <w:pPr>
        <w:ind w:firstLine="420"/>
      </w:pPr>
      <w:r>
        <w:rPr>
          <w:rFonts w:hint="eastAsia"/>
        </w:rPr>
        <w:t>检修指示灯：检修态时为红色常亮，运行态为灭；</w:t>
      </w:r>
    </w:p>
    <w:p w14:paraId="57F36D1A">
      <w:pPr>
        <w:ind w:firstLine="420"/>
      </w:pPr>
      <w:r>
        <w:rPr>
          <w:rFonts w:hint="eastAsia"/>
        </w:rPr>
        <w:t>切换按键：短按启动检修功能，长按（＞3s）进行装置复位重启；</w:t>
      </w:r>
    </w:p>
    <w:p w14:paraId="4B4BD868">
      <w:pPr>
        <w:ind w:firstLine="420"/>
      </w:pPr>
      <w:r>
        <w:rPr>
          <w:rFonts w:hint="eastAsia"/>
        </w:rPr>
        <w:t>内置载波模块指示灯应直接可视。</w:t>
      </w:r>
    </w:p>
    <w:p w14:paraId="5CEE2097">
      <w:pPr>
        <w:numPr>
          <w:ilvl w:val="0"/>
          <w:numId w:val="2"/>
        </w:numPr>
        <w:ind w:firstLine="0" w:firstLineChars="0"/>
      </w:pPr>
      <w:r>
        <w:rPr>
          <w:rFonts w:hint="eastAsia"/>
        </w:rPr>
        <w:t>铭牌信息</w:t>
      </w:r>
    </w:p>
    <w:p w14:paraId="7FECCAD0">
      <w:pPr>
        <w:pStyle w:val="16"/>
        <w:spacing w:after="0"/>
        <w:ind w:firstLine="420"/>
      </w:pPr>
      <w:r>
        <w:rPr>
          <w:rFonts w:hint="eastAsia"/>
          <w:lang w:eastAsia="zh-CN"/>
        </w:rPr>
        <w:t>电力开源物联版配电物联代理单元</w:t>
      </w:r>
      <w:r>
        <w:rPr>
          <w:rFonts w:hint="eastAsia"/>
        </w:rPr>
        <w:t>铭牌标识应满足如下要求：</w:t>
      </w:r>
    </w:p>
    <w:p w14:paraId="4E16C644">
      <w:pPr>
        <w:numPr>
          <w:ilvl w:val="0"/>
          <w:numId w:val="11"/>
        </w:numPr>
        <w:ind w:left="420" w:leftChars="200" w:firstLine="0" w:firstLineChars="0"/>
      </w:pPr>
      <w:r>
        <w:rPr>
          <w:rFonts w:hint="eastAsia"/>
        </w:rPr>
        <w:t>铭牌、二维码及通信地址标识应清晰、不褪色，宜采用激光刻印或丝印方式；</w:t>
      </w:r>
    </w:p>
    <w:p w14:paraId="46AB8A57">
      <w:pPr>
        <w:numPr>
          <w:ilvl w:val="0"/>
          <w:numId w:val="11"/>
        </w:numPr>
        <w:ind w:left="420" w:leftChars="200" w:firstLine="0" w:firstLineChars="0"/>
      </w:pPr>
      <w:r>
        <w:rPr>
          <w:rFonts w:hint="eastAsia"/>
        </w:rPr>
        <w:t>铭牌内容应有名称、型号、主要参数、生产厂家、生产日期、产品编号、通信地址等；</w:t>
      </w:r>
    </w:p>
    <w:p w14:paraId="48C956B5">
      <w:pPr>
        <w:numPr>
          <w:ilvl w:val="0"/>
          <w:numId w:val="11"/>
        </w:numPr>
        <w:ind w:left="420" w:leftChars="200" w:firstLine="0" w:firstLineChars="0"/>
      </w:pPr>
      <w:r>
        <w:rPr>
          <w:rFonts w:hint="eastAsia"/>
        </w:rPr>
        <w:t>二维码标识应能扫描后</w:t>
      </w:r>
      <w:r>
        <w:rPr>
          <w:rFonts w:hint="eastAsia"/>
          <w:lang w:val="en-US" w:eastAsia="zh-CN"/>
        </w:rPr>
        <w:t>显示</w:t>
      </w:r>
      <w:r>
        <w:rPr>
          <w:rFonts w:hint="eastAsia"/>
        </w:rPr>
        <w:t>。</w:t>
      </w:r>
    </w:p>
    <w:p w14:paraId="69044080">
      <w:pPr>
        <w:numPr>
          <w:ilvl w:val="0"/>
          <w:numId w:val="2"/>
        </w:numPr>
        <w:ind w:firstLine="0" w:firstLineChars="0"/>
      </w:pPr>
      <w:r>
        <w:rPr>
          <w:rFonts w:hint="eastAsia"/>
        </w:rPr>
        <w:t>光伏逆变器通信转接线</w:t>
      </w:r>
    </w:p>
    <w:p w14:paraId="140E2320">
      <w:pPr>
        <w:pStyle w:val="76"/>
      </w:pPr>
      <w:r>
        <w:rPr>
          <w:rFonts w:hint="eastAsia"/>
          <w:lang w:eastAsia="zh-CN"/>
        </w:rPr>
        <w:t>电力开源物联版配电物联代理单元</w:t>
      </w:r>
      <w:r>
        <w:rPr>
          <w:rFonts w:hint="eastAsia"/>
        </w:rPr>
        <w:t>应配合光伏逆变器通信转接线使用，转接线型式参考</w:t>
      </w:r>
      <w:r>
        <w:t>附录</w:t>
      </w:r>
      <w:r>
        <w:rPr>
          <w:rFonts w:hint="eastAsia"/>
        </w:rPr>
        <w:t>B。</w:t>
      </w:r>
    </w:p>
    <w:p w14:paraId="07C59CB9">
      <w:pPr>
        <w:numPr>
          <w:ilvl w:val="0"/>
          <w:numId w:val="2"/>
        </w:numPr>
        <w:ind w:firstLine="0" w:firstLineChars="0"/>
      </w:pPr>
      <w:bookmarkStart w:id="222" w:name="_Toc19818"/>
      <w:r>
        <w:rPr>
          <w:rFonts w:hint="eastAsia"/>
        </w:rPr>
        <w:t>光伏通信棒无线扩展模块</w:t>
      </w:r>
      <w:bookmarkEnd w:id="222"/>
    </w:p>
    <w:p w14:paraId="17978105">
      <w:pPr>
        <w:pStyle w:val="62"/>
        <w:tabs>
          <w:tab w:val="center" w:pos="4201"/>
          <w:tab w:val="right" w:leader="dot" w:pos="9298"/>
        </w:tabs>
        <w:spacing w:line="360" w:lineRule="auto"/>
        <w:ind w:firstLine="420"/>
        <w:rPr>
          <w:rFonts w:ascii="宋体"/>
        </w:rPr>
      </w:pPr>
      <w:r>
        <w:rPr>
          <w:rFonts w:hint="eastAsia" w:ascii="宋体"/>
        </w:rPr>
        <w:t>光伏通信棒无线扩展模块是光伏系统中适配不同设备通信接口的配套设备，与</w:t>
      </w:r>
      <w:r>
        <w:rPr>
          <w:rFonts w:hint="eastAsia" w:ascii="宋体"/>
          <w:lang w:eastAsia="zh-CN"/>
        </w:rPr>
        <w:t>电力开源物联版配电物联代理单元</w:t>
      </w:r>
      <w:r>
        <w:rPr>
          <w:rFonts w:hint="eastAsia" w:ascii="宋体"/>
        </w:rPr>
        <w:t>搭配使用，通过无线的方式解决光伏逆变器、</w:t>
      </w:r>
      <w:r>
        <w:rPr>
          <w:rFonts w:hint="eastAsia" w:ascii="宋体"/>
          <w:lang w:eastAsia="zh-CN"/>
        </w:rPr>
        <w:t>电力开源物联版配电物联代理单元</w:t>
      </w:r>
      <w:r>
        <w:rPr>
          <w:rFonts w:hint="eastAsia" w:ascii="宋体"/>
        </w:rPr>
        <w:t>、通信棒等设备间接口转接及通信转发管理等问题，保障发电数据采集、控制指令传输的稳定顺畅。</w:t>
      </w:r>
      <w:r>
        <w:rPr>
          <w:rFonts w:hint="eastAsia" w:ascii="宋体" w:hAnsi="宋体"/>
          <w:bCs/>
        </w:rPr>
        <w:t>光伏通信棒无线扩展模块</w:t>
      </w:r>
      <w:r>
        <w:rPr>
          <w:rFonts w:hint="eastAsia"/>
        </w:rPr>
        <w:t>参考</w:t>
      </w:r>
      <w:r>
        <w:t>附录</w:t>
      </w:r>
      <w:r>
        <w:rPr>
          <w:rFonts w:hint="eastAsia"/>
        </w:rPr>
        <w:t>C。</w:t>
      </w:r>
    </w:p>
    <w:p w14:paraId="02C76058">
      <w:pPr>
        <w:numPr>
          <w:ilvl w:val="0"/>
          <w:numId w:val="2"/>
        </w:numPr>
        <w:ind w:firstLine="0" w:firstLineChars="0"/>
      </w:pPr>
      <w:bookmarkStart w:id="223" w:name="_Toc5469"/>
      <w:bookmarkStart w:id="224" w:name="_Toc31010"/>
      <w:r>
        <w:rPr>
          <w:rFonts w:hint="eastAsia"/>
        </w:rPr>
        <w:t>接线端子</w:t>
      </w:r>
      <w:bookmarkEnd w:id="223"/>
      <w:bookmarkEnd w:id="224"/>
    </w:p>
    <w:p w14:paraId="52A4307C">
      <w:pPr>
        <w:pStyle w:val="76"/>
      </w:pPr>
      <w:r>
        <w:rPr>
          <w:rFonts w:hint="eastAsia"/>
          <w:lang w:eastAsia="zh-CN"/>
        </w:rPr>
        <w:t>电力开源物联版配电物联代理单元</w:t>
      </w:r>
      <w:r>
        <w:t>对外的连接线应经过接线端子，接线端子及其绝缘部件可以组成端子排；强电端子和弱电端子分开排列，具备有效的绝缘隔离</w:t>
      </w:r>
      <w:r>
        <w:rPr>
          <w:rFonts w:hint="eastAsia"/>
        </w:rPr>
        <w:t>。</w:t>
      </w:r>
    </w:p>
    <w:p w14:paraId="33356335">
      <w:pPr>
        <w:pStyle w:val="76"/>
      </w:pPr>
      <w:r>
        <w:t>端子排的最小电气间隙和爬电距离应符合本部分电气间隙及爬电距离的要求，端子排的阻燃性能应符合GB/T</w:t>
      </w:r>
      <w:r>
        <w:rPr>
          <w:rFonts w:hint="eastAsia"/>
        </w:rPr>
        <w:t xml:space="preserve"> </w:t>
      </w:r>
      <w:r>
        <w:t>5169.11</w:t>
      </w:r>
      <w:r>
        <w:rPr>
          <w:rFonts w:hint="eastAsia"/>
        </w:rPr>
        <w:t>—</w:t>
      </w:r>
      <w:r>
        <w:t>2006</w:t>
      </w:r>
      <w:r>
        <w:rPr>
          <w:rFonts w:hint="eastAsia"/>
        </w:rPr>
        <w:t>的阻燃性能要求。</w:t>
      </w:r>
    </w:p>
    <w:p w14:paraId="1E5EBCF8">
      <w:pPr>
        <w:pStyle w:val="4"/>
      </w:pPr>
      <w:r>
        <w:rPr>
          <w:rFonts w:hint="eastAsia"/>
        </w:rPr>
        <w:t>外壳及防护要求</w:t>
      </w:r>
    </w:p>
    <w:p w14:paraId="29ADD694">
      <w:pPr>
        <w:pStyle w:val="11"/>
        <w:numPr>
          <w:ilvl w:val="0"/>
          <w:numId w:val="12"/>
        </w:numPr>
      </w:pPr>
      <w:bookmarkStart w:id="225" w:name="_Toc31192"/>
      <w:r>
        <w:rPr>
          <w:rFonts w:hint="eastAsia"/>
        </w:rPr>
        <w:t>机械强度</w:t>
      </w:r>
      <w:bookmarkEnd w:id="225"/>
    </w:p>
    <w:p w14:paraId="3D93187D">
      <w:pPr>
        <w:ind w:firstLine="420"/>
      </w:pPr>
      <w:r>
        <w:rPr>
          <w:rFonts w:hint="eastAsia"/>
          <w:lang w:eastAsia="zh-CN"/>
        </w:rPr>
        <w:t>电力开源物联版配电物联代理单元</w:t>
      </w:r>
      <w:r>
        <w:rPr>
          <w:rFonts w:hint="eastAsia"/>
        </w:rPr>
        <w:t>的外壳应有足够的强度，外物撞击造成的变形应不影响其正常工作。</w:t>
      </w:r>
    </w:p>
    <w:p w14:paraId="5A4D2E87">
      <w:pPr>
        <w:pStyle w:val="11"/>
        <w:numPr>
          <w:ilvl w:val="0"/>
          <w:numId w:val="12"/>
        </w:numPr>
      </w:pPr>
      <w:bookmarkStart w:id="226" w:name="_Toc1801"/>
      <w:r>
        <w:rPr>
          <w:rFonts w:hint="eastAsia"/>
        </w:rPr>
        <w:t>阻燃性能</w:t>
      </w:r>
      <w:bookmarkEnd w:id="226"/>
    </w:p>
    <w:p w14:paraId="4310A978">
      <w:pPr>
        <w:ind w:firstLine="420"/>
      </w:pPr>
      <w:r>
        <w:rPr>
          <w:rFonts w:hint="eastAsia"/>
        </w:rPr>
        <w:t>非金属外壳应符合GB/T 5169.11—2017规定的V0级的阻燃要求。</w:t>
      </w:r>
    </w:p>
    <w:p w14:paraId="32C029A1">
      <w:pPr>
        <w:pStyle w:val="11"/>
        <w:numPr>
          <w:ilvl w:val="0"/>
          <w:numId w:val="12"/>
        </w:numPr>
      </w:pPr>
      <w:bookmarkStart w:id="227" w:name="_Toc24939"/>
      <w:r>
        <w:rPr>
          <w:rFonts w:hint="eastAsia"/>
        </w:rPr>
        <w:t>防尘和防水性</w:t>
      </w:r>
      <w:bookmarkEnd w:id="227"/>
    </w:p>
    <w:p w14:paraId="785FFF10">
      <w:pPr>
        <w:ind w:firstLine="420"/>
      </w:pPr>
      <w:r>
        <w:rPr>
          <w:rFonts w:hint="eastAsia"/>
        </w:rPr>
        <w:t>外壳的防护性能应符合 GB/T 4208—2017 规定的 IP20级要求。</w:t>
      </w:r>
    </w:p>
    <w:p w14:paraId="6158268C">
      <w:pPr>
        <w:pStyle w:val="4"/>
      </w:pPr>
      <w:r>
        <w:t>接口</w:t>
      </w:r>
      <w:r>
        <w:rPr>
          <w:rFonts w:hint="eastAsia"/>
        </w:rPr>
        <w:t>要求</w:t>
      </w:r>
    </w:p>
    <w:p w14:paraId="741CB8A4">
      <w:pPr>
        <w:pStyle w:val="11"/>
        <w:numPr>
          <w:ilvl w:val="0"/>
          <w:numId w:val="13"/>
        </w:numPr>
      </w:pPr>
      <w:r>
        <w:t>载波通信接口</w:t>
      </w:r>
    </w:p>
    <w:p w14:paraId="42534C42">
      <w:pPr>
        <w:ind w:left="420" w:leftChars="200" w:firstLine="0" w:firstLineChars="0"/>
      </w:pPr>
      <w:r>
        <w:t>代理单元应支持HPLC</w:t>
      </w:r>
      <w:r>
        <w:rPr>
          <w:rFonts w:hint="eastAsia"/>
          <w:lang w:val="en-US" w:eastAsia="zh-CN"/>
        </w:rPr>
        <w:t>/SPLC</w:t>
      </w:r>
      <w:r>
        <w:t>双模通信，载波通信单元接口应满足以下要求：</w:t>
      </w:r>
    </w:p>
    <w:p w14:paraId="5CB5EF5F">
      <w:pPr>
        <w:numPr>
          <w:ilvl w:val="0"/>
          <w:numId w:val="14"/>
        </w:numPr>
        <w:ind w:left="420" w:leftChars="200" w:firstLine="0"/>
      </w:pPr>
      <w:r>
        <w:t>通信速率可设置，默认9600bps，校验方式默认为偶校验，数据位为8位，停止位为1位；</w:t>
      </w:r>
    </w:p>
    <w:p w14:paraId="70F9CFE1">
      <w:pPr>
        <w:numPr>
          <w:ilvl w:val="0"/>
          <w:numId w:val="14"/>
        </w:numPr>
        <w:ind w:left="420" w:leftChars="200" w:firstLine="0"/>
      </w:pPr>
      <w:r>
        <w:t>载波通信单元接口应支持通信单元互换与热插拔；</w:t>
      </w:r>
    </w:p>
    <w:p w14:paraId="20B1EB26">
      <w:pPr>
        <w:numPr>
          <w:ilvl w:val="0"/>
          <w:numId w:val="14"/>
        </w:numPr>
        <w:ind w:left="420" w:leftChars="200" w:firstLine="0"/>
      </w:pPr>
      <w:r>
        <w:t>尺寸应满足南网HPLC</w:t>
      </w:r>
      <w:r>
        <w:rPr>
          <w:rFonts w:hint="eastAsia"/>
        </w:rPr>
        <w:t>/SPLC</w:t>
      </w:r>
      <w:r>
        <w:t>模块技术规范</w:t>
      </w:r>
    </w:p>
    <w:p w14:paraId="112EFD55">
      <w:pPr>
        <w:numPr>
          <w:ilvl w:val="0"/>
          <w:numId w:val="14"/>
        </w:numPr>
        <w:ind w:left="420" w:leftChars="200" w:firstLine="0"/>
      </w:pPr>
      <w:r>
        <w:t>通信遵循DL/T 645—2007协议及其扩展协议。</w:t>
      </w:r>
    </w:p>
    <w:p w14:paraId="0ABFD9AF">
      <w:pPr>
        <w:pStyle w:val="11"/>
        <w:numPr>
          <w:ilvl w:val="0"/>
          <w:numId w:val="13"/>
        </w:numPr>
      </w:pPr>
      <w:r>
        <w:rPr>
          <w:rFonts w:hint="eastAsia"/>
        </w:rPr>
        <w:t>逆变器</w:t>
      </w:r>
      <w:r>
        <w:t xml:space="preserve">通信接口 </w:t>
      </w:r>
    </w:p>
    <w:p w14:paraId="05DB0FEE">
      <w:pPr>
        <w:numPr>
          <w:ilvl w:val="0"/>
          <w:numId w:val="15"/>
        </w:numPr>
        <w:ind w:left="420" w:leftChars="200" w:firstLine="0"/>
      </w:pPr>
      <w:r>
        <w:rPr>
          <w:rFonts w:hint="eastAsia"/>
          <w:lang w:eastAsia="zh-CN"/>
        </w:rPr>
        <w:t>电力开源物联版配电物联代理单元</w:t>
      </w:r>
      <w:r>
        <w:rPr>
          <w:rFonts w:hint="eastAsia"/>
        </w:rPr>
        <w:t>应具备1路逆变器通信接口，支持接口转接线接入，物理采用R</w:t>
      </w:r>
      <w:r>
        <w:t>J45接口</w:t>
      </w:r>
      <w:r>
        <w:rPr>
          <w:rFonts w:hint="eastAsia"/>
        </w:rPr>
        <w:t>。扩展接口管脚定义见附录</w:t>
      </w:r>
      <w:r>
        <w:t>A</w:t>
      </w:r>
      <w:r>
        <w:rPr>
          <w:rFonts w:hint="eastAsia"/>
        </w:rPr>
        <w:t>。</w:t>
      </w:r>
    </w:p>
    <w:p w14:paraId="72885D11">
      <w:pPr>
        <w:numPr>
          <w:ilvl w:val="0"/>
          <w:numId w:val="15"/>
        </w:numPr>
        <w:ind w:left="420" w:leftChars="200" w:firstLine="0"/>
      </w:pPr>
      <w:r>
        <w:t xml:space="preserve">应具备至少1路RJ45接口，支持采用光伏通信接口转接线方式实现光伏逆变器接入； </w:t>
      </w:r>
    </w:p>
    <w:p w14:paraId="47DE6FEC">
      <w:pPr>
        <w:numPr>
          <w:ilvl w:val="0"/>
          <w:numId w:val="15"/>
        </w:numPr>
        <w:ind w:left="420" w:leftChars="200" w:firstLine="0"/>
      </w:pPr>
      <w:r>
        <w:t>RS-485通信速率可设置，最大</w:t>
      </w:r>
      <w:r>
        <w:rPr>
          <w:rFonts w:hint="eastAsia"/>
        </w:rPr>
        <w:t>支持</w:t>
      </w:r>
      <w:r>
        <w:t xml:space="preserve">115200bps，默认为9600bps，数据位8位，停止位1位，校验方式默认为无校验； </w:t>
      </w:r>
    </w:p>
    <w:p w14:paraId="168D8A4A">
      <w:pPr>
        <w:numPr>
          <w:ilvl w:val="0"/>
          <w:numId w:val="15"/>
        </w:numPr>
        <w:ind w:left="420" w:leftChars="200" w:firstLine="0"/>
      </w:pPr>
      <w:r>
        <w:t>通信遵循Modbus协议。</w:t>
      </w:r>
    </w:p>
    <w:p w14:paraId="75576EB2">
      <w:pPr>
        <w:pStyle w:val="11"/>
        <w:numPr>
          <w:ilvl w:val="0"/>
          <w:numId w:val="13"/>
        </w:numPr>
      </w:pPr>
      <w:r>
        <w:rPr>
          <w:rFonts w:hint="eastAsia"/>
        </w:rPr>
        <w:t xml:space="preserve">RS-485通信接口 </w:t>
      </w:r>
    </w:p>
    <w:p w14:paraId="6D81872A">
      <w:pPr>
        <w:numPr>
          <w:ilvl w:val="0"/>
          <w:numId w:val="16"/>
        </w:numPr>
        <w:ind w:left="420" w:leftChars="200" w:firstLine="0"/>
      </w:pPr>
      <w:r>
        <w:t xml:space="preserve">代理单元 RS-485 通信接口应满足： </w:t>
      </w:r>
    </w:p>
    <w:p w14:paraId="58992FB8">
      <w:pPr>
        <w:numPr>
          <w:ilvl w:val="0"/>
          <w:numId w:val="16"/>
        </w:numPr>
        <w:ind w:left="420" w:leftChars="200" w:firstLine="0"/>
      </w:pPr>
      <w:r>
        <w:t xml:space="preserve">至少具备2路RS-485本地通信接口，最大通信速率115200bps，默认为9600bps； </w:t>
      </w:r>
    </w:p>
    <w:p w14:paraId="45B3D7D0">
      <w:pPr>
        <w:numPr>
          <w:ilvl w:val="0"/>
          <w:numId w:val="16"/>
        </w:numPr>
        <w:ind w:left="420" w:leftChars="200" w:firstLine="0"/>
      </w:pPr>
      <w:r>
        <w:t xml:space="preserve">RS-485 I 接口为上行通信，校验方式默认为偶校验，用于现场维护； </w:t>
      </w:r>
    </w:p>
    <w:p w14:paraId="6FFC1E96">
      <w:pPr>
        <w:numPr>
          <w:ilvl w:val="0"/>
          <w:numId w:val="16"/>
        </w:numPr>
        <w:ind w:left="420" w:leftChars="200" w:firstLine="0"/>
      </w:pPr>
      <w:r>
        <w:t>RS-485 II 接口为下行通信，校验方式默认为偶校验，用于连接</w:t>
      </w:r>
      <w:r>
        <w:rPr>
          <w:rFonts w:hint="eastAsia"/>
        </w:rPr>
        <w:t>新能源</w:t>
      </w:r>
      <w:r>
        <w:t xml:space="preserve">控制器等设备； </w:t>
      </w:r>
    </w:p>
    <w:p w14:paraId="22A09F32">
      <w:pPr>
        <w:pStyle w:val="11"/>
        <w:numPr>
          <w:ilvl w:val="0"/>
          <w:numId w:val="13"/>
        </w:numPr>
      </w:pPr>
      <w:r>
        <w:rPr>
          <w:rFonts w:hint="eastAsia"/>
        </w:rPr>
        <w:t>CAN 通信接口</w:t>
      </w:r>
    </w:p>
    <w:p w14:paraId="6E1B0963">
      <w:pPr>
        <w:numPr>
          <w:ilvl w:val="0"/>
          <w:numId w:val="17"/>
        </w:numPr>
        <w:ind w:left="420" w:leftChars="200" w:firstLine="0"/>
      </w:pPr>
      <w:r>
        <w:t xml:space="preserve">代理单元CAN通信接口应满足： </w:t>
      </w:r>
    </w:p>
    <w:p w14:paraId="4A874F52">
      <w:pPr>
        <w:numPr>
          <w:ilvl w:val="0"/>
          <w:numId w:val="17"/>
        </w:numPr>
        <w:ind w:left="420" w:leftChars="200" w:firstLine="0"/>
      </w:pPr>
      <w:r>
        <w:t xml:space="preserve">具备至少2路CAN通信接口，支持ISO11898规定的CAN 2.0B协议； </w:t>
      </w:r>
    </w:p>
    <w:p w14:paraId="77CA3506">
      <w:pPr>
        <w:numPr>
          <w:ilvl w:val="0"/>
          <w:numId w:val="17"/>
        </w:numPr>
        <w:ind w:left="420" w:leftChars="200" w:firstLine="0"/>
      </w:pPr>
      <w:r>
        <w:t xml:space="preserve">用于新能源汽车和直流充电桩数据监测与采集调控； </w:t>
      </w:r>
    </w:p>
    <w:p w14:paraId="7700F73A">
      <w:pPr>
        <w:numPr>
          <w:ilvl w:val="0"/>
          <w:numId w:val="17"/>
        </w:numPr>
        <w:ind w:left="420" w:leftChars="200" w:firstLine="0"/>
      </w:pPr>
      <w:r>
        <w:t>通信遵循 GB/T 27930协议及其扩展协议。</w:t>
      </w:r>
    </w:p>
    <w:p w14:paraId="2A5AFE68">
      <w:pPr>
        <w:pStyle w:val="11"/>
        <w:numPr>
          <w:ilvl w:val="0"/>
          <w:numId w:val="13"/>
        </w:numPr>
      </w:pPr>
      <w:r>
        <w:t>Type-C</w:t>
      </w:r>
      <w:r>
        <w:rPr>
          <w:rFonts w:hint="eastAsia"/>
        </w:rPr>
        <w:t>接口</w:t>
      </w:r>
    </w:p>
    <w:p w14:paraId="59D2FD42">
      <w:pPr>
        <w:numPr>
          <w:ilvl w:val="0"/>
          <w:numId w:val="18"/>
        </w:numPr>
        <w:ind w:left="420" w:leftChars="200" w:firstLine="0"/>
      </w:pPr>
      <w:r>
        <w:t>应具备至少2路</w:t>
      </w:r>
      <w:r>
        <w:rPr>
          <w:rFonts w:hint="eastAsia"/>
          <w:lang w:val="en-US" w:eastAsia="zh-CN"/>
        </w:rPr>
        <w:t>RS485</w:t>
      </w:r>
      <w:r>
        <w:t xml:space="preserve">接口，最大通信速率115200bps，默认为9600bps； </w:t>
      </w:r>
    </w:p>
    <w:p w14:paraId="1915C72C">
      <w:pPr>
        <w:numPr>
          <w:ilvl w:val="0"/>
          <w:numId w:val="18"/>
        </w:numPr>
        <w:ind w:left="420" w:leftChars="200" w:firstLine="0"/>
      </w:pPr>
      <w:r>
        <w:t xml:space="preserve">接口校验方式默认为偶校验； </w:t>
      </w:r>
    </w:p>
    <w:p w14:paraId="63F33830">
      <w:pPr>
        <w:numPr>
          <w:ilvl w:val="0"/>
          <w:numId w:val="18"/>
        </w:numPr>
        <w:ind w:left="420" w:leftChars="200" w:firstLine="0"/>
      </w:pPr>
      <w:r>
        <w:t xml:space="preserve"> Type-C</w:t>
      </w:r>
      <w:r>
        <w:rPr>
          <w:rFonts w:hint="eastAsia"/>
          <w:lang w:val="en-US" w:eastAsia="zh-CN"/>
        </w:rPr>
        <w:t>接口按防脱落设计，</w:t>
      </w:r>
      <w:r>
        <w:rPr>
          <w:rFonts w:hint="eastAsia"/>
        </w:rPr>
        <w:t>管脚定义见附录A</w:t>
      </w:r>
      <w:r>
        <w:rPr>
          <w:rFonts w:hint="eastAsia"/>
          <w:lang w:val="en-US" w:eastAsia="zh-CN"/>
        </w:rPr>
        <w:t>。</w:t>
      </w:r>
    </w:p>
    <w:p w14:paraId="3C60DB65">
      <w:pPr>
        <w:pStyle w:val="11"/>
        <w:numPr>
          <w:ilvl w:val="0"/>
          <w:numId w:val="13"/>
        </w:numPr>
      </w:pPr>
      <w:r>
        <w:rPr>
          <w:rFonts w:hint="eastAsia"/>
        </w:rPr>
        <w:t>无线通信接口</w:t>
      </w:r>
    </w:p>
    <w:p w14:paraId="31949C36">
      <w:pPr>
        <w:numPr>
          <w:ilvl w:val="0"/>
          <w:numId w:val="19"/>
        </w:numPr>
        <w:ind w:left="420" w:leftChars="200" w:firstLine="0"/>
      </w:pPr>
      <w:r>
        <w:t>代理单元</w:t>
      </w:r>
      <w:r>
        <w:rPr>
          <w:rFonts w:hint="eastAsia"/>
          <w:lang w:eastAsia="zh-CN"/>
        </w:rPr>
        <w:t>（</w:t>
      </w:r>
      <w:r>
        <w:rPr>
          <w:rFonts w:hint="eastAsia"/>
          <w:lang w:val="en-US" w:eastAsia="zh-CN"/>
        </w:rPr>
        <w:t>无线版</w:t>
      </w:r>
      <w:r>
        <w:rPr>
          <w:rFonts w:hint="eastAsia"/>
          <w:lang w:eastAsia="zh-CN"/>
        </w:rPr>
        <w:t>）</w:t>
      </w:r>
      <w:r>
        <w:rPr>
          <w:rFonts w:hint="eastAsia"/>
        </w:rPr>
        <w:t>和光伏通信棒无线扩展模块应集成无线通信单元，</w:t>
      </w:r>
      <w:r>
        <w:t>应支持无线通信</w:t>
      </w:r>
      <w:r>
        <w:rPr>
          <w:rFonts w:hint="eastAsia"/>
        </w:rPr>
        <w:t>并</w:t>
      </w:r>
      <w:r>
        <w:t>实现</w:t>
      </w:r>
      <w:r>
        <w:rPr>
          <w:rFonts w:hint="eastAsia"/>
        </w:rPr>
        <w:t>互联</w:t>
      </w:r>
      <w:r>
        <w:t xml:space="preserve">，应满足： </w:t>
      </w:r>
    </w:p>
    <w:p w14:paraId="7DAEB2B2">
      <w:pPr>
        <w:numPr>
          <w:ilvl w:val="0"/>
          <w:numId w:val="19"/>
        </w:numPr>
        <w:ind w:left="420" w:leftChars="200" w:firstLine="0"/>
      </w:pPr>
      <w:r>
        <w:t>工作频段：应工作在470MHz～510MHz免授权频段；</w:t>
      </w:r>
    </w:p>
    <w:p w14:paraId="5A93B238">
      <w:pPr>
        <w:numPr>
          <w:ilvl w:val="0"/>
          <w:numId w:val="19"/>
        </w:numPr>
        <w:ind w:left="420" w:leftChars="200" w:firstLine="0"/>
      </w:pPr>
      <w:r>
        <w:rPr>
          <w:rFonts w:hint="eastAsia"/>
        </w:rPr>
        <w:t>终端容量</w:t>
      </w:r>
      <w:r>
        <w:t>：单个代理单元应支持不少于12路</w:t>
      </w:r>
      <w:r>
        <w:rPr>
          <w:rFonts w:hint="eastAsia"/>
        </w:rPr>
        <w:t>光伏通信棒无线扩展模块</w:t>
      </w:r>
      <w:r>
        <w:t>的并发接入与管理</w:t>
      </w:r>
      <w:r>
        <w:rPr>
          <w:rFonts w:hint="eastAsia"/>
          <w:lang w:eastAsia="zh-CN"/>
        </w:rPr>
        <w:t>，</w:t>
      </w:r>
      <w:r>
        <w:rPr>
          <w:rFonts w:hint="eastAsia"/>
          <w:lang w:val="en-US" w:eastAsia="zh-CN"/>
        </w:rPr>
        <w:t>空旷通信距离不小500米</w:t>
      </w:r>
      <w:r>
        <w:t xml:space="preserve">； </w:t>
      </w:r>
    </w:p>
    <w:p w14:paraId="4782B3E7">
      <w:pPr>
        <w:numPr>
          <w:ilvl w:val="0"/>
          <w:numId w:val="19"/>
        </w:numPr>
        <w:ind w:left="420" w:leftChars="200" w:firstLine="0"/>
      </w:pPr>
      <w:r>
        <w:t>带宽</w:t>
      </w:r>
      <w:r>
        <w:rPr>
          <w:rFonts w:hint="eastAsia"/>
        </w:rPr>
        <w:t>与速率：无线通信</w:t>
      </w:r>
      <w:r>
        <w:rPr>
          <w:rFonts w:hint="eastAsia" w:ascii="Times New Roman" w:hAnsi="Times New Roman" w:cs="Times New Roman"/>
        </w:rPr>
        <w:t>占用</w:t>
      </w:r>
      <w:r>
        <w:rPr>
          <w:rFonts w:hint="eastAsia"/>
        </w:rPr>
        <w:t>带宽应</w:t>
      </w:r>
      <w:r>
        <w:t>小于200</w:t>
      </w:r>
      <w:r>
        <w:rPr>
          <w:rFonts w:hint="eastAsia"/>
        </w:rPr>
        <w:t>kHz</w:t>
      </w:r>
      <w:r>
        <w:t>，</w:t>
      </w:r>
      <w:r>
        <w:rPr>
          <w:rFonts w:hint="eastAsia"/>
        </w:rPr>
        <w:t>码片</w:t>
      </w:r>
      <w:r>
        <w:t>速率</w:t>
      </w:r>
      <w:r>
        <w:rPr>
          <w:rFonts w:hint="eastAsia"/>
        </w:rPr>
        <w:t>应</w:t>
      </w:r>
      <w:r>
        <w:t>支持12</w:t>
      </w:r>
      <w:r>
        <w:rPr>
          <w:rFonts w:hint="eastAsia"/>
        </w:rPr>
        <w:t>kc</w:t>
      </w:r>
      <w:r>
        <w:t>ps/24</w:t>
      </w:r>
      <w:r>
        <w:rPr>
          <w:rFonts w:hint="eastAsia"/>
        </w:rPr>
        <w:t>kc</w:t>
      </w:r>
      <w:r>
        <w:t>ps/48</w:t>
      </w:r>
      <w:r>
        <w:rPr>
          <w:rFonts w:hint="eastAsia"/>
        </w:rPr>
        <w:t>kc</w:t>
      </w:r>
      <w:r>
        <w:t>ps/100</w:t>
      </w:r>
      <w:r>
        <w:rPr>
          <w:rFonts w:hint="eastAsia"/>
        </w:rPr>
        <w:t>kc</w:t>
      </w:r>
      <w:r>
        <w:t>ps可配置；</w:t>
      </w:r>
    </w:p>
    <w:p w14:paraId="2A132594">
      <w:pPr>
        <w:numPr>
          <w:ilvl w:val="0"/>
          <w:numId w:val="19"/>
        </w:numPr>
        <w:ind w:left="420" w:leftChars="200" w:firstLine="0"/>
      </w:pPr>
      <w:r>
        <w:t xml:space="preserve">通信性能：接收灵敏度应优于-137 dBm@0.4 </w:t>
      </w:r>
      <w:r>
        <w:rPr>
          <w:rFonts w:hint="eastAsia"/>
        </w:rPr>
        <w:t>k</w:t>
      </w:r>
      <w:r>
        <w:t xml:space="preserve">bps。 </w:t>
      </w:r>
    </w:p>
    <w:p w14:paraId="4EA5C595">
      <w:pPr>
        <w:numPr>
          <w:ilvl w:val="0"/>
          <w:numId w:val="19"/>
        </w:numPr>
        <w:ind w:left="420" w:leftChars="200" w:firstLine="0"/>
      </w:pPr>
      <w:r>
        <w:t>组网与抗干扰：支持星型拓扑及多跳自组网</w:t>
      </w:r>
      <w:r>
        <w:rPr>
          <w:rFonts w:hint="eastAsia"/>
        </w:rPr>
        <w:t>，</w:t>
      </w:r>
      <w:r>
        <w:t xml:space="preserve">支持自适应跳频技术； </w:t>
      </w:r>
    </w:p>
    <w:p w14:paraId="0ECC4CF1">
      <w:pPr>
        <w:numPr>
          <w:ilvl w:val="0"/>
          <w:numId w:val="19"/>
        </w:numPr>
        <w:ind w:left="420" w:leftChars="200" w:firstLine="0"/>
      </w:pPr>
      <w:r>
        <w:t>安全性：</w:t>
      </w:r>
      <w:r>
        <w:rPr>
          <w:rFonts w:hint="eastAsia"/>
        </w:rPr>
        <w:t>应采用国产自主可控通信技术，</w:t>
      </w:r>
      <w:r>
        <w:t>无线通信应支持</w:t>
      </w:r>
      <w:r>
        <w:rPr>
          <w:rFonts w:hint="eastAsia"/>
          <w:lang w:val="en-US" w:eastAsia="zh-CN"/>
        </w:rPr>
        <w:t>基于硬件的</w:t>
      </w:r>
      <w:r>
        <w:t>身份鉴权和加密通信处理。</w:t>
      </w:r>
    </w:p>
    <w:p w14:paraId="372D0D8C">
      <w:pPr>
        <w:pStyle w:val="11"/>
        <w:numPr>
          <w:ilvl w:val="0"/>
          <w:numId w:val="13"/>
        </w:numPr>
      </w:pPr>
      <w:r>
        <w:rPr>
          <w:rFonts w:hint="eastAsia"/>
        </w:rPr>
        <w:t>蓝牙接口</w:t>
      </w:r>
    </w:p>
    <w:p w14:paraId="4B546D0D">
      <w:pPr>
        <w:numPr>
          <w:ilvl w:val="0"/>
          <w:numId w:val="20"/>
        </w:numPr>
        <w:ind w:left="420" w:leftChars="200" w:firstLine="0"/>
      </w:pPr>
      <w:r>
        <w:t>代理单元</w:t>
      </w:r>
      <w:r>
        <w:rPr>
          <w:rFonts w:hint="eastAsia"/>
        </w:rPr>
        <w:t>蓝牙</w:t>
      </w:r>
      <w:r>
        <w:t>无线运维接口应满足：</w:t>
      </w:r>
    </w:p>
    <w:p w14:paraId="65520E81">
      <w:pPr>
        <w:numPr>
          <w:ilvl w:val="0"/>
          <w:numId w:val="20"/>
        </w:numPr>
        <w:ind w:left="420" w:leftChars="200" w:firstLine="0"/>
      </w:pPr>
      <w:r>
        <w:t xml:space="preserve">具备蓝牙BT 5.0或以上通信接口，实现本地近场运维功能； </w:t>
      </w:r>
    </w:p>
    <w:p w14:paraId="7CEB8DD3">
      <w:pPr>
        <w:numPr>
          <w:ilvl w:val="0"/>
          <w:numId w:val="20"/>
        </w:numPr>
        <w:ind w:left="420" w:leftChars="200" w:firstLine="0"/>
      </w:pPr>
      <w:r>
        <w:t>通信遵循Modbus及DL/T 645—2007协议及其扩展协议。</w:t>
      </w:r>
    </w:p>
    <w:p w14:paraId="08F5C0E1">
      <w:pPr>
        <w:pStyle w:val="11"/>
        <w:numPr>
          <w:ilvl w:val="0"/>
          <w:numId w:val="13"/>
        </w:numPr>
      </w:pPr>
      <w:bookmarkStart w:id="228" w:name="_Toc25614"/>
      <w:bookmarkStart w:id="229" w:name="_Toc29775"/>
      <w:bookmarkStart w:id="230" w:name="_Toc19773"/>
      <w:bookmarkStart w:id="231" w:name="_Toc26058"/>
      <w:r>
        <w:rPr>
          <w:rFonts w:hint="eastAsia"/>
        </w:rPr>
        <w:t>遥信接口</w:t>
      </w:r>
      <w:bookmarkEnd w:id="228"/>
      <w:bookmarkEnd w:id="229"/>
      <w:bookmarkEnd w:id="230"/>
      <w:bookmarkEnd w:id="231"/>
    </w:p>
    <w:p w14:paraId="0BA4ED1A">
      <w:pPr>
        <w:numPr>
          <w:ilvl w:val="0"/>
          <w:numId w:val="21"/>
        </w:numPr>
        <w:ind w:left="420" w:leftChars="200" w:firstLine="0"/>
      </w:pPr>
      <w:r>
        <w:t xml:space="preserve">代理单元应具备至少2路遥信接口，满足以下要求： </w:t>
      </w:r>
    </w:p>
    <w:p w14:paraId="6E0E8204">
      <w:pPr>
        <w:numPr>
          <w:ilvl w:val="0"/>
          <w:numId w:val="21"/>
        </w:numPr>
        <w:ind w:left="420" w:leftChars="200" w:firstLine="0"/>
      </w:pPr>
      <w:r>
        <w:t xml:space="preserve">采用无源节点方式，接入外部触点闭合表示有效； </w:t>
      </w:r>
    </w:p>
    <w:p w14:paraId="106DDEDB">
      <w:pPr>
        <w:numPr>
          <w:ilvl w:val="0"/>
          <w:numId w:val="21"/>
        </w:numPr>
        <w:ind w:left="420" w:leftChars="200" w:firstLine="0"/>
      </w:pPr>
      <w:r>
        <w:t xml:space="preserve">具有软件防抖功能，防抖时间5ms～1000ms可设，事件记录分辨率不大于2ms； </w:t>
      </w:r>
    </w:p>
    <w:p w14:paraId="5CE2D28E">
      <w:pPr>
        <w:numPr>
          <w:ilvl w:val="0"/>
          <w:numId w:val="21"/>
        </w:numPr>
        <w:ind w:left="420" w:leftChars="200" w:firstLine="0"/>
      </w:pPr>
      <w:r>
        <w:t>遥信驱动电源应为12V</w:t>
      </w:r>
      <w:r>
        <w:rPr>
          <w:rFonts w:hint="eastAsia"/>
        </w:rPr>
        <w:t>，由</w:t>
      </w:r>
      <w:r>
        <w:rPr>
          <w:rFonts w:hint="eastAsia"/>
          <w:lang w:eastAsia="zh-CN"/>
        </w:rPr>
        <w:t>电力开源物联版配电物联代理单元</w:t>
      </w:r>
      <w:r>
        <w:rPr>
          <w:rFonts w:hint="eastAsia"/>
          <w:lang w:val="en-US" w:eastAsia="zh-CN"/>
        </w:rPr>
        <w:t>内部提供</w:t>
      </w:r>
      <w:r>
        <w:t>。</w:t>
      </w:r>
    </w:p>
    <w:p w14:paraId="1C7DA3FD">
      <w:pPr>
        <w:pStyle w:val="11"/>
        <w:numPr>
          <w:ilvl w:val="0"/>
          <w:numId w:val="13"/>
        </w:numPr>
      </w:pPr>
      <w:r>
        <w:rPr>
          <w:rFonts w:hint="eastAsia"/>
        </w:rPr>
        <w:t>开关</w:t>
      </w:r>
      <w:r>
        <w:rPr>
          <w:rFonts w:hint="eastAsia"/>
          <w:lang w:val="en-US" w:eastAsia="zh-CN"/>
        </w:rPr>
        <w:t>控制</w:t>
      </w:r>
      <w:r>
        <w:rPr>
          <w:rFonts w:hint="eastAsia"/>
        </w:rPr>
        <w:t>接口</w:t>
      </w:r>
    </w:p>
    <w:p w14:paraId="368CD213">
      <w:pPr>
        <w:numPr>
          <w:ilvl w:val="0"/>
          <w:numId w:val="0"/>
        </w:numPr>
        <w:ind w:leftChars="400"/>
      </w:pPr>
      <w:r>
        <w:rPr>
          <w:rFonts w:hint="eastAsia"/>
        </w:rPr>
        <w:t>应具备1路光伏开关</w:t>
      </w:r>
      <w:r>
        <w:rPr>
          <w:rFonts w:hint="eastAsia"/>
          <w:lang w:val="en-US" w:eastAsia="zh-CN"/>
        </w:rPr>
        <w:t>控制</w:t>
      </w:r>
      <w:r>
        <w:rPr>
          <w:rFonts w:hint="eastAsia"/>
        </w:rPr>
        <w:t>接口</w:t>
      </w:r>
      <w:r>
        <w:rPr>
          <w:rFonts w:hint="eastAsia"/>
          <w:lang w:eastAsia="zh-CN"/>
        </w:rPr>
        <w:t>，</w:t>
      </w:r>
      <w:r>
        <w:rPr>
          <w:rFonts w:hint="eastAsia"/>
          <w:lang w:val="en-US" w:eastAsia="zh-CN"/>
        </w:rPr>
        <w:t>实现开关的远程控制</w:t>
      </w:r>
      <w:r>
        <w:rPr>
          <w:rFonts w:hint="eastAsia"/>
        </w:rPr>
        <w:t>。</w:t>
      </w:r>
    </w:p>
    <w:p w14:paraId="06E07FCA">
      <w:pPr>
        <w:pStyle w:val="4"/>
      </w:pPr>
      <w:r>
        <w:rPr>
          <w:rFonts w:hint="eastAsia"/>
        </w:rPr>
        <w:t>工作电源要求</w:t>
      </w:r>
    </w:p>
    <w:p w14:paraId="642515EA">
      <w:pPr>
        <w:pStyle w:val="11"/>
        <w:numPr>
          <w:ilvl w:val="0"/>
          <w:numId w:val="22"/>
        </w:numPr>
      </w:pPr>
      <w:bookmarkStart w:id="232" w:name="_Toc15167"/>
      <w:r>
        <w:rPr>
          <w:rFonts w:hint="eastAsia"/>
        </w:rPr>
        <w:t>一般要求</w:t>
      </w:r>
      <w:bookmarkEnd w:id="232"/>
    </w:p>
    <w:p w14:paraId="462ADC42">
      <w:pPr>
        <w:ind w:firstLine="420"/>
      </w:pPr>
      <w:bookmarkStart w:id="233" w:name="_Toc11963"/>
      <w:r>
        <w:rPr>
          <w:rFonts w:hint="eastAsia"/>
        </w:rPr>
        <w:t>代理单元的电源应满足以下要求：</w:t>
      </w:r>
    </w:p>
    <w:p w14:paraId="16BB8E76">
      <w:pPr>
        <w:ind w:firstLine="420"/>
      </w:pPr>
      <w:r>
        <w:rPr>
          <w:rFonts w:hint="eastAsia"/>
        </w:rPr>
        <w:t>a)额定电压：AC220V、50Hz，采用单相供电；</w:t>
      </w:r>
    </w:p>
    <w:p w14:paraId="706ABDA5">
      <w:pPr>
        <w:ind w:firstLine="420"/>
      </w:pPr>
      <w:r>
        <w:rPr>
          <w:rFonts w:hint="eastAsia"/>
        </w:rPr>
        <w:t>b)电压允许偏差：-</w:t>
      </w:r>
      <w:r>
        <w:rPr>
          <w:rFonts w:hint="eastAsia"/>
          <w:lang w:val="en-US" w:eastAsia="zh-CN"/>
        </w:rPr>
        <w:t>2</w:t>
      </w:r>
      <w:r>
        <w:rPr>
          <w:rFonts w:hint="eastAsia"/>
        </w:rPr>
        <w:t>0%~+</w:t>
      </w:r>
      <w:r>
        <w:rPr>
          <w:rFonts w:hint="eastAsia"/>
          <w:lang w:val="en-US" w:eastAsia="zh-CN"/>
        </w:rPr>
        <w:t>2</w:t>
      </w:r>
      <w:r>
        <w:rPr>
          <w:rFonts w:hint="eastAsia"/>
        </w:rPr>
        <w:t>0%；</w:t>
      </w:r>
    </w:p>
    <w:p w14:paraId="3650E11F">
      <w:pPr>
        <w:ind w:firstLine="420"/>
      </w:pPr>
      <w:r>
        <w:rPr>
          <w:rFonts w:hint="eastAsia"/>
        </w:rPr>
        <w:t>c)电源通电、断电、电压缓慢上升或缓慢下降，通信单元均不应误发信号，当电源恢复正常后应自动恢复正常运行；</w:t>
      </w:r>
    </w:p>
    <w:p w14:paraId="73014051">
      <w:pPr>
        <w:ind w:firstLine="420"/>
      </w:pPr>
      <w:r>
        <w:rPr>
          <w:rFonts w:hint="eastAsia"/>
        </w:rPr>
        <w:t>d)电源恢复后保存数据应不丢失；</w:t>
      </w:r>
    </w:p>
    <w:p w14:paraId="67574111">
      <w:pPr>
        <w:ind w:firstLine="420"/>
      </w:pPr>
      <w:r>
        <w:rPr>
          <w:rFonts w:hint="eastAsia"/>
        </w:rPr>
        <w:t>e)具备时钟电池，断电后应维持内部时钟正确工作时间，使用寿命≥8 年。</w:t>
      </w:r>
    </w:p>
    <w:bookmarkEnd w:id="233"/>
    <w:p w14:paraId="3BE15F26">
      <w:pPr>
        <w:pStyle w:val="11"/>
        <w:numPr>
          <w:ilvl w:val="0"/>
          <w:numId w:val="22"/>
        </w:numPr>
      </w:pPr>
      <w:bookmarkStart w:id="234" w:name="_Toc12719"/>
      <w:r>
        <w:rPr>
          <w:rFonts w:hint="eastAsia"/>
        </w:rPr>
        <w:t>功率消耗</w:t>
      </w:r>
      <w:bookmarkEnd w:id="234"/>
    </w:p>
    <w:p w14:paraId="472BE40E">
      <w:pPr>
        <w:pStyle w:val="32"/>
      </w:pPr>
      <w:bookmarkStart w:id="235" w:name="_Toc116242879"/>
      <w:bookmarkStart w:id="236" w:name="_Toc31178"/>
      <w:bookmarkStart w:id="237" w:name="_Toc88470724"/>
      <w:bookmarkStart w:id="238" w:name="_Toc78377449"/>
      <w:r>
        <w:rPr>
          <w:rFonts w:hint="eastAsia"/>
          <w:lang w:eastAsia="zh-CN"/>
        </w:rPr>
        <w:t>电力开源物联版配电物联代理单元</w:t>
      </w:r>
      <w:r>
        <w:rPr>
          <w:rFonts w:hint="eastAsia"/>
        </w:rPr>
        <w:t>在非通信状态下，</w:t>
      </w:r>
      <w:r>
        <w:rPr>
          <w:rFonts w:hint="eastAsia"/>
          <w:lang w:eastAsia="zh-CN"/>
        </w:rPr>
        <w:t>电力开源物联版配电物联代理单元</w:t>
      </w:r>
      <w:r>
        <w:rPr>
          <w:rFonts w:hint="eastAsia"/>
        </w:rPr>
        <w:t>消耗的视在功率应不大于8VA，有功功率应不大于6W。</w:t>
      </w:r>
    </w:p>
    <w:p w14:paraId="0DBAD9D7">
      <w:pPr>
        <w:pStyle w:val="3"/>
      </w:pPr>
      <w:bookmarkStart w:id="239" w:name="_Toc452"/>
      <w:bookmarkStart w:id="240" w:name="_Toc19821"/>
      <w:bookmarkStart w:id="241" w:name="_Toc14086"/>
      <w:bookmarkStart w:id="242" w:name="_Toc17041"/>
      <w:bookmarkStart w:id="243" w:name="_Toc16990"/>
      <w:bookmarkStart w:id="244" w:name="_Toc6799"/>
      <w:r>
        <w:rPr>
          <w:rFonts w:hint="eastAsia"/>
        </w:rPr>
        <w:t>功能要求</w:t>
      </w:r>
      <w:bookmarkEnd w:id="239"/>
      <w:bookmarkEnd w:id="240"/>
      <w:bookmarkEnd w:id="241"/>
      <w:bookmarkEnd w:id="242"/>
      <w:bookmarkEnd w:id="243"/>
      <w:bookmarkEnd w:id="244"/>
    </w:p>
    <w:p w14:paraId="48C7343E">
      <w:pPr>
        <w:numPr>
          <w:ilvl w:val="-1"/>
          <w:numId w:val="0"/>
        </w:numPr>
        <w:spacing w:line="360" w:lineRule="auto"/>
        <w:ind w:firstLine="0" w:firstLineChars="0"/>
        <w:rPr>
          <w:rFonts w:hint="eastAsia"/>
        </w:rPr>
      </w:pPr>
      <w:bookmarkStart w:id="710" w:name="_GoBack"/>
      <w:r>
        <w:rPr>
          <w:b/>
          <w:bCs/>
        </w:rPr>
        <w:t>★</w:t>
      </w:r>
      <w:r>
        <w:rPr>
          <w:rFonts w:hint="eastAsia"/>
          <w:b/>
          <w:bCs/>
          <w:lang w:val="en-US" w:eastAsia="zh-CN"/>
        </w:rPr>
        <w:t>标准体系：</w:t>
      </w:r>
      <w:bookmarkEnd w:id="710"/>
      <w:r>
        <w:rPr>
          <w:rFonts w:hint="eastAsia"/>
          <w:lang w:eastAsia="zh-CN"/>
        </w:rPr>
        <w:t>电力开源物联版配电物联代理单元</w:t>
      </w:r>
      <w:r>
        <w:rPr>
          <w:rFonts w:hint="eastAsia" w:ascii="Times New Roman" w:hAnsi="Times New Roman" w:eastAsia="宋体" w:cs="Times New Roman"/>
          <w:kern w:val="2"/>
          <w:sz w:val="21"/>
          <w:szCs w:val="22"/>
          <w:highlight w:val="none"/>
          <w:lang w:val="en-US" w:eastAsia="zh-CN"/>
        </w:rPr>
        <w:t>应符合</w:t>
      </w:r>
      <w:r>
        <w:rPr>
          <w:rFonts w:hint="eastAsia" w:ascii="Times New Roman" w:hAnsi="Times New Roman" w:eastAsia="宋体" w:cs="Times New Roman"/>
          <w:kern w:val="2"/>
          <w:sz w:val="21"/>
          <w:szCs w:val="22"/>
          <w:highlight w:val="none"/>
        </w:rPr>
        <w:t>《电鸿物联操作系统PHM公共中间件技术规范》及相应服务检测规范的设计与检测要求，具有电鸿适配认证证书，证书信息可在全国认证认可信息公共服务平台（http://cx.cnca.cn/）登记备案可查询，并纳入电鸿开源社区《电鸿生态兼容性产品名录》，可在（https://power-iot.cert.openatom.tech/）网站上进行查询，且测评版本为标准版</w:t>
      </w:r>
      <w:r>
        <w:rPr>
          <w:rFonts w:hint="eastAsia" w:ascii="Times New Roman" w:hAnsi="Times New Roman" w:eastAsia="宋体" w:cs="Times New Roman"/>
          <w:kern w:val="2"/>
          <w:sz w:val="21"/>
          <w:szCs w:val="22"/>
          <w:highlight w:val="none"/>
          <w:lang w:eastAsia="zh-CN"/>
        </w:rPr>
        <w:t>。</w:t>
      </w:r>
    </w:p>
    <w:p w14:paraId="6B410AD7">
      <w:pPr>
        <w:adjustRightInd w:val="0"/>
        <w:snapToGrid w:val="0"/>
        <w:ind w:firstLine="420"/>
        <w:rPr>
          <w:rFonts w:hint="default" w:ascii="Times New Roman" w:hAnsi="Times New Roman" w:cs="Times New Roman"/>
          <w:lang w:val="en-US" w:eastAsia="zh-CN"/>
        </w:rPr>
      </w:pPr>
      <w:r>
        <w:rPr>
          <w:rFonts w:hint="eastAsia" w:ascii="Times New Roman" w:hAnsi="Times New Roman" w:cs="Times New Roman"/>
          <w:lang w:eastAsia="zh-CN"/>
        </w:rPr>
        <w:t>电力开源物联版配电物联代理单元</w:t>
      </w:r>
      <w:r>
        <w:rPr>
          <w:rFonts w:hint="eastAsia" w:ascii="Times New Roman" w:hAnsi="Times New Roman" w:cs="Times New Roman"/>
          <w:lang w:val="en-US" w:eastAsia="zh-CN"/>
        </w:rPr>
        <w:t>应具备包括即插即用、近场运维、OTA升级、安全认证等电鸿特性功能，具体如下：</w:t>
      </w:r>
    </w:p>
    <w:p w14:paraId="18376D88">
      <w:pPr>
        <w:pStyle w:val="4"/>
      </w:pPr>
      <w:bookmarkStart w:id="245" w:name="_Toc9828"/>
      <w:bookmarkStart w:id="246" w:name="_Toc18000"/>
      <w:bookmarkStart w:id="247" w:name="_Toc5915"/>
      <w:bookmarkStart w:id="248" w:name="_Toc24768"/>
      <w:bookmarkStart w:id="249" w:name="_Toc15471"/>
      <w:bookmarkStart w:id="250" w:name="_Toc888"/>
      <w:bookmarkStart w:id="251" w:name="_Toc16644"/>
      <w:bookmarkStart w:id="252" w:name="_Toc8018"/>
      <w:bookmarkStart w:id="253" w:name="_Toc15987"/>
      <w:bookmarkStart w:id="254" w:name="_Toc32029"/>
      <w:bookmarkStart w:id="255" w:name="_Toc11036"/>
      <w:bookmarkStart w:id="256" w:name="_Toc11125"/>
      <w:bookmarkStart w:id="257" w:name="_Toc90022986"/>
      <w:bookmarkStart w:id="258" w:name="_Toc25286"/>
      <w:bookmarkStart w:id="259" w:name="_Toc9038"/>
      <w:bookmarkStart w:id="260" w:name="_Toc20738"/>
      <w:bookmarkStart w:id="261" w:name="_Toc5101"/>
      <w:bookmarkStart w:id="262" w:name="_Toc8258"/>
      <w:bookmarkStart w:id="263" w:name="_Toc19710"/>
      <w:bookmarkStart w:id="264" w:name="_Toc14843"/>
      <w:bookmarkStart w:id="265" w:name="_Toc16807"/>
      <w:bookmarkStart w:id="266" w:name="_Toc31548"/>
      <w:bookmarkStart w:id="267" w:name="_Toc6385"/>
      <w:bookmarkStart w:id="268" w:name="_Toc7234"/>
      <w:bookmarkStart w:id="269" w:name="_Toc20009"/>
      <w:bookmarkStart w:id="270" w:name="_Toc23664"/>
      <w:bookmarkStart w:id="271" w:name="_Toc7769"/>
      <w:bookmarkStart w:id="272" w:name="_Toc19473"/>
      <w:r>
        <w:rPr>
          <w:rFonts w:hint="eastAsia"/>
        </w:rPr>
        <w:t>即插即用</w:t>
      </w:r>
      <w:bookmarkEnd w:id="245"/>
      <w:bookmarkEnd w:id="246"/>
      <w:bookmarkEnd w:id="247"/>
      <w:bookmarkEnd w:id="248"/>
      <w:bookmarkEnd w:id="249"/>
    </w:p>
    <w:p w14:paraId="3E77796B">
      <w:pPr>
        <w:ind w:firstLine="420"/>
      </w:pPr>
      <w:r>
        <w:rPr>
          <w:rFonts w:hint="eastAsia"/>
        </w:rPr>
        <w:t>1）</w:t>
      </w:r>
      <w:r>
        <w:rPr>
          <w:rFonts w:hint="eastAsia"/>
          <w:lang w:eastAsia="zh-CN"/>
        </w:rPr>
        <w:t>电力开源物联版配电物联代理单元</w:t>
      </w:r>
      <w:r>
        <w:rPr>
          <w:rFonts w:hint="eastAsia"/>
        </w:rPr>
        <w:t>应具备</w:t>
      </w:r>
      <w:r>
        <w:rPr>
          <w:rFonts w:hint="eastAsia"/>
          <w:lang w:val="en-US" w:eastAsia="zh-CN"/>
        </w:rPr>
        <w:t>电鸿</w:t>
      </w:r>
      <w:r>
        <w:rPr>
          <w:rFonts w:hint="eastAsia"/>
        </w:rPr>
        <w:t>即插即用能力，基于电鸿台区终端的自发现服务，实现代理单元自动注册上线。</w:t>
      </w:r>
    </w:p>
    <w:p w14:paraId="044E7BB6">
      <w:pPr>
        <w:ind w:firstLine="420"/>
      </w:pPr>
      <w:r>
        <w:rPr>
          <w:rFonts w:hint="eastAsia"/>
        </w:rPr>
        <w:t>2）</w:t>
      </w:r>
      <w:r>
        <w:rPr>
          <w:rFonts w:hint="eastAsia"/>
          <w:lang w:eastAsia="zh-CN"/>
        </w:rPr>
        <w:t>电力开源物联版配电物联代理单元</w:t>
      </w:r>
      <w:r>
        <w:rPr>
          <w:rFonts w:hint="eastAsia"/>
        </w:rPr>
        <w:t>应能够自动识别下挂的不同厂家和型号的光伏逆变器、光伏微断/开关等设备。</w:t>
      </w:r>
    </w:p>
    <w:p w14:paraId="48AC548E">
      <w:pPr>
        <w:pStyle w:val="4"/>
      </w:pPr>
      <w:bookmarkStart w:id="273" w:name="_Toc9231"/>
      <w:bookmarkStart w:id="274" w:name="_Toc5866"/>
      <w:bookmarkStart w:id="275" w:name="_Toc28468"/>
      <w:bookmarkStart w:id="276" w:name="_Toc15974"/>
      <w:bookmarkStart w:id="277" w:name="_Toc17202"/>
      <w:bookmarkStart w:id="278" w:name="_Toc13287"/>
      <w:bookmarkStart w:id="279" w:name="_Toc27263"/>
      <w:bookmarkStart w:id="280" w:name="_Toc15104"/>
      <w:bookmarkStart w:id="281" w:name="_Toc20860"/>
      <w:bookmarkStart w:id="282" w:name="_Toc8935"/>
      <w:r>
        <w:rPr>
          <w:rFonts w:hint="eastAsia"/>
        </w:rPr>
        <w:t>近场运维</w:t>
      </w:r>
      <w:bookmarkEnd w:id="273"/>
      <w:bookmarkEnd w:id="274"/>
      <w:bookmarkEnd w:id="275"/>
      <w:bookmarkEnd w:id="276"/>
      <w:bookmarkEnd w:id="277"/>
    </w:p>
    <w:p w14:paraId="1861E340">
      <w:pPr>
        <w:ind w:firstLine="420"/>
      </w:pPr>
      <w:r>
        <w:rPr>
          <w:rFonts w:hint="eastAsia"/>
        </w:rPr>
        <w:t>1）</w:t>
      </w:r>
      <w:r>
        <w:rPr>
          <w:rFonts w:hint="eastAsia"/>
          <w:lang w:eastAsia="zh-CN"/>
        </w:rPr>
        <w:t>电力开源物联版配电物联代理单元</w:t>
      </w:r>
      <w:r>
        <w:rPr>
          <w:rFonts w:hint="eastAsia"/>
        </w:rPr>
        <w:t>应</w:t>
      </w:r>
      <w:r>
        <w:t>支持</w:t>
      </w:r>
      <w:r>
        <w:rPr>
          <w:rFonts w:hint="eastAsia"/>
          <w:lang w:val="en-US" w:eastAsia="zh-CN"/>
        </w:rPr>
        <w:t>电鸿</w:t>
      </w:r>
      <w:r>
        <w:t>近场运维功能，用户可以通过</w:t>
      </w:r>
      <w:r>
        <w:rPr>
          <w:rFonts w:hint="eastAsia"/>
        </w:rPr>
        <w:t>有线、无线</w:t>
      </w:r>
      <w:r>
        <w:rPr>
          <w:rFonts w:hint="eastAsia"/>
          <w:lang w:eastAsia="zh-CN"/>
        </w:rPr>
        <w:t>（</w:t>
      </w:r>
      <w:r>
        <w:rPr>
          <w:rFonts w:hint="eastAsia"/>
          <w:lang w:val="en-US" w:eastAsia="zh-CN"/>
        </w:rPr>
        <w:t>蓝牙</w:t>
      </w:r>
      <w:r>
        <w:rPr>
          <w:rFonts w:hint="eastAsia"/>
          <w:lang w:eastAsia="zh-CN"/>
        </w:rPr>
        <w:t>）</w:t>
      </w:r>
      <w:r>
        <w:rPr>
          <w:rFonts w:hint="eastAsia"/>
        </w:rPr>
        <w:t>的</w:t>
      </w:r>
      <w:r>
        <w:t>近场通信方式，对设备进行</w:t>
      </w:r>
      <w:r>
        <w:rPr>
          <w:rFonts w:hint="eastAsia"/>
        </w:rPr>
        <w:t>就地</w:t>
      </w:r>
      <w:r>
        <w:t>维护和管理。</w:t>
      </w:r>
      <w:r>
        <w:rPr>
          <w:rFonts w:hint="eastAsia"/>
        </w:rPr>
        <w:t>可通过手机实时查看接入的光伏、充电桩等新能源装置的运行数据，</w:t>
      </w:r>
      <w:r>
        <w:t>设备调试、故障诊断等操作更加便捷，提高运维效率。</w:t>
      </w:r>
    </w:p>
    <w:p w14:paraId="54CD9650">
      <w:pPr>
        <w:ind w:firstLine="420"/>
        <w:rPr>
          <w:highlight w:val="none"/>
        </w:rPr>
      </w:pPr>
      <w:r>
        <w:rPr>
          <w:rFonts w:hint="eastAsia"/>
          <w:highlight w:val="none"/>
        </w:rPr>
        <w:t>2）</w:t>
      </w:r>
      <w:r>
        <w:rPr>
          <w:highlight w:val="none"/>
        </w:rPr>
        <w:t>具备自诊断、自恢复功能，异常时能传送报警信息，故障时能自动复位；</w:t>
      </w:r>
    </w:p>
    <w:p w14:paraId="62C2CE53">
      <w:pPr>
        <w:ind w:firstLine="420"/>
        <w:rPr>
          <w:rFonts w:hint="eastAsia"/>
        </w:rPr>
      </w:pPr>
      <w:r>
        <w:rPr>
          <w:rFonts w:hint="eastAsia"/>
        </w:rPr>
        <w:t>3）支持</w:t>
      </w:r>
      <w:r>
        <w:t>通过维护端口</w:t>
      </w:r>
      <w:r>
        <w:rPr>
          <w:rFonts w:hint="eastAsia"/>
        </w:rPr>
        <w:t>实现⽆线链路维护与</w:t>
      </w:r>
      <w:r>
        <w:rPr>
          <w:rFonts w:hint="eastAsia"/>
          <w:lang w:val="en-US" w:eastAsia="zh-CN"/>
        </w:rPr>
        <w:t>异常</w:t>
      </w:r>
      <w:r>
        <w:rPr>
          <w:rFonts w:hint="eastAsia"/>
        </w:rPr>
        <w:t>监测</w:t>
      </w:r>
    </w:p>
    <w:p w14:paraId="451663C2">
      <w:pPr>
        <w:ind w:firstLine="420"/>
        <w:rPr>
          <w:rFonts w:hint="eastAsia"/>
        </w:rPr>
      </w:pPr>
      <w:r>
        <w:rPr>
          <w:rFonts w:hint="eastAsia"/>
          <w:lang w:val="en-US" w:eastAsia="zh-CN"/>
        </w:rPr>
        <w:t>4）支持通过无线对代理单元进行</w:t>
      </w:r>
      <w:r>
        <w:rPr>
          <w:rFonts w:hint="eastAsia"/>
        </w:rPr>
        <w:t>固件</w:t>
      </w:r>
      <w:r>
        <w:rPr>
          <w:rFonts w:hint="eastAsia"/>
          <w:lang w:val="en-US" w:eastAsia="zh-CN"/>
        </w:rPr>
        <w:t>OTA</w:t>
      </w:r>
      <w:r>
        <w:rPr>
          <w:rFonts w:hint="eastAsia"/>
        </w:rPr>
        <w:t>升级；</w:t>
      </w:r>
    </w:p>
    <w:p w14:paraId="7A4F413C">
      <w:pPr>
        <w:ind w:firstLine="420"/>
        <w:rPr>
          <w:highlight w:val="none"/>
        </w:rPr>
      </w:pPr>
      <w:r>
        <w:rPr>
          <w:rFonts w:hint="eastAsia"/>
        </w:rPr>
        <w:t>4）支持通过移动终端APP</w:t>
      </w:r>
      <w:r>
        <w:t>读取</w:t>
      </w:r>
      <w:r>
        <w:rPr>
          <w:rFonts w:hint="eastAsia"/>
          <w:lang w:val="en-US" w:eastAsia="zh-CN"/>
        </w:rPr>
        <w:t>南向设备逆变器厂商型号</w:t>
      </w:r>
      <w:r>
        <w:t>、</w:t>
      </w:r>
      <w:r>
        <w:rPr>
          <w:rFonts w:hint="eastAsia"/>
          <w:lang w:val="en-US" w:eastAsia="zh-CN"/>
        </w:rPr>
        <w:t>协议</w:t>
      </w:r>
      <w:r>
        <w:t>版本等信息</w:t>
      </w:r>
      <w:r>
        <w:rPr>
          <w:rFonts w:hint="eastAsia"/>
          <w:lang w:eastAsia="zh-CN"/>
        </w:rPr>
        <w:t>，</w:t>
      </w:r>
      <w:r>
        <w:rPr>
          <w:rFonts w:hint="eastAsia"/>
          <w:lang w:val="en-US" w:eastAsia="zh-CN"/>
        </w:rPr>
        <w:t>对内置协</w:t>
      </w:r>
      <w:r>
        <w:rPr>
          <w:rFonts w:hint="eastAsia"/>
          <w:highlight w:val="none"/>
          <w:lang w:val="en-US" w:eastAsia="zh-CN"/>
        </w:rPr>
        <w:t>议库和设备档案进行增删改查</w:t>
      </w:r>
      <w:r>
        <w:rPr>
          <w:rFonts w:hint="eastAsia"/>
          <w:highlight w:val="none"/>
          <w:lang w:eastAsia="zh-CN"/>
        </w:rPr>
        <w:t>，</w:t>
      </w:r>
    </w:p>
    <w:p w14:paraId="27DA0FB5">
      <w:pPr>
        <w:ind w:firstLine="420"/>
        <w:rPr>
          <w:highlight w:val="none"/>
        </w:rPr>
      </w:pPr>
      <w:r>
        <w:rPr>
          <w:rFonts w:hint="eastAsia"/>
          <w:highlight w:val="none"/>
        </w:rPr>
        <w:t>6）支持通过召测或主动上送快速查</w:t>
      </w:r>
      <w:r>
        <w:rPr>
          <w:rFonts w:hint="eastAsia"/>
          <w:highlight w:val="none"/>
          <w:lang w:val="en-US" w:eastAsia="zh-CN"/>
        </w:rPr>
        <w:t>找</w:t>
      </w:r>
      <w:r>
        <w:rPr>
          <w:rFonts w:hint="eastAsia"/>
          <w:highlight w:val="none"/>
        </w:rPr>
        <w:t>具体光伏逆变器，通信棒</w:t>
      </w:r>
      <w:r>
        <w:rPr>
          <w:rFonts w:hint="eastAsia"/>
          <w:highlight w:val="none"/>
          <w:lang w:eastAsia="zh-CN"/>
        </w:rPr>
        <w:t>无线扩展模块</w:t>
      </w:r>
      <w:r>
        <w:rPr>
          <w:rFonts w:hint="eastAsia"/>
          <w:highlight w:val="none"/>
        </w:rPr>
        <w:t>可提供灯语提示。</w:t>
      </w:r>
    </w:p>
    <w:p w14:paraId="75257BB8">
      <w:pPr>
        <w:pStyle w:val="4"/>
      </w:pPr>
      <w:r>
        <w:rPr>
          <w:rFonts w:hint="eastAsia"/>
        </w:rPr>
        <w:t>OTA</w:t>
      </w:r>
      <w:r>
        <w:t>升级</w:t>
      </w:r>
      <w:bookmarkEnd w:id="250"/>
      <w:bookmarkEnd w:id="251"/>
      <w:bookmarkEnd w:id="278"/>
      <w:bookmarkEnd w:id="279"/>
      <w:bookmarkEnd w:id="280"/>
      <w:bookmarkEnd w:id="281"/>
      <w:bookmarkEnd w:id="282"/>
    </w:p>
    <w:p w14:paraId="5F2D3988">
      <w:pPr>
        <w:ind w:firstLine="420"/>
      </w:pPr>
      <w:r>
        <w:rPr>
          <w:rFonts w:hint="eastAsia"/>
          <w:lang w:eastAsia="zh-CN"/>
        </w:rPr>
        <w:t>电力开源物联版配电物联代理单元</w:t>
      </w:r>
      <w:r>
        <w:t>应支持远程和本地软件</w:t>
      </w:r>
      <w:r>
        <w:rPr>
          <w:rFonts w:hint="eastAsia"/>
        </w:rPr>
        <w:t>电鸿OTA</w:t>
      </w:r>
      <w:r>
        <w:t>升级。升级须得到许可，并经认证后方可进行。程序升级支持断点续传，应保证装置内的历史数据、通信参数、定值参数等重要数据的安全。支持升级失败回退功能，程序升级后，软件版本号应发生改变；</w:t>
      </w:r>
    </w:p>
    <w:p w14:paraId="170F8F42">
      <w:pPr>
        <w:pStyle w:val="4"/>
        <w:rPr>
          <w:rFonts w:hint="default" w:cs="Times New Roman"/>
          <w:lang w:val="en-US"/>
        </w:rPr>
      </w:pPr>
      <w:bookmarkStart w:id="283" w:name="_Toc29369"/>
      <w:bookmarkStart w:id="284" w:name="_Toc21188"/>
      <w:bookmarkStart w:id="285" w:name="_Toc13661"/>
      <w:bookmarkStart w:id="286" w:name="_Toc31157"/>
      <w:bookmarkStart w:id="287" w:name="_Toc2330"/>
      <w:bookmarkStart w:id="288" w:name="_Toc17720"/>
      <w:bookmarkStart w:id="289" w:name="_Toc9289"/>
      <w:bookmarkStart w:id="290" w:name="_Toc4518"/>
      <w:bookmarkStart w:id="291" w:name="_Toc18490"/>
      <w:bookmarkStart w:id="292" w:name="_Toc9359"/>
      <w:bookmarkStart w:id="293" w:name="_Toc13160"/>
      <w:r>
        <w:rPr>
          <w:rFonts w:hint="eastAsia" w:cs="Times New Roman"/>
        </w:rPr>
        <w:t>安全</w:t>
      </w:r>
      <w:bookmarkEnd w:id="283"/>
      <w:bookmarkEnd w:id="284"/>
      <w:bookmarkEnd w:id="285"/>
      <w:bookmarkEnd w:id="286"/>
      <w:bookmarkEnd w:id="287"/>
      <w:bookmarkEnd w:id="288"/>
      <w:r>
        <w:rPr>
          <w:rFonts w:hint="eastAsia" w:cs="Times New Roman"/>
          <w:lang w:val="en-US" w:eastAsia="zh-CN"/>
        </w:rPr>
        <w:t>认证</w:t>
      </w:r>
    </w:p>
    <w:p w14:paraId="38A95242">
      <w:pPr>
        <w:ind w:firstLine="420"/>
        <w:rPr>
          <w:rFonts w:hint="default"/>
          <w:lang w:val="en-US"/>
        </w:rPr>
      </w:pPr>
      <w:r>
        <w:rPr>
          <w:rFonts w:hint="eastAsia"/>
          <w:lang w:eastAsia="zh-CN"/>
        </w:rPr>
        <w:t>电力开源物联版配电物联代理单元</w:t>
      </w:r>
      <w:r>
        <w:t>应</w:t>
      </w:r>
      <w:r>
        <w:rPr>
          <w:rFonts w:hint="eastAsia"/>
          <w:lang w:val="en-US" w:eastAsia="zh-CN"/>
        </w:rPr>
        <w:t>基于电鸿物联操作系统</w:t>
      </w:r>
      <w:r>
        <w:t>构建全路径安全防护体系。通过</w:t>
      </w:r>
      <w:r>
        <w:rPr>
          <w:rFonts w:hint="eastAsia"/>
          <w:lang w:val="en-US" w:eastAsia="zh-CN"/>
        </w:rPr>
        <w:t>电鸿统一安全认证、</w:t>
      </w:r>
      <w:r>
        <w:t>硬件安全模块、身份认证、链路加密及密钥管理等手段，抵御非授权接入、数据篡改及协议重放等安全威胁。</w:t>
      </w:r>
      <w:r>
        <w:rPr>
          <w:rFonts w:hint="eastAsia"/>
          <w:lang w:val="en-US" w:eastAsia="zh-CN"/>
        </w:rPr>
        <w:t>电力开源物联版配电物联代理单元（有线版、无线版）应实现北向通信安全认证，电力开源物联版配电物联代理单元（无线版）应同时支持北向通信、南向通信安全加密。</w:t>
      </w:r>
    </w:p>
    <w:p w14:paraId="4144C47B">
      <w:pPr>
        <w:pStyle w:val="11"/>
        <w:numPr>
          <w:ilvl w:val="0"/>
          <w:numId w:val="23"/>
        </w:numPr>
        <w:rPr>
          <w:rFonts w:ascii="Times New Roman" w:hAnsi="Times New Roman" w:eastAsia="宋体" w:cs="Times New Roman"/>
        </w:rPr>
      </w:pPr>
      <w:bookmarkStart w:id="294" w:name="_Toc4786"/>
      <w:bookmarkStart w:id="295" w:name="_Toc11"/>
      <w:bookmarkStart w:id="296" w:name="_Toc12663"/>
      <w:bookmarkStart w:id="297" w:name="_Toc16267"/>
      <w:bookmarkStart w:id="298" w:name="_Toc24876"/>
      <w:r>
        <w:rPr>
          <w:rFonts w:hint="eastAsia" w:ascii="Times New Roman" w:hAnsi="Times New Roman" w:eastAsia="宋体" w:cs="Times New Roman"/>
        </w:rPr>
        <w:t>北向通信安全</w:t>
      </w:r>
      <w:bookmarkEnd w:id="294"/>
      <w:bookmarkEnd w:id="295"/>
      <w:bookmarkEnd w:id="296"/>
      <w:bookmarkEnd w:id="297"/>
      <w:bookmarkEnd w:id="298"/>
      <w:r>
        <w:rPr>
          <w:rFonts w:hint="eastAsia" w:ascii="Times New Roman" w:hAnsi="Times New Roman" w:eastAsia="宋体" w:cs="Times New Roman"/>
          <w:lang w:val="en-US" w:eastAsia="zh-CN"/>
        </w:rPr>
        <w:t>加密</w:t>
      </w:r>
    </w:p>
    <w:p w14:paraId="6E274592">
      <w:r>
        <w:rPr>
          <w:rFonts w:hint="eastAsia"/>
        </w:rPr>
        <w:t>为了保护通信网络中所传输信息的完整性、保密性、可用性，</w:t>
      </w:r>
      <w:r>
        <w:rPr>
          <w:rFonts w:hint="eastAsia"/>
          <w:lang w:val="en-US" w:eastAsia="zh-CN"/>
        </w:rPr>
        <w:t>电力开源物联版配电物联代理单元（有线版、无线版）</w:t>
      </w:r>
      <w:r>
        <w:rPr>
          <w:rFonts w:hint="eastAsia"/>
        </w:rPr>
        <w:t>应支持</w:t>
      </w:r>
      <w:r>
        <w:rPr>
          <w:rFonts w:hint="eastAsia"/>
          <w:lang w:val="en-US" w:eastAsia="zh-CN"/>
        </w:rPr>
        <w:t>北向</w:t>
      </w:r>
      <w:r>
        <w:rPr>
          <w:rFonts w:hint="eastAsia"/>
        </w:rPr>
        <w:t>安全加密技术，</w:t>
      </w:r>
      <w:r>
        <w:rPr>
          <w:rFonts w:hint="eastAsia"/>
          <w:lang w:val="en-US" w:eastAsia="zh-CN"/>
        </w:rPr>
        <w:t>基于电鸿统一安全认证服务，</w:t>
      </w:r>
      <w:r>
        <w:rPr>
          <w:rFonts w:hint="eastAsia"/>
        </w:rPr>
        <w:t>可对控制指令数据进行解密并正确执行，可通过智能台区终端对设备进行身份验证，以确保设备的真实唯一性，从而抵御攻击或篡改，支持SM2、SM4国密算法。</w:t>
      </w:r>
    </w:p>
    <w:p w14:paraId="450B8179">
      <w:pPr>
        <w:pStyle w:val="11"/>
        <w:numPr>
          <w:ilvl w:val="0"/>
          <w:numId w:val="23"/>
        </w:numPr>
        <w:rPr>
          <w:rFonts w:hint="eastAsia" w:ascii="Times New Roman" w:hAnsi="Times New Roman" w:eastAsia="宋体" w:cs="Times New Roman"/>
        </w:rPr>
      </w:pPr>
      <w:bookmarkStart w:id="299" w:name="_Toc17371"/>
      <w:bookmarkStart w:id="300" w:name="_Toc5533"/>
      <w:bookmarkStart w:id="301" w:name="_Toc10066"/>
      <w:bookmarkStart w:id="302" w:name="_Toc8726"/>
      <w:bookmarkStart w:id="303" w:name="_Toc18779"/>
      <w:r>
        <w:rPr>
          <w:rFonts w:hint="eastAsia" w:ascii="Times New Roman" w:hAnsi="Times New Roman" w:eastAsia="宋体" w:cs="Times New Roman"/>
        </w:rPr>
        <w:t>南向通信安全</w:t>
      </w:r>
      <w:bookmarkEnd w:id="299"/>
      <w:bookmarkEnd w:id="300"/>
      <w:bookmarkEnd w:id="301"/>
      <w:bookmarkEnd w:id="302"/>
      <w:bookmarkEnd w:id="303"/>
      <w:r>
        <w:rPr>
          <w:rFonts w:hint="eastAsia" w:ascii="Times New Roman" w:hAnsi="Times New Roman" w:eastAsia="宋体" w:cs="Times New Roman"/>
          <w:lang w:val="en-US" w:eastAsia="zh-CN"/>
        </w:rPr>
        <w:t>加密</w:t>
      </w:r>
    </w:p>
    <w:p w14:paraId="79C49D01">
      <w:pPr>
        <w:numPr>
          <w:ilvl w:val="0"/>
          <w:numId w:val="24"/>
        </w:numPr>
        <w:ind w:firstLine="420"/>
      </w:pPr>
      <w:r>
        <w:rPr>
          <w:rFonts w:hint="eastAsia"/>
          <w:lang w:val="en-US" w:eastAsia="zh-CN"/>
        </w:rPr>
        <w:t>电力开源物联版配电物联代理单元</w:t>
      </w:r>
      <w:r>
        <w:rPr>
          <w:rFonts w:hint="eastAsia"/>
          <w:lang w:eastAsia="zh-CN"/>
        </w:rPr>
        <w:t>（</w:t>
      </w:r>
      <w:r>
        <w:rPr>
          <w:rFonts w:hint="eastAsia"/>
          <w:lang w:val="en-US" w:eastAsia="zh-CN"/>
        </w:rPr>
        <w:t>无线版</w:t>
      </w:r>
      <w:r>
        <w:rPr>
          <w:rFonts w:hint="eastAsia"/>
          <w:lang w:eastAsia="zh-CN"/>
        </w:rPr>
        <w:t>）</w:t>
      </w:r>
      <w:r>
        <w:t>与</w:t>
      </w:r>
      <w:r>
        <w:rPr>
          <w:rFonts w:hint="eastAsia"/>
        </w:rPr>
        <w:t>光伏通信棒无线扩展模块</w:t>
      </w:r>
      <w:r>
        <w:t>之间的无线通信应实现</w:t>
      </w:r>
      <w:r>
        <w:rPr>
          <w:rFonts w:hint="eastAsia"/>
          <w:lang w:val="en-US" w:eastAsia="zh-CN"/>
        </w:rPr>
        <w:t>身份认证和</w:t>
      </w:r>
      <w:r>
        <w:t>全链路</w:t>
      </w:r>
      <w:r>
        <w:rPr>
          <w:rFonts w:hint="eastAsia"/>
          <w:lang w:val="en-US" w:eastAsia="zh-CN"/>
        </w:rPr>
        <w:t>安全</w:t>
      </w:r>
      <w:r>
        <w:t>加密</w:t>
      </w:r>
      <w:r>
        <w:rPr>
          <w:rFonts w:hint="eastAsia"/>
          <w:lang w:eastAsia="zh-CN"/>
        </w:rPr>
        <w:t>，</w:t>
      </w:r>
      <w:r>
        <w:t>通过硬件安全模块、身份认证、链路加密及密钥管理等手段，抵御非授权接入、数据篡改及协议重放等安全威胁。</w:t>
      </w:r>
    </w:p>
    <w:p w14:paraId="066B27AD">
      <w:pPr>
        <w:numPr>
          <w:ilvl w:val="0"/>
          <w:numId w:val="24"/>
        </w:numPr>
        <w:ind w:firstLine="420"/>
      </w:pPr>
      <w:r>
        <w:t xml:space="preserve">应禁止在无线空口明文传输光伏调控指令、电量采集报文等关键业务数据。 </w:t>
      </w:r>
    </w:p>
    <w:p w14:paraId="0F392AAF">
      <w:pPr>
        <w:numPr>
          <w:ilvl w:val="0"/>
          <w:numId w:val="24"/>
        </w:numPr>
        <w:ind w:firstLine="420"/>
      </w:pPr>
      <w:r>
        <w:rPr>
          <w:rFonts w:ascii="Times New Roman" w:hAnsi="Times New Roman" w:eastAsia="宋体" w:cs="Times New Roman"/>
        </w:rPr>
        <w:t>代理单元应</w:t>
      </w:r>
      <w:r>
        <w:rPr>
          <w:rFonts w:hint="eastAsia" w:ascii="Times New Roman" w:hAnsi="Times New Roman" w:eastAsia="宋体" w:cs="Times New Roman"/>
          <w:lang w:val="en-US" w:eastAsia="zh-CN"/>
        </w:rPr>
        <w:t>对南向设备</w:t>
      </w:r>
      <w:r>
        <w:rPr>
          <w:rFonts w:ascii="Times New Roman" w:hAnsi="Times New Roman" w:eastAsia="宋体" w:cs="Times New Roman"/>
        </w:rPr>
        <w:t>进行</w:t>
      </w:r>
      <w:r>
        <w:rPr>
          <w:rFonts w:hint="eastAsia" w:ascii="Times New Roman" w:hAnsi="Times New Roman" w:eastAsia="宋体" w:cs="Times New Roman"/>
          <w:lang w:val="en-US" w:eastAsia="zh-CN"/>
        </w:rPr>
        <w:t>安全</w:t>
      </w:r>
      <w:r>
        <w:rPr>
          <w:rFonts w:ascii="Times New Roman" w:hAnsi="Times New Roman" w:eastAsia="宋体" w:cs="Times New Roman"/>
        </w:rPr>
        <w:t>验证，仅当认证成功后方可建立业务连接，严禁未经身份认证的设备接入无线网络。</w:t>
      </w:r>
    </w:p>
    <w:p w14:paraId="0871FFA6">
      <w:pPr>
        <w:numPr>
          <w:ilvl w:val="0"/>
          <w:numId w:val="24"/>
        </w:numPr>
        <w:ind w:firstLine="420"/>
      </w:pPr>
      <w:r>
        <w:t>数据加密应采用国家密码管理局指定的SM4对称加密算法，算法实现应符合</w:t>
      </w:r>
      <w:r>
        <w:rPr>
          <w:rFonts w:hint="eastAsia"/>
        </w:rPr>
        <w:t>GB/T 32907-2016</w:t>
      </w:r>
      <w:r>
        <w:t>的规定。</w:t>
      </w:r>
    </w:p>
    <w:p w14:paraId="55FB25BA">
      <w:pPr>
        <w:numPr>
          <w:ilvl w:val="0"/>
          <w:numId w:val="24"/>
        </w:numPr>
        <w:ind w:firstLine="420"/>
        <w:rPr>
          <w:rFonts w:ascii="Times New Roman" w:hAnsi="Times New Roman" w:eastAsia="宋体" w:cs="Times New Roman"/>
        </w:rPr>
      </w:pPr>
      <w:r>
        <w:rPr>
          <w:rFonts w:ascii="Times New Roman" w:hAnsi="Times New Roman" w:eastAsia="宋体" w:cs="Times New Roman"/>
        </w:rPr>
        <w:t>报文传输应包含消息认证码（MAC）或循环冗余校验（CRC），用于检测数据在无线传输过程中的完整性。</w:t>
      </w:r>
    </w:p>
    <w:p w14:paraId="658F6CFC">
      <w:pPr>
        <w:pStyle w:val="4"/>
      </w:pPr>
      <w:r>
        <w:rPr>
          <w:rFonts w:hint="eastAsia"/>
        </w:rPr>
        <w:t>数据采集与储存</w:t>
      </w:r>
      <w:bookmarkEnd w:id="289"/>
      <w:bookmarkEnd w:id="290"/>
      <w:bookmarkEnd w:id="291"/>
      <w:bookmarkEnd w:id="292"/>
      <w:bookmarkEnd w:id="293"/>
    </w:p>
    <w:p w14:paraId="64C9D51F">
      <w:pPr>
        <w:pStyle w:val="11"/>
        <w:numPr>
          <w:ilvl w:val="0"/>
          <w:numId w:val="25"/>
        </w:numPr>
      </w:pPr>
      <w:r>
        <w:t>数据采集方式</w:t>
      </w:r>
    </w:p>
    <w:p w14:paraId="426ED4FC">
      <w:pPr>
        <w:ind w:firstLine="420"/>
      </w:pPr>
      <w:r>
        <w:rPr>
          <w:rFonts w:hint="eastAsia"/>
          <w:lang w:eastAsia="zh-CN"/>
        </w:rPr>
        <w:t>电力开源物联版配电物联代理单元</w:t>
      </w:r>
      <w:r>
        <w:t>可用下列方式采集数据：</w:t>
      </w:r>
    </w:p>
    <w:p w14:paraId="56133F89">
      <w:pPr>
        <w:ind w:firstLine="420"/>
      </w:pPr>
      <w:r>
        <w:t>实时采集，</w:t>
      </w:r>
      <w:r>
        <w:rPr>
          <w:rFonts w:hint="eastAsia"/>
          <w:lang w:eastAsia="zh-CN"/>
        </w:rPr>
        <w:t>电力开源物联版配电物联代理单元</w:t>
      </w:r>
      <w:r>
        <w:t>直接采集</w:t>
      </w:r>
      <w:r>
        <w:rPr>
          <w:rFonts w:hint="eastAsia"/>
        </w:rPr>
        <w:t>下挂的逆变器、充电桩设备等设备的</w:t>
      </w:r>
      <w:r>
        <w:t>数据</w:t>
      </w:r>
      <w:r>
        <w:rPr>
          <w:rFonts w:hint="eastAsia"/>
        </w:rPr>
        <w:t>；对于故障、告警等实时数据，采取主动上报的方式上送至主站</w:t>
      </w:r>
      <w:r>
        <w:t>；</w:t>
      </w:r>
    </w:p>
    <w:p w14:paraId="572ABA43">
      <w:pPr>
        <w:ind w:firstLine="420"/>
        <w:rPr>
          <w:highlight w:val="none"/>
        </w:rPr>
      </w:pPr>
      <w:r>
        <w:rPr>
          <w:highlight w:val="none"/>
        </w:rPr>
        <w:t>定时自动采集，</w:t>
      </w:r>
      <w:r>
        <w:rPr>
          <w:rFonts w:hint="eastAsia"/>
          <w:highlight w:val="none"/>
          <w:lang w:eastAsia="zh-CN"/>
        </w:rPr>
        <w:t>电力开源物联版配电物联代理单元</w:t>
      </w:r>
      <w:r>
        <w:rPr>
          <w:highlight w:val="none"/>
        </w:rPr>
        <w:t>根据主站设置的采集方案自动采集数据。</w:t>
      </w:r>
    </w:p>
    <w:p w14:paraId="1E313C98">
      <w:pPr>
        <w:numPr>
          <w:ilvl w:val="0"/>
          <w:numId w:val="25"/>
        </w:numPr>
        <w:ind w:firstLine="0" w:firstLineChars="0"/>
        <w:rPr>
          <w:highlight w:val="none"/>
        </w:rPr>
      </w:pPr>
      <w:r>
        <w:rPr>
          <w:highlight w:val="none"/>
        </w:rPr>
        <w:t>状态量数据采集</w:t>
      </w:r>
    </w:p>
    <w:p w14:paraId="097EC80A">
      <w:pPr>
        <w:ind w:firstLine="420"/>
        <w:rPr>
          <w:highlight w:val="none"/>
        </w:rPr>
      </w:pPr>
      <w:r>
        <w:rPr>
          <w:rFonts w:hint="eastAsia"/>
          <w:highlight w:val="none"/>
          <w:lang w:eastAsia="zh-CN"/>
        </w:rPr>
        <w:t>电力开源物联版配电物联代理单元</w:t>
      </w:r>
      <w:r>
        <w:rPr>
          <w:highlight w:val="none"/>
        </w:rPr>
        <w:t xml:space="preserve">可按需采集断路器开合状态，发生变位时应记入内存并生成断路器开关状态变化事件上报智能台区终端。 </w:t>
      </w:r>
    </w:p>
    <w:p w14:paraId="067C5A57">
      <w:pPr>
        <w:numPr>
          <w:ilvl w:val="0"/>
          <w:numId w:val="25"/>
        </w:numPr>
        <w:ind w:firstLine="0" w:firstLineChars="0"/>
      </w:pPr>
      <w:r>
        <w:t>光伏逆变器、充电桩、智能断路器数据采集</w:t>
      </w:r>
    </w:p>
    <w:p w14:paraId="75AF79CE">
      <w:pPr>
        <w:ind w:firstLine="420"/>
      </w:pPr>
      <w:r>
        <w:rPr>
          <w:rFonts w:hint="eastAsia"/>
          <w:lang w:eastAsia="zh-CN"/>
        </w:rPr>
        <w:t>电力开源物联版配电物联代理单元</w:t>
      </w:r>
      <w:r>
        <w:t>可按需采集光伏逆变器、充电桩、智能断路器的数据进行存储。</w:t>
      </w:r>
    </w:p>
    <w:p w14:paraId="56ED029E">
      <w:pPr>
        <w:pStyle w:val="4"/>
      </w:pPr>
      <w:bookmarkStart w:id="304" w:name="_Toc11894"/>
      <w:bookmarkStart w:id="305" w:name="_Toc11741"/>
      <w:bookmarkStart w:id="306" w:name="_Toc1924"/>
      <w:bookmarkStart w:id="307" w:name="_Toc6356"/>
      <w:bookmarkStart w:id="308" w:name="_Toc10683"/>
      <w:r>
        <w:t>事件记录</w:t>
      </w:r>
      <w:bookmarkEnd w:id="252"/>
      <w:bookmarkEnd w:id="304"/>
      <w:bookmarkEnd w:id="305"/>
      <w:bookmarkEnd w:id="306"/>
      <w:bookmarkEnd w:id="307"/>
      <w:bookmarkEnd w:id="308"/>
    </w:p>
    <w:p w14:paraId="4B497EED">
      <w:pPr>
        <w:ind w:firstLine="420"/>
        <w:rPr>
          <w:highlight w:val="none"/>
        </w:rPr>
      </w:pPr>
      <w:r>
        <w:rPr>
          <w:rFonts w:hint="eastAsia"/>
          <w:highlight w:val="none"/>
          <w:lang w:eastAsia="zh-CN"/>
        </w:rPr>
        <w:t>电力开源物联版配电物联代理单元</w:t>
      </w:r>
      <w:r>
        <w:rPr>
          <w:highlight w:val="none"/>
        </w:rPr>
        <w:t>事件事件记录功能要求：</w:t>
      </w:r>
    </w:p>
    <w:p w14:paraId="51A82118">
      <w:pPr>
        <w:ind w:firstLine="420"/>
        <w:rPr>
          <w:highlight w:val="none"/>
        </w:rPr>
      </w:pPr>
      <w:r>
        <w:rPr>
          <w:highlight w:val="none"/>
        </w:rPr>
        <w:t>1）应记录被采集设备有功功率控制事件总次数，最近10次控制发生时刻、控制信息；</w:t>
      </w:r>
    </w:p>
    <w:p w14:paraId="4519B625">
      <w:pPr>
        <w:ind w:firstLine="420"/>
        <w:rPr>
          <w:highlight w:val="none"/>
        </w:rPr>
      </w:pPr>
      <w:r>
        <w:rPr>
          <w:highlight w:val="none"/>
        </w:rPr>
        <w:t>2）应记录被采集设备无功功率控制事件总次数，最近10次控制发生时刻、控制信息；</w:t>
      </w:r>
    </w:p>
    <w:p w14:paraId="050EE365">
      <w:pPr>
        <w:ind w:firstLine="420"/>
        <w:rPr>
          <w:highlight w:val="none"/>
        </w:rPr>
      </w:pPr>
      <w:r>
        <w:rPr>
          <w:highlight w:val="none"/>
        </w:rPr>
        <w:t>3）应记录被采集设备功率因数控制事件总次数，最近10次控制发生时刻、控制信息；</w:t>
      </w:r>
    </w:p>
    <w:p w14:paraId="68A6561F">
      <w:pPr>
        <w:ind w:firstLine="420"/>
        <w:rPr>
          <w:highlight w:val="none"/>
        </w:rPr>
      </w:pPr>
      <w:r>
        <w:rPr>
          <w:highlight w:val="none"/>
        </w:rPr>
        <w:t>4）应记录光伏开关状态变化事件总次数，最近5次发生时刻及对应的分合闸状态；</w:t>
      </w:r>
    </w:p>
    <w:p w14:paraId="65EE5135">
      <w:pPr>
        <w:ind w:firstLine="420"/>
        <w:rPr>
          <w:highlight w:val="none"/>
        </w:rPr>
      </w:pPr>
      <w:r>
        <w:rPr>
          <w:rFonts w:hint="eastAsia"/>
          <w:highlight w:val="none"/>
          <w:lang w:val="en-US" w:eastAsia="zh-CN"/>
        </w:rPr>
        <w:t>5</w:t>
      </w:r>
      <w:r>
        <w:rPr>
          <w:highlight w:val="none"/>
        </w:rPr>
        <w:t>）应记录</w:t>
      </w:r>
      <w:r>
        <w:rPr>
          <w:rFonts w:hint="eastAsia"/>
          <w:highlight w:val="none"/>
          <w:lang w:eastAsia="zh-CN"/>
        </w:rPr>
        <w:t>电力开源物联版配电物联代理单元</w:t>
      </w:r>
      <w:r>
        <w:rPr>
          <w:highlight w:val="none"/>
        </w:rPr>
        <w:t>事件清零总次数，最近5次</w:t>
      </w:r>
      <w:r>
        <w:rPr>
          <w:rFonts w:hint="eastAsia"/>
          <w:highlight w:val="none"/>
          <w:lang w:eastAsia="zh-CN"/>
        </w:rPr>
        <w:t>电力开源物联版配电物联代理单元</w:t>
      </w:r>
      <w:r>
        <w:rPr>
          <w:highlight w:val="none"/>
        </w:rPr>
        <w:t>事件清零的发生时刻；</w:t>
      </w:r>
    </w:p>
    <w:p w14:paraId="6BF4EB70">
      <w:pPr>
        <w:ind w:firstLine="420"/>
        <w:rPr>
          <w:highlight w:val="none"/>
        </w:rPr>
      </w:pPr>
      <w:r>
        <w:rPr>
          <w:rFonts w:hint="eastAsia"/>
          <w:highlight w:val="none"/>
          <w:lang w:val="en-US" w:eastAsia="zh-CN"/>
        </w:rPr>
        <w:t>6</w:t>
      </w:r>
      <w:r>
        <w:rPr>
          <w:highlight w:val="none"/>
        </w:rPr>
        <w:t>）应记录</w:t>
      </w:r>
      <w:r>
        <w:rPr>
          <w:rFonts w:hint="eastAsia"/>
          <w:highlight w:val="none"/>
          <w:lang w:eastAsia="zh-CN"/>
        </w:rPr>
        <w:t>电力开源物联版配电物联代理单元</w:t>
      </w:r>
      <w:r>
        <w:rPr>
          <w:highlight w:val="none"/>
        </w:rPr>
        <w:t>的软件在线升级总次数以及最近5次升级前、升级后版本信息；</w:t>
      </w:r>
    </w:p>
    <w:p w14:paraId="555071A7">
      <w:pPr>
        <w:ind w:firstLine="420"/>
        <w:rPr>
          <w:highlight w:val="none"/>
        </w:rPr>
      </w:pPr>
      <w:r>
        <w:rPr>
          <w:rFonts w:hint="eastAsia"/>
          <w:highlight w:val="none"/>
          <w:lang w:val="en-US" w:eastAsia="zh-CN"/>
        </w:rPr>
        <w:t>7</w:t>
      </w:r>
      <w:r>
        <w:rPr>
          <w:highlight w:val="none"/>
        </w:rPr>
        <w:t>）应记录</w:t>
      </w:r>
      <w:r>
        <w:rPr>
          <w:rFonts w:hint="eastAsia"/>
          <w:highlight w:val="none"/>
          <w:lang w:eastAsia="zh-CN"/>
        </w:rPr>
        <w:t>电力开源物联版配电物联代理单元</w:t>
      </w:r>
      <w:r>
        <w:rPr>
          <w:highlight w:val="none"/>
        </w:rPr>
        <w:t>的校时总次数以及最近5次校时前后的时刻；</w:t>
      </w:r>
    </w:p>
    <w:p w14:paraId="6BB8B74C">
      <w:pPr>
        <w:pStyle w:val="4"/>
      </w:pPr>
      <w:bookmarkStart w:id="309" w:name="_Toc31056"/>
      <w:bookmarkStart w:id="310" w:name="_Toc31577"/>
      <w:bookmarkStart w:id="311" w:name="_Toc21329"/>
      <w:bookmarkStart w:id="312" w:name="_Toc12452"/>
      <w:bookmarkStart w:id="313" w:name="_Toc14800"/>
      <w:bookmarkStart w:id="314" w:name="_Toc6812"/>
      <w:r>
        <w:t>参数设置和查询</w:t>
      </w:r>
      <w:bookmarkEnd w:id="309"/>
      <w:bookmarkEnd w:id="310"/>
      <w:bookmarkEnd w:id="311"/>
      <w:bookmarkEnd w:id="312"/>
      <w:bookmarkEnd w:id="313"/>
      <w:bookmarkEnd w:id="314"/>
    </w:p>
    <w:p w14:paraId="36B07722">
      <w:pPr>
        <w:pStyle w:val="11"/>
        <w:numPr>
          <w:ilvl w:val="0"/>
          <w:numId w:val="26"/>
        </w:numPr>
      </w:pPr>
      <w:r>
        <w:t>时钟召测和对时</w:t>
      </w:r>
    </w:p>
    <w:p w14:paraId="5314104C">
      <w:pPr>
        <w:ind w:firstLine="420"/>
      </w:pPr>
      <w:r>
        <w:rPr>
          <w:rFonts w:hint="eastAsia"/>
          <w:lang w:eastAsia="zh-CN"/>
        </w:rPr>
        <w:t>电力开源物联版配电物联代理单元</w:t>
      </w:r>
      <w:r>
        <w:t>应有计时功能，日计时误差绝对值≤</w:t>
      </w:r>
      <w:r>
        <w:rPr>
          <w:rFonts w:hint="eastAsia"/>
        </w:rPr>
        <w:t>1.5</w:t>
      </w:r>
      <w:r>
        <w:t>s/d，</w:t>
      </w:r>
      <w:r>
        <w:rPr>
          <w:rFonts w:hint="eastAsia"/>
          <w:lang w:eastAsia="zh-CN"/>
        </w:rPr>
        <w:t>电力开源物联版配电物联代理单元</w:t>
      </w:r>
      <w:r>
        <w:t>可接收主站、智能台区终端或本地手持设备的时钟召测和对时命令，可通过蓝牙、</w:t>
      </w:r>
      <w:r>
        <w:rPr>
          <w:rFonts w:hint="eastAsia"/>
        </w:rPr>
        <w:t>载波</w:t>
      </w:r>
      <w:r>
        <w:t>等通信接口对</w:t>
      </w:r>
      <w:r>
        <w:rPr>
          <w:rFonts w:hint="eastAsia"/>
          <w:lang w:eastAsia="zh-CN"/>
        </w:rPr>
        <w:t>电力开源物联版配电物联代理单元</w:t>
      </w:r>
      <w:r>
        <w:t>校时，</w:t>
      </w:r>
      <w:r>
        <w:rPr>
          <w:rFonts w:hint="eastAsia"/>
          <w:lang w:eastAsia="zh-CN"/>
        </w:rPr>
        <w:t>电力开源物联版配电物联代理单元</w:t>
      </w:r>
      <w:r>
        <w:t>可接收广播校时命令。</w:t>
      </w:r>
    </w:p>
    <w:p w14:paraId="10208635">
      <w:pPr>
        <w:numPr>
          <w:ilvl w:val="0"/>
          <w:numId w:val="26"/>
        </w:numPr>
        <w:ind w:firstLine="0" w:firstLineChars="0"/>
        <w:rPr>
          <w:highlight w:val="none"/>
        </w:rPr>
      </w:pPr>
      <w:r>
        <w:rPr>
          <w:highlight w:val="none"/>
        </w:rPr>
        <w:t>终端参数设置</w:t>
      </w:r>
    </w:p>
    <w:p w14:paraId="6AB643B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ascii="Times New Roman" w:hAnsi="Times New Roman" w:eastAsia="宋体" w:cs="Times New Roman"/>
          <w:highlight w:val="none"/>
        </w:rPr>
      </w:pPr>
      <w:r>
        <w:rPr>
          <w:highlight w:val="none"/>
        </w:rPr>
        <w:t>主站远程或手持设备本地可设置和查询</w:t>
      </w:r>
      <w:r>
        <w:rPr>
          <w:rFonts w:ascii="Times New Roman" w:hAnsi="Times New Roman" w:eastAsia="宋体" w:cs="Times New Roman"/>
          <w:highlight w:val="none"/>
        </w:rPr>
        <w:t>光伏开关、光伏逆变器、充电桩等设备的</w:t>
      </w:r>
      <w:r>
        <w:rPr>
          <w:rFonts w:hint="eastAsia" w:cs="Times New Roman"/>
          <w:highlight w:val="none"/>
          <w:lang w:val="en-US" w:eastAsia="zh-CN"/>
        </w:rPr>
        <w:t>定值参数</w:t>
      </w:r>
      <w:r>
        <w:rPr>
          <w:rFonts w:ascii="Times New Roman" w:hAnsi="Times New Roman" w:eastAsia="宋体" w:cs="Times New Roman"/>
          <w:highlight w:val="none"/>
        </w:rPr>
        <w:t>等；</w:t>
      </w:r>
    </w:p>
    <w:p w14:paraId="2F4FFD79">
      <w:pPr>
        <w:pStyle w:val="4"/>
      </w:pPr>
      <w:bookmarkStart w:id="315" w:name="_Toc11246"/>
      <w:bookmarkStart w:id="316" w:name="_Toc24464"/>
      <w:bookmarkStart w:id="317" w:name="_Toc1042"/>
      <w:bookmarkStart w:id="318" w:name="_Toc6476"/>
      <w:bookmarkStart w:id="319" w:name="_Toc13561"/>
      <w:bookmarkStart w:id="320" w:name="_Toc15631"/>
      <w:bookmarkStart w:id="321" w:name="_Toc6875"/>
      <w:r>
        <w:t>数据传输</w:t>
      </w:r>
      <w:bookmarkEnd w:id="315"/>
      <w:bookmarkEnd w:id="316"/>
      <w:bookmarkEnd w:id="317"/>
      <w:bookmarkEnd w:id="318"/>
      <w:bookmarkEnd w:id="319"/>
      <w:bookmarkEnd w:id="320"/>
      <w:bookmarkEnd w:id="321"/>
    </w:p>
    <w:p w14:paraId="118BD75A">
      <w:pPr>
        <w:pStyle w:val="11"/>
        <w:numPr>
          <w:ilvl w:val="0"/>
          <w:numId w:val="27"/>
        </w:numPr>
      </w:pPr>
      <w:r>
        <w:t>与智能台区终端通信</w:t>
      </w:r>
    </w:p>
    <w:p w14:paraId="2FDEFEE7">
      <w:pPr>
        <w:keepNext w:val="0"/>
        <w:keepLines w:val="0"/>
        <w:pageBreakBefore w:val="0"/>
        <w:widowControl w:val="0"/>
        <w:numPr>
          <w:ilvl w:val="0"/>
          <w:numId w:val="28"/>
        </w:numPr>
        <w:kinsoku/>
        <w:wordWrap/>
        <w:overflowPunct/>
        <w:topLinePunct w:val="0"/>
        <w:autoSpaceDE/>
        <w:autoSpaceDN/>
        <w:bidi w:val="0"/>
        <w:adjustRightInd/>
        <w:snapToGrid/>
        <w:ind w:left="845" w:firstLine="0" w:firstLineChars="0"/>
        <w:textAlignment w:val="auto"/>
        <w:rPr>
          <w:rFonts w:hint="eastAsia" w:ascii="Times New Roman" w:hAnsi="Times New Roman" w:eastAsia="宋体" w:cs="Times New Roman"/>
        </w:rPr>
      </w:pPr>
      <w:r>
        <w:rPr>
          <w:rFonts w:hint="eastAsia" w:ascii="Times New Roman" w:hAnsi="Times New Roman" w:eastAsia="宋体" w:cs="Times New Roman"/>
        </w:rPr>
        <w:t>智能台区终端可通过数据传输信道对</w:t>
      </w:r>
      <w:r>
        <w:rPr>
          <w:rFonts w:hint="eastAsia" w:cs="Times New Roman"/>
          <w:lang w:eastAsia="zh-CN"/>
        </w:rPr>
        <w:t>电力开源物联版配电物联代理单元</w:t>
      </w:r>
      <w:r>
        <w:rPr>
          <w:rFonts w:hint="eastAsia" w:ascii="Times New Roman" w:hAnsi="Times New Roman" w:eastAsia="宋体" w:cs="Times New Roman"/>
        </w:rPr>
        <w:t>设置参数、抄读数据、下发控制命令；</w:t>
      </w:r>
    </w:p>
    <w:p w14:paraId="2911D548">
      <w:pPr>
        <w:keepNext w:val="0"/>
        <w:keepLines w:val="0"/>
        <w:pageBreakBefore w:val="0"/>
        <w:widowControl w:val="0"/>
        <w:numPr>
          <w:ilvl w:val="0"/>
          <w:numId w:val="28"/>
        </w:numPr>
        <w:kinsoku/>
        <w:wordWrap/>
        <w:overflowPunct/>
        <w:topLinePunct w:val="0"/>
        <w:autoSpaceDE/>
        <w:autoSpaceDN/>
        <w:bidi w:val="0"/>
        <w:adjustRightInd/>
        <w:snapToGrid/>
        <w:ind w:left="845" w:firstLine="0" w:firstLineChars="0"/>
        <w:textAlignment w:val="auto"/>
        <w:rPr>
          <w:rFonts w:hint="eastAsia" w:ascii="Times New Roman" w:hAnsi="Times New Roman" w:eastAsia="宋体" w:cs="Times New Roman"/>
        </w:rPr>
      </w:pPr>
      <w:r>
        <w:rPr>
          <w:rFonts w:hint="eastAsia" w:cs="Times New Roman"/>
          <w:lang w:eastAsia="zh-CN"/>
        </w:rPr>
        <w:t>电力开源物联版配电物联代理单元</w:t>
      </w:r>
      <w:r>
        <w:rPr>
          <w:rFonts w:hint="eastAsia" w:ascii="Times New Roman" w:hAnsi="Times New Roman" w:eastAsia="宋体" w:cs="Times New Roman"/>
        </w:rPr>
        <w:t>支持主动上报相关信息到智能台区终端。</w:t>
      </w:r>
    </w:p>
    <w:p w14:paraId="7F6D504B">
      <w:pPr>
        <w:numPr>
          <w:ilvl w:val="0"/>
          <w:numId w:val="27"/>
        </w:numPr>
        <w:ind w:firstLine="0" w:firstLineChars="0"/>
        <w:rPr>
          <w:color w:val="auto"/>
          <w:highlight w:val="none"/>
        </w:rPr>
      </w:pPr>
      <w:r>
        <w:rPr>
          <w:color w:val="auto"/>
          <w:highlight w:val="none"/>
        </w:rPr>
        <w:t>与光伏开关通信</w:t>
      </w:r>
    </w:p>
    <w:p w14:paraId="0985753D">
      <w:pPr>
        <w:keepNext w:val="0"/>
        <w:keepLines w:val="0"/>
        <w:pageBreakBefore w:val="0"/>
        <w:widowControl w:val="0"/>
        <w:numPr>
          <w:ilvl w:val="0"/>
          <w:numId w:val="29"/>
        </w:numPr>
        <w:kinsoku/>
        <w:wordWrap/>
        <w:overflowPunct/>
        <w:topLinePunct w:val="0"/>
        <w:autoSpaceDE/>
        <w:autoSpaceDN/>
        <w:bidi w:val="0"/>
        <w:adjustRightInd/>
        <w:snapToGrid/>
        <w:ind w:left="845" w:firstLine="0" w:firstLineChars="0"/>
        <w:textAlignment w:val="auto"/>
        <w:rPr>
          <w:rFonts w:hint="eastAsia" w:ascii="Times New Roman" w:hAnsi="Times New Roman" w:eastAsia="宋体" w:cs="Times New Roman"/>
          <w:color w:val="auto"/>
          <w:highlight w:val="none"/>
        </w:rPr>
      </w:pPr>
      <w:r>
        <w:rPr>
          <w:rFonts w:hint="eastAsia" w:cs="Times New Roman"/>
          <w:color w:val="auto"/>
          <w:highlight w:val="none"/>
          <w:lang w:eastAsia="zh-CN"/>
        </w:rPr>
        <w:t>电力开源物联版配电物联代理单元</w:t>
      </w:r>
      <w:r>
        <w:rPr>
          <w:rFonts w:hint="eastAsia" w:ascii="Times New Roman" w:hAnsi="Times New Roman" w:eastAsia="宋体" w:cs="Times New Roman"/>
          <w:color w:val="auto"/>
          <w:highlight w:val="none"/>
        </w:rPr>
        <w:t>可通过RS-485、微功率无线等通信方式与光伏开关进行数据交互；</w:t>
      </w:r>
    </w:p>
    <w:p w14:paraId="2611A5AD">
      <w:pPr>
        <w:keepNext w:val="0"/>
        <w:keepLines w:val="0"/>
        <w:pageBreakBefore w:val="0"/>
        <w:widowControl w:val="0"/>
        <w:numPr>
          <w:ilvl w:val="0"/>
          <w:numId w:val="29"/>
        </w:numPr>
        <w:kinsoku/>
        <w:wordWrap/>
        <w:overflowPunct/>
        <w:topLinePunct w:val="0"/>
        <w:autoSpaceDE/>
        <w:autoSpaceDN/>
        <w:bidi w:val="0"/>
        <w:adjustRightInd/>
        <w:snapToGrid/>
        <w:ind w:left="845" w:firstLine="0" w:firstLineChars="0"/>
        <w:textAlignment w:val="auto"/>
        <w:rPr>
          <w:rFonts w:hint="eastAsia" w:ascii="Times New Roman" w:hAnsi="Times New Roman" w:eastAsia="宋体" w:cs="Times New Roman"/>
          <w:color w:val="auto"/>
          <w:highlight w:val="none"/>
        </w:rPr>
      </w:pPr>
      <w:r>
        <w:rPr>
          <w:rFonts w:hint="eastAsia" w:cs="Times New Roman"/>
          <w:color w:val="auto"/>
          <w:highlight w:val="none"/>
          <w:lang w:eastAsia="zh-CN"/>
        </w:rPr>
        <w:t>电力开源物联版配电物联代理单元</w:t>
      </w:r>
      <w:r>
        <w:rPr>
          <w:rFonts w:hint="eastAsia" w:ascii="Times New Roman" w:hAnsi="Times New Roman" w:eastAsia="宋体" w:cs="Times New Roman"/>
          <w:color w:val="auto"/>
          <w:highlight w:val="none"/>
        </w:rPr>
        <w:t>支持转发主站或智能台区终端与光伏开关的交互命令。</w:t>
      </w:r>
    </w:p>
    <w:p w14:paraId="3AB4D70F">
      <w:pPr>
        <w:numPr>
          <w:ilvl w:val="0"/>
          <w:numId w:val="27"/>
        </w:numPr>
        <w:ind w:firstLine="0" w:firstLineChars="0"/>
      </w:pPr>
      <w:r>
        <w:t>与光伏逆变器、充电桩通信</w:t>
      </w:r>
    </w:p>
    <w:p w14:paraId="668201C6">
      <w:pPr>
        <w:ind w:firstLine="420"/>
      </w:pPr>
      <w:r>
        <w:rPr>
          <w:rFonts w:hint="eastAsia"/>
          <w:lang w:eastAsia="zh-CN"/>
        </w:rPr>
        <w:t>电力开源物联版配电物联代理单元</w:t>
      </w:r>
      <w:r>
        <w:t>可通过RS-485、CAN</w:t>
      </w:r>
      <w:r>
        <w:rPr>
          <w:rFonts w:hint="eastAsia"/>
        </w:rPr>
        <w:t>、无线</w:t>
      </w:r>
      <w:r>
        <w:t>等通信方式与光伏逆变器、充电桩进行数据交互，可按需设置。</w:t>
      </w:r>
    </w:p>
    <w:p w14:paraId="35058F47">
      <w:pPr>
        <w:pStyle w:val="4"/>
      </w:pPr>
      <w:bookmarkStart w:id="322" w:name="_Toc25059"/>
      <w:bookmarkStart w:id="323" w:name="_Toc5206"/>
      <w:bookmarkStart w:id="324" w:name="_Toc9105"/>
      <w:bookmarkStart w:id="325" w:name="_Toc32168"/>
      <w:bookmarkStart w:id="326" w:name="_Toc13643"/>
      <w:bookmarkStart w:id="327" w:name="_Toc6228"/>
      <w:r>
        <w:t>控制要求</w:t>
      </w:r>
      <w:bookmarkEnd w:id="322"/>
      <w:bookmarkEnd w:id="323"/>
      <w:bookmarkEnd w:id="324"/>
      <w:bookmarkEnd w:id="325"/>
      <w:bookmarkEnd w:id="326"/>
      <w:bookmarkEnd w:id="327"/>
    </w:p>
    <w:p w14:paraId="6C6E968B">
      <w:pPr>
        <w:pStyle w:val="11"/>
        <w:numPr>
          <w:ilvl w:val="0"/>
          <w:numId w:val="30"/>
        </w:numPr>
        <w:rPr>
          <w:highlight w:val="none"/>
        </w:rPr>
      </w:pPr>
      <w:r>
        <w:rPr>
          <w:highlight w:val="none"/>
        </w:rPr>
        <w:t>远程控制</w:t>
      </w:r>
    </w:p>
    <w:p w14:paraId="544B79C8">
      <w:pPr>
        <w:ind w:firstLine="420"/>
        <w:rPr>
          <w:highlight w:val="none"/>
        </w:rPr>
      </w:pPr>
      <w:r>
        <w:rPr>
          <w:rFonts w:hint="eastAsia"/>
          <w:highlight w:val="none"/>
          <w:lang w:eastAsia="zh-CN"/>
        </w:rPr>
        <w:t>电力开源物联版配电物联代理单元</w:t>
      </w:r>
      <w:r>
        <w:rPr>
          <w:highlight w:val="none"/>
        </w:rPr>
        <w:t>应支持执行智能台区终端下发的控制指令。</w:t>
      </w:r>
    </w:p>
    <w:p w14:paraId="4DC4AE51">
      <w:pPr>
        <w:pStyle w:val="11"/>
        <w:numPr>
          <w:ilvl w:val="0"/>
          <w:numId w:val="30"/>
        </w:numPr>
        <w:rPr>
          <w:highlight w:val="none"/>
        </w:rPr>
      </w:pPr>
      <w:r>
        <w:rPr>
          <w:highlight w:val="none"/>
        </w:rPr>
        <w:t>本地控制</w:t>
      </w:r>
    </w:p>
    <w:p w14:paraId="5C627EA1">
      <w:pPr>
        <w:ind w:firstLine="420"/>
        <w:rPr>
          <w:highlight w:val="none"/>
        </w:rPr>
      </w:pPr>
      <w:r>
        <w:rPr>
          <w:rFonts w:hint="eastAsia"/>
          <w:highlight w:val="none"/>
          <w:lang w:eastAsia="zh-CN"/>
        </w:rPr>
        <w:t>电力开源物联版配电物联代理单元</w:t>
      </w:r>
      <w:r>
        <w:rPr>
          <w:highlight w:val="none"/>
        </w:rPr>
        <w:t>应根据超容阈值可设置，当监测到光伏发电功率超过超容阈值时，应控制光伏逆变器输出功率小于超容阈值。</w:t>
      </w:r>
    </w:p>
    <w:p w14:paraId="2597A917">
      <w:pPr>
        <w:pStyle w:val="11"/>
        <w:numPr>
          <w:ilvl w:val="0"/>
          <w:numId w:val="30"/>
        </w:numPr>
        <w:rPr>
          <w:highlight w:val="none"/>
        </w:rPr>
      </w:pPr>
      <w:r>
        <w:rPr>
          <w:highlight w:val="none"/>
        </w:rPr>
        <w:t>检修模式</w:t>
      </w:r>
    </w:p>
    <w:p w14:paraId="67198301">
      <w:pPr>
        <w:ind w:firstLine="420"/>
        <w:rPr>
          <w:highlight w:val="none"/>
        </w:rPr>
      </w:pPr>
      <w:r>
        <w:rPr>
          <w:rFonts w:hint="eastAsia"/>
          <w:highlight w:val="none"/>
          <w:lang w:eastAsia="zh-CN"/>
        </w:rPr>
        <w:t>电力开源物联版配电物联代理单元</w:t>
      </w:r>
      <w:r>
        <w:rPr>
          <w:highlight w:val="none"/>
        </w:rPr>
        <w:t>应支持运行和</w:t>
      </w:r>
      <w:r>
        <w:rPr>
          <w:rFonts w:hint="eastAsia"/>
          <w:highlight w:val="none"/>
        </w:rPr>
        <w:t>检修</w:t>
      </w:r>
      <w:r>
        <w:rPr>
          <w:highlight w:val="none"/>
        </w:rPr>
        <w:t>模式切换，当切换到检修模式时，可拒绝智能台区终端下发的控制指令，检修模式投入可设置延时时间自动切换或手动切换到运行模式，延时时间可设置30-480分钟，默认60分钟。</w:t>
      </w:r>
    </w:p>
    <w:p w14:paraId="08F25DDA">
      <w:pPr>
        <w:pStyle w:val="4"/>
      </w:pPr>
      <w:bookmarkStart w:id="328" w:name="_Toc15841"/>
      <w:bookmarkStart w:id="329" w:name="_Toc11186"/>
      <w:bookmarkStart w:id="330" w:name="_Toc11044"/>
      <w:bookmarkStart w:id="331" w:name="_Toc18017"/>
      <w:bookmarkStart w:id="332" w:name="_Toc6456"/>
      <w:bookmarkStart w:id="333" w:name="_Toc4259"/>
      <w:bookmarkStart w:id="334" w:name="_Toc19089"/>
      <w:r>
        <w:t>下行链路检测</w:t>
      </w:r>
      <w:bookmarkEnd w:id="328"/>
      <w:bookmarkEnd w:id="329"/>
      <w:bookmarkEnd w:id="330"/>
      <w:bookmarkEnd w:id="331"/>
      <w:bookmarkEnd w:id="332"/>
      <w:bookmarkEnd w:id="333"/>
      <w:bookmarkEnd w:id="334"/>
    </w:p>
    <w:p w14:paraId="1C32532C">
      <w:pPr>
        <w:ind w:firstLine="420"/>
        <w:rPr>
          <w:rFonts w:hint="default" w:eastAsia="宋体"/>
          <w:lang w:val="en-US" w:eastAsia="zh-CN"/>
        </w:rPr>
      </w:pPr>
      <w:r>
        <w:rPr>
          <w:rFonts w:hint="eastAsia"/>
          <w:lang w:eastAsia="zh-CN"/>
        </w:rPr>
        <w:t>电力开源物联版配电物联代理单元</w:t>
      </w:r>
      <w:r>
        <w:t>应具备对断路器和光伏逆变器的下行链路检测功能，通过定时抄读断路器、光伏逆变器等设备，判断下行链路是否通信正常。</w:t>
      </w:r>
    </w:p>
    <w:p w14:paraId="382B2E22">
      <w:pPr>
        <w:pStyle w:val="4"/>
      </w:pPr>
      <w:bookmarkStart w:id="335" w:name="_Toc6886"/>
      <w:bookmarkStart w:id="336" w:name="_Toc30733"/>
      <w:bookmarkStart w:id="337" w:name="_Toc14693"/>
      <w:bookmarkStart w:id="338" w:name="_Toc19415"/>
      <w:bookmarkStart w:id="339" w:name="_Toc15032"/>
      <w:bookmarkStart w:id="340" w:name="_Toc14473"/>
      <w:bookmarkStart w:id="341" w:name="_Toc32675"/>
      <w:r>
        <w:rPr>
          <w:rFonts w:hint="eastAsia"/>
        </w:rPr>
        <w:t>自适应</w:t>
      </w:r>
      <w:r>
        <w:t>协议转换</w:t>
      </w:r>
      <w:bookmarkEnd w:id="335"/>
      <w:bookmarkEnd w:id="336"/>
      <w:bookmarkEnd w:id="337"/>
      <w:bookmarkEnd w:id="338"/>
      <w:bookmarkEnd w:id="339"/>
      <w:bookmarkEnd w:id="340"/>
      <w:bookmarkEnd w:id="341"/>
    </w:p>
    <w:p w14:paraId="461FC6D5">
      <w:pPr>
        <w:ind w:firstLine="420"/>
      </w:pPr>
      <w:r>
        <w:rPr>
          <w:rFonts w:hint="eastAsia"/>
          <w:lang w:eastAsia="zh-CN"/>
        </w:rPr>
        <w:t>电力开源物联版配电物联代理单元</w:t>
      </w:r>
      <w:r>
        <w:t>应支持与光伏逆变器</w:t>
      </w:r>
      <w:r>
        <w:rPr>
          <w:rFonts w:hint="eastAsia"/>
        </w:rPr>
        <w:t>、充电桩</w:t>
      </w:r>
      <w:r>
        <w:t>的通信协议自适应转换，支持透传转出或标准模型转出。</w:t>
      </w:r>
    </w:p>
    <w:p w14:paraId="676C7F03">
      <w:pPr>
        <w:ind w:firstLine="420"/>
      </w:pPr>
      <w:r>
        <w:rPr>
          <w:rFonts w:hint="eastAsia"/>
        </w:rPr>
        <w:t>配电无线代理单元上行与通信主站通信应支持DL/T645协议</w:t>
      </w:r>
      <w:r>
        <w:rPr>
          <w:rFonts w:hint="eastAsia"/>
          <w:lang w:val="en-US" w:eastAsia="zh-CN"/>
        </w:rPr>
        <w:t>及其扩展</w:t>
      </w:r>
      <w:r>
        <w:rPr>
          <w:rFonts w:hint="eastAsia"/>
        </w:rPr>
        <w:t>；下行与光伏逆变器、充电桩等设备通信应支持Modbus、GB/T27930等协议。</w:t>
      </w:r>
    </w:p>
    <w:p w14:paraId="0267EFAA">
      <w:pPr>
        <w:pStyle w:val="4"/>
      </w:pPr>
      <w:bookmarkStart w:id="342" w:name="_Toc24586"/>
      <w:bookmarkStart w:id="343" w:name="_Toc333"/>
      <w:bookmarkStart w:id="344" w:name="_Toc4056"/>
      <w:bookmarkStart w:id="345" w:name="_Toc5082"/>
      <w:bookmarkStart w:id="346" w:name="_Toc14676"/>
      <w:bookmarkStart w:id="347" w:name="_Toc23024"/>
      <w:bookmarkStart w:id="348" w:name="_Toc23668"/>
      <w:r>
        <w:t>远程初始化</w:t>
      </w:r>
      <w:bookmarkEnd w:id="342"/>
      <w:bookmarkEnd w:id="343"/>
      <w:bookmarkEnd w:id="344"/>
      <w:bookmarkEnd w:id="345"/>
      <w:bookmarkEnd w:id="346"/>
      <w:bookmarkEnd w:id="347"/>
      <w:bookmarkEnd w:id="348"/>
    </w:p>
    <w:p w14:paraId="076B81F8">
      <w:pPr>
        <w:ind w:firstLine="420"/>
      </w:pPr>
      <w:r>
        <w:rPr>
          <w:rFonts w:hint="eastAsia"/>
          <w:lang w:eastAsia="zh-CN"/>
        </w:rPr>
        <w:t>电力开源物联版配电物联代理单元</w:t>
      </w:r>
      <w:r>
        <w:t>接收到初始化命令，经安全校验后分别对硬件、参数区、数据区进行初始化，参数区置为缺省值，数据区清零，初始化操作应作为事件永久记录，应有防止非授权人员操作的安全措施。</w:t>
      </w:r>
    </w:p>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54243E21">
      <w:pPr>
        <w:pStyle w:val="4"/>
      </w:pPr>
      <w:bookmarkStart w:id="349" w:name="_Toc6791"/>
      <w:bookmarkStart w:id="350" w:name="_Toc9033"/>
      <w:bookmarkStart w:id="351" w:name="_Toc1607"/>
      <w:bookmarkStart w:id="352" w:name="_Toc21893"/>
      <w:bookmarkStart w:id="353" w:name="_Toc17758"/>
      <w:r>
        <w:rPr>
          <w:rFonts w:hint="eastAsia"/>
        </w:rPr>
        <w:t>光伏调节功能</w:t>
      </w:r>
      <w:bookmarkEnd w:id="349"/>
      <w:bookmarkEnd w:id="350"/>
      <w:bookmarkEnd w:id="351"/>
      <w:bookmarkEnd w:id="352"/>
      <w:bookmarkEnd w:id="353"/>
    </w:p>
    <w:p w14:paraId="7F9AD6C9">
      <w:pPr>
        <w:ind w:firstLine="420"/>
      </w:pPr>
      <w:r>
        <w:rPr>
          <w:rFonts w:hint="eastAsia"/>
          <w:lang w:eastAsia="zh-CN"/>
        </w:rPr>
        <w:t>电力开源物联版配电物联代理单元</w:t>
      </w:r>
      <w:r>
        <w:rPr>
          <w:rFonts w:hint="eastAsia"/>
        </w:rPr>
        <w:t>应支持以下柔性调节方式：</w:t>
      </w:r>
    </w:p>
    <w:p w14:paraId="2E461E27">
      <w:pPr>
        <w:pStyle w:val="112"/>
        <w:numPr>
          <w:ilvl w:val="0"/>
          <w:numId w:val="31"/>
        </w:numPr>
        <w:spacing w:line="360" w:lineRule="auto"/>
      </w:pPr>
      <w:r>
        <w:rPr>
          <w:rFonts w:hint="eastAsia"/>
        </w:rPr>
        <w:t>数值控：主站、台区终端终端下发光伏逆变器输出功率（有功功率、无功功率、功率因数）数值控制指令，</w:t>
      </w:r>
      <w:r>
        <w:rPr>
          <w:rFonts w:hint="eastAsia"/>
          <w:lang w:eastAsia="zh-CN"/>
        </w:rPr>
        <w:t>电力开源物联版配电物联代理单元</w:t>
      </w:r>
      <w:r>
        <w:rPr>
          <w:rFonts w:hint="eastAsia"/>
        </w:rPr>
        <w:t>接收后按数值下发控制命令，控制光伏逆变器出力；</w:t>
      </w:r>
    </w:p>
    <w:p w14:paraId="17BC066B">
      <w:pPr>
        <w:pStyle w:val="112"/>
        <w:numPr>
          <w:ilvl w:val="0"/>
          <w:numId w:val="31"/>
        </w:numPr>
        <w:spacing w:line="360" w:lineRule="auto"/>
      </w:pPr>
      <w:r>
        <w:rPr>
          <w:rFonts w:hint="eastAsia"/>
        </w:rPr>
        <w:t>比例控：主站、台区终端终端下发光伏逆变器额定功率（有功功率、无功功率）百分比控制指令，</w:t>
      </w:r>
      <w:r>
        <w:rPr>
          <w:rFonts w:hint="eastAsia"/>
          <w:lang w:eastAsia="zh-CN"/>
        </w:rPr>
        <w:t>电力开源物联版配电物联代理单元</w:t>
      </w:r>
      <w:r>
        <w:rPr>
          <w:rFonts w:hint="eastAsia"/>
        </w:rPr>
        <w:t>接收后按额定功率百分比下发控制命令，控制光伏逆变器出力；</w:t>
      </w:r>
    </w:p>
    <w:p w14:paraId="742EC765">
      <w:pPr>
        <w:pStyle w:val="112"/>
        <w:numPr>
          <w:ilvl w:val="0"/>
          <w:numId w:val="31"/>
        </w:numPr>
        <w:spacing w:line="360" w:lineRule="auto"/>
      </w:pPr>
      <w:r>
        <w:rPr>
          <w:rFonts w:hint="eastAsia"/>
        </w:rPr>
        <w:t>时段控：主站、台区终端终端下发包含时间值和调控值（调控值支持数值或百分比）的调控时段表，</w:t>
      </w:r>
      <w:r>
        <w:rPr>
          <w:rFonts w:hint="eastAsia"/>
          <w:lang w:eastAsia="zh-CN"/>
        </w:rPr>
        <w:t>电力开源物联版配电物联代理单元</w:t>
      </w:r>
      <w:r>
        <w:rPr>
          <w:rFonts w:hint="eastAsia"/>
        </w:rPr>
        <w:t>接收存储后按时间要求执行控制指令，并在控制结束后自动恢复。</w:t>
      </w:r>
    </w:p>
    <w:p w14:paraId="01DDEBB0">
      <w:pPr>
        <w:pStyle w:val="112"/>
        <w:numPr>
          <w:ilvl w:val="0"/>
          <w:numId w:val="31"/>
        </w:numPr>
        <w:spacing w:line="360" w:lineRule="auto"/>
      </w:pPr>
      <w:r>
        <w:rPr>
          <w:rFonts w:hint="eastAsia"/>
        </w:rPr>
        <w:t>广播调节：主站、台区终端以广播或多播的方式下发调节指令，</w:t>
      </w:r>
      <w:r>
        <w:rPr>
          <w:rFonts w:hint="eastAsia"/>
          <w:lang w:eastAsia="zh-CN"/>
        </w:rPr>
        <w:t>电力开源物联版配电物联代理单元</w:t>
      </w:r>
      <w:r>
        <w:rPr>
          <w:rFonts w:hint="eastAsia"/>
        </w:rPr>
        <w:t>接收后按照指令的调节方式下发控制命令，控制光伏逆变器出力。</w:t>
      </w:r>
    </w:p>
    <w:p w14:paraId="4E3FAD07">
      <w:pPr>
        <w:pStyle w:val="4"/>
      </w:pPr>
      <w:bookmarkStart w:id="354" w:name="_Toc27244"/>
      <w:bookmarkStart w:id="355" w:name="_Toc25545"/>
      <w:bookmarkStart w:id="356" w:name="_Toc6176"/>
      <w:bookmarkStart w:id="357" w:name="_Toc21847"/>
      <w:bookmarkStart w:id="358" w:name="_Toc12898"/>
      <w:r>
        <w:rPr>
          <w:rFonts w:hint="eastAsia"/>
        </w:rPr>
        <w:t>充电桩调节功能</w:t>
      </w:r>
      <w:bookmarkEnd w:id="354"/>
      <w:bookmarkEnd w:id="355"/>
      <w:bookmarkEnd w:id="356"/>
      <w:bookmarkEnd w:id="357"/>
      <w:bookmarkEnd w:id="358"/>
    </w:p>
    <w:p w14:paraId="03841B15">
      <w:pPr>
        <w:pStyle w:val="112"/>
        <w:numPr>
          <w:ilvl w:val="0"/>
          <w:numId w:val="32"/>
        </w:numPr>
        <w:spacing w:line="360" w:lineRule="auto"/>
      </w:pPr>
      <w:r>
        <w:rPr>
          <w:rFonts w:hint="eastAsia"/>
          <w:lang w:val="en-US" w:eastAsia="zh-CN"/>
        </w:rPr>
        <w:t>电力开源物联版配电物联代理单元和台区终端</w:t>
      </w:r>
      <w:r>
        <w:rPr>
          <w:rFonts w:hint="eastAsia"/>
        </w:rPr>
        <w:t>实时监测台区变压器的负载率、光伏发电功率，当台区总负载接近或超过限定值时，主站、台区终端终端</w:t>
      </w:r>
      <w:r>
        <w:rPr>
          <w:rFonts w:hint="eastAsia"/>
          <w:lang w:val="en-US" w:eastAsia="zh-CN"/>
        </w:rPr>
        <w:t>下发指令，</w:t>
      </w:r>
      <w:r>
        <w:rPr>
          <w:rFonts w:hint="eastAsia"/>
        </w:rPr>
        <w:t>自动调节辖区内接入的充电桩的充电功率，避免变压器过载。在光伏发电过剩时，则可优先引导电动汽车消纳绿电；</w:t>
      </w:r>
    </w:p>
    <w:p w14:paraId="4EF84688">
      <w:pPr>
        <w:pStyle w:val="112"/>
        <w:numPr>
          <w:ilvl w:val="0"/>
          <w:numId w:val="32"/>
        </w:numPr>
        <w:spacing w:line="360" w:lineRule="auto"/>
      </w:pPr>
      <w:r>
        <w:rPr>
          <w:rFonts w:hint="eastAsia"/>
        </w:rPr>
        <w:t>控制方式：主站、台区终端终端</w:t>
      </w:r>
      <w:r>
        <w:rPr>
          <w:rFonts w:hint="eastAsia"/>
          <w:lang w:val="en-US" w:eastAsia="zh-CN"/>
        </w:rPr>
        <w:t>通过代理单元，</w:t>
      </w:r>
      <w:r>
        <w:rPr>
          <w:rFonts w:hint="eastAsia"/>
        </w:rPr>
        <w:t>向充电桩发送最大允许充电功率值以及在极端情况下，发送开始/停止充电指令；</w:t>
      </w:r>
    </w:p>
    <w:p w14:paraId="07D1BC37">
      <w:pPr>
        <w:pStyle w:val="112"/>
        <w:numPr>
          <w:ilvl w:val="0"/>
          <w:numId w:val="32"/>
        </w:numPr>
        <w:spacing w:line="360" w:lineRule="auto"/>
      </w:pPr>
      <w:r>
        <w:rPr>
          <w:rFonts w:hint="eastAsia"/>
        </w:rPr>
        <w:t>实现避免因无序充电导致配变过载、烧毁，减少配网增容投资。</w:t>
      </w:r>
    </w:p>
    <w:bookmarkEnd w:id="235"/>
    <w:bookmarkEnd w:id="236"/>
    <w:bookmarkEnd w:id="237"/>
    <w:bookmarkEnd w:id="238"/>
    <w:p w14:paraId="57B0AE2D">
      <w:pPr>
        <w:pStyle w:val="2"/>
      </w:pPr>
      <w:bookmarkStart w:id="359" w:name="_Toc2844"/>
      <w:bookmarkStart w:id="360" w:name="_Toc6197"/>
      <w:bookmarkStart w:id="361" w:name="_Toc12676"/>
      <w:bookmarkStart w:id="362" w:name="_Toc90022989"/>
      <w:bookmarkStart w:id="363" w:name="_Toc2095"/>
      <w:bookmarkStart w:id="364" w:name="_Toc3704"/>
      <w:bookmarkStart w:id="365" w:name="_Toc4099"/>
      <w:bookmarkStart w:id="366" w:name="_Toc23702"/>
      <w:bookmarkStart w:id="367" w:name="_Toc25773"/>
      <w:bookmarkStart w:id="368" w:name="_Toc17177"/>
      <w:bookmarkStart w:id="369" w:name="_Toc4381"/>
      <w:bookmarkStart w:id="370" w:name="_Toc8801"/>
      <w:bookmarkStart w:id="371" w:name="_Toc24638"/>
      <w:bookmarkStart w:id="372" w:name="_Toc19407"/>
      <w:bookmarkStart w:id="373" w:name="_Toc24919"/>
      <w:bookmarkStart w:id="374" w:name="_Toc25763"/>
      <w:bookmarkStart w:id="375" w:name="_Toc9772"/>
      <w:bookmarkStart w:id="376" w:name="_Toc30009"/>
      <w:bookmarkStart w:id="377" w:name="_Toc3500"/>
      <w:bookmarkStart w:id="378" w:name="_Toc21441"/>
      <w:bookmarkStart w:id="379" w:name="_Toc1900"/>
      <w:bookmarkStart w:id="380" w:name="_Toc20115"/>
      <w:bookmarkStart w:id="381" w:name="_Toc1733"/>
      <w:bookmarkStart w:id="382" w:name="_Toc19025"/>
      <w:bookmarkStart w:id="383" w:name="_Toc1470"/>
      <w:bookmarkStart w:id="384" w:name="_Toc90022994"/>
      <w:bookmarkStart w:id="385" w:name="_Toc2572"/>
      <w:bookmarkStart w:id="386" w:name="_Toc19701"/>
      <w:bookmarkStart w:id="387" w:name="_Toc31113"/>
      <w:bookmarkStart w:id="388" w:name="_Toc16594"/>
      <w:bookmarkStart w:id="389" w:name="_Toc9195"/>
      <w:bookmarkStart w:id="390" w:name="_Toc1948"/>
      <w:bookmarkStart w:id="391" w:name="_Toc26528"/>
      <w:bookmarkStart w:id="392" w:name="_Toc29757"/>
      <w:bookmarkStart w:id="393" w:name="_Toc22059"/>
      <w:bookmarkStart w:id="394" w:name="_Toc17318"/>
      <w:bookmarkStart w:id="395" w:name="_Toc17719"/>
      <w:bookmarkStart w:id="396" w:name="_Toc15954"/>
      <w:bookmarkStart w:id="397" w:name="_Toc27351"/>
      <w:bookmarkStart w:id="398" w:name="_Toc292025359"/>
      <w:bookmarkStart w:id="399" w:name="_Toc395186734"/>
      <w:bookmarkStart w:id="400" w:name="_Toc282993355"/>
      <w:r>
        <w:rPr>
          <w:rFonts w:hint="eastAsia"/>
        </w:rPr>
        <w:t>试验</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46FAFA1">
      <w:pPr>
        <w:snapToGrid w:val="0"/>
        <w:ind w:firstLine="420"/>
        <w:rPr>
          <w:rFonts w:hint="eastAsia" w:ascii="宋体" w:hAnsi="宋体"/>
          <w:szCs w:val="21"/>
        </w:rPr>
      </w:pPr>
      <w:r>
        <w:rPr>
          <w:rFonts w:ascii="宋体" w:hAnsi="宋体"/>
          <w:szCs w:val="21"/>
        </w:rPr>
        <w:t>试验</w:t>
      </w:r>
      <w:r>
        <w:rPr>
          <w:rFonts w:hint="eastAsia" w:ascii="宋体" w:hAnsi="宋体"/>
          <w:szCs w:val="21"/>
        </w:rPr>
        <w:t>分为全性能试验/型式试验、出厂试验、</w:t>
      </w:r>
      <w:r>
        <w:rPr>
          <w:rFonts w:hint="eastAsia"/>
          <w:szCs w:val="21"/>
        </w:rPr>
        <w:t>交接试验、</w:t>
      </w:r>
      <w:r>
        <w:rPr>
          <w:rFonts w:hint="eastAsia" w:ascii="宋体" w:hAnsi="宋体"/>
          <w:szCs w:val="21"/>
        </w:rPr>
        <w:t>送样检测、专项抽检和到货抽检。</w:t>
      </w:r>
    </w:p>
    <w:p w14:paraId="6BB17845">
      <w:pPr>
        <w:keepNext/>
        <w:snapToGrid w:val="0"/>
        <w:ind w:firstLine="420"/>
        <w:jc w:val="center"/>
        <w:rPr>
          <w:rFonts w:hint="eastAsia" w:ascii="宋体" w:hAnsi="宋体"/>
          <w:szCs w:val="21"/>
        </w:rPr>
      </w:pPr>
      <w:r>
        <w:rPr>
          <w:rFonts w:ascii="宋体" w:hAnsi="宋体"/>
          <w:snapToGrid w:val="0"/>
          <w:kern w:val="0"/>
          <w:szCs w:val="21"/>
        </w:rPr>
        <w:t>表</w:t>
      </w:r>
      <w:r>
        <w:rPr>
          <w:rFonts w:hint="eastAsia" w:ascii="宋体" w:hAnsi="宋体"/>
          <w:snapToGrid w:val="0"/>
          <w:kern w:val="0"/>
          <w:szCs w:val="21"/>
        </w:rPr>
        <w:t>7</w:t>
      </w:r>
      <w:r>
        <w:rPr>
          <w:rFonts w:ascii="宋体" w:hAnsi="宋体"/>
          <w:snapToGrid w:val="0"/>
          <w:kern w:val="0"/>
          <w:szCs w:val="21"/>
        </w:rPr>
        <w:t>-</w:t>
      </w:r>
      <w:r>
        <w:rPr>
          <w:rFonts w:hint="eastAsia" w:ascii="宋体" w:hAnsi="宋体"/>
          <w:snapToGrid w:val="0"/>
          <w:kern w:val="0"/>
          <w:szCs w:val="21"/>
        </w:rPr>
        <w:t>1</w:t>
      </w:r>
      <w:r>
        <w:rPr>
          <w:rFonts w:hint="eastAsia" w:ascii="宋体" w:hAnsi="宋体"/>
          <w:snapToGrid w:val="0"/>
          <w:kern w:val="0"/>
          <w:szCs w:val="21"/>
          <w:lang w:eastAsia="zh-CN"/>
        </w:rPr>
        <w:t>电力开源物联版配电物联代理单元</w:t>
      </w:r>
      <w:r>
        <w:rPr>
          <w:rFonts w:ascii="宋体" w:hAnsi="宋体"/>
          <w:snapToGrid w:val="0"/>
          <w:kern w:val="0"/>
          <w:szCs w:val="21"/>
        </w:rPr>
        <w:t>试验项目</w:t>
      </w:r>
    </w:p>
    <w:tbl>
      <w:tblPr>
        <w:tblStyle w:val="33"/>
        <w:tblW w:w="4998" w:type="pct"/>
        <w:tblInd w:w="0" w:type="dxa"/>
        <w:tblLayout w:type="autofit"/>
        <w:tblCellMar>
          <w:top w:w="0" w:type="dxa"/>
          <w:left w:w="108" w:type="dxa"/>
          <w:bottom w:w="0" w:type="dxa"/>
          <w:right w:w="108" w:type="dxa"/>
        </w:tblCellMar>
      </w:tblPr>
      <w:tblGrid>
        <w:gridCol w:w="928"/>
        <w:gridCol w:w="2094"/>
        <w:gridCol w:w="1033"/>
        <w:gridCol w:w="928"/>
        <w:gridCol w:w="928"/>
        <w:gridCol w:w="1051"/>
        <w:gridCol w:w="1069"/>
        <w:gridCol w:w="960"/>
        <w:gridCol w:w="41"/>
      </w:tblGrid>
      <w:tr w14:paraId="7449469E">
        <w:tblPrEx>
          <w:tblCellMar>
            <w:top w:w="0" w:type="dxa"/>
            <w:left w:w="108" w:type="dxa"/>
            <w:bottom w:w="0" w:type="dxa"/>
            <w:right w:w="108" w:type="dxa"/>
          </w:tblCellMar>
        </w:tblPrEx>
        <w:trPr>
          <w:trHeight w:val="288" w:hRule="atLeast"/>
        </w:trPr>
        <w:tc>
          <w:tcPr>
            <w:tcW w:w="514" w:type="pct"/>
            <w:vMerge w:val="restart"/>
            <w:tcBorders>
              <w:top w:val="single" w:color="000000" w:sz="4" w:space="0"/>
              <w:left w:val="single" w:color="000000" w:sz="4" w:space="0"/>
              <w:bottom w:val="single" w:color="000000" w:sz="4" w:space="0"/>
              <w:right w:val="single" w:color="000000" w:sz="4" w:space="0"/>
            </w:tcBorders>
            <w:vAlign w:val="center"/>
          </w:tcPr>
          <w:p w14:paraId="125FE588">
            <w:pPr>
              <w:widowControl/>
              <w:ind w:firstLine="0" w:firstLineChars="0"/>
              <w:jc w:val="both"/>
              <w:textAlignment w:val="center"/>
              <w:rPr>
                <w:rFonts w:hint="eastAsia" w:ascii="宋体" w:hAnsi="宋体" w:cs="宋体"/>
                <w:color w:val="000000"/>
                <w:szCs w:val="21"/>
              </w:rPr>
            </w:pPr>
            <w:r>
              <w:rPr>
                <w:rStyle w:val="107"/>
                <w:rFonts w:hint="default"/>
                <w:lang w:bidi="ar"/>
              </w:rPr>
              <w:t>序号</w:t>
            </w:r>
          </w:p>
        </w:tc>
        <w:tc>
          <w:tcPr>
            <w:tcW w:w="1159" w:type="pct"/>
            <w:vMerge w:val="restart"/>
            <w:tcBorders>
              <w:top w:val="single" w:color="000000" w:sz="4" w:space="0"/>
              <w:left w:val="single" w:color="000000" w:sz="4" w:space="0"/>
              <w:bottom w:val="single" w:color="000000" w:sz="4" w:space="0"/>
              <w:right w:val="single" w:color="000000" w:sz="4" w:space="0"/>
            </w:tcBorders>
            <w:vAlign w:val="center"/>
          </w:tcPr>
          <w:p w14:paraId="03F54CA1">
            <w:pPr>
              <w:widowControl/>
              <w:ind w:firstLine="0" w:firstLineChars="0"/>
              <w:jc w:val="center"/>
              <w:textAlignment w:val="center"/>
              <w:rPr>
                <w:rFonts w:hint="eastAsia" w:ascii="宋体" w:hAnsi="宋体" w:cs="宋体"/>
                <w:color w:val="000000"/>
                <w:szCs w:val="21"/>
              </w:rPr>
            </w:pPr>
            <w:r>
              <w:rPr>
                <w:rStyle w:val="107"/>
                <w:rFonts w:hint="default"/>
                <w:lang w:bidi="ar"/>
              </w:rPr>
              <w:t>检验项目</w:t>
            </w:r>
          </w:p>
        </w:tc>
        <w:tc>
          <w:tcPr>
            <w:tcW w:w="3326" w:type="pct"/>
            <w:gridSpan w:val="7"/>
            <w:tcBorders>
              <w:top w:val="single" w:color="000000" w:sz="4" w:space="0"/>
              <w:left w:val="single" w:color="000000" w:sz="4" w:space="0"/>
              <w:bottom w:val="single" w:color="000000" w:sz="4" w:space="0"/>
              <w:right w:val="single" w:color="000000" w:sz="4" w:space="0"/>
            </w:tcBorders>
            <w:vAlign w:val="center"/>
          </w:tcPr>
          <w:p w14:paraId="74897522">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kern w:val="0"/>
                <w:szCs w:val="21"/>
                <w:lang w:bidi="ar"/>
              </w:rPr>
              <w:t>检验分类</w:t>
            </w:r>
          </w:p>
        </w:tc>
      </w:tr>
      <w:tr w14:paraId="0117F01D">
        <w:tblPrEx>
          <w:tblCellMar>
            <w:top w:w="0" w:type="dxa"/>
            <w:left w:w="108" w:type="dxa"/>
            <w:bottom w:w="0" w:type="dxa"/>
            <w:right w:w="108" w:type="dxa"/>
          </w:tblCellMar>
        </w:tblPrEx>
        <w:trPr>
          <w:gridAfter w:val="1"/>
          <w:wAfter w:w="19" w:type="pct"/>
          <w:trHeight w:val="556" w:hRule="atLeast"/>
        </w:trPr>
        <w:tc>
          <w:tcPr>
            <w:tcW w:w="514" w:type="pct"/>
            <w:vMerge w:val="continue"/>
            <w:tcBorders>
              <w:top w:val="single" w:color="000000" w:sz="4" w:space="0"/>
              <w:left w:val="single" w:color="000000" w:sz="4" w:space="0"/>
              <w:bottom w:val="single" w:color="000000" w:sz="4" w:space="0"/>
              <w:right w:val="single" w:color="000000" w:sz="4" w:space="0"/>
            </w:tcBorders>
            <w:vAlign w:val="center"/>
          </w:tcPr>
          <w:p w14:paraId="62AA5B56">
            <w:pPr>
              <w:ind w:firstLine="420"/>
              <w:jc w:val="both"/>
              <w:rPr>
                <w:rFonts w:hint="eastAsia" w:ascii="宋体" w:hAnsi="宋体" w:cs="宋体"/>
                <w:color w:val="000000"/>
                <w:szCs w:val="21"/>
              </w:rPr>
            </w:pPr>
          </w:p>
        </w:tc>
        <w:tc>
          <w:tcPr>
            <w:tcW w:w="1159" w:type="pct"/>
            <w:vMerge w:val="continue"/>
            <w:tcBorders>
              <w:top w:val="single" w:color="000000" w:sz="4" w:space="0"/>
              <w:left w:val="single" w:color="000000" w:sz="4" w:space="0"/>
              <w:bottom w:val="single" w:color="000000" w:sz="4" w:space="0"/>
              <w:right w:val="single" w:color="000000" w:sz="4" w:space="0"/>
            </w:tcBorders>
            <w:vAlign w:val="center"/>
          </w:tcPr>
          <w:p w14:paraId="3C7EE149">
            <w:pPr>
              <w:ind w:firstLine="0" w:firstLineChars="0"/>
              <w:jc w:val="center"/>
              <w:rPr>
                <w:rFonts w:hint="eastAsia" w:ascii="宋体" w:hAnsi="宋体" w:cs="宋体"/>
                <w:color w:val="000000"/>
                <w:szCs w:val="21"/>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A958EB3">
            <w:pPr>
              <w:widowControl/>
              <w:ind w:firstLine="0" w:firstLineChars="0"/>
              <w:jc w:val="center"/>
              <w:textAlignment w:val="center"/>
              <w:rPr>
                <w:rStyle w:val="107"/>
                <w:rFonts w:hint="default"/>
                <w:lang w:bidi="ar"/>
              </w:rPr>
            </w:pPr>
            <w:r>
              <w:rPr>
                <w:rStyle w:val="107"/>
                <w:rFonts w:hint="default"/>
                <w:lang w:bidi="ar"/>
              </w:rPr>
              <w:t>型式</w:t>
            </w:r>
          </w:p>
          <w:p w14:paraId="0690596C">
            <w:pPr>
              <w:widowControl/>
              <w:ind w:firstLine="0" w:firstLineChars="0"/>
              <w:jc w:val="center"/>
              <w:textAlignment w:val="center"/>
              <w:rPr>
                <w:rFonts w:hint="eastAsia" w:ascii="宋体" w:hAnsi="宋体" w:cs="宋体"/>
                <w:color w:val="000000"/>
                <w:szCs w:val="21"/>
              </w:rPr>
            </w:pPr>
            <w:r>
              <w:rPr>
                <w:rStyle w:val="107"/>
                <w:rFonts w:hint="default"/>
                <w:lang w:bidi="ar"/>
              </w:rPr>
              <w:t>检验</w:t>
            </w:r>
          </w:p>
        </w:tc>
        <w:tc>
          <w:tcPr>
            <w:tcW w:w="514" w:type="pct"/>
            <w:tcBorders>
              <w:top w:val="single" w:color="000000" w:sz="4" w:space="0"/>
              <w:left w:val="single" w:color="000000" w:sz="4" w:space="0"/>
              <w:bottom w:val="single" w:color="000000" w:sz="4" w:space="0"/>
              <w:right w:val="single" w:color="000000" w:sz="4" w:space="0"/>
            </w:tcBorders>
            <w:vAlign w:val="center"/>
          </w:tcPr>
          <w:p w14:paraId="6AC34964">
            <w:pPr>
              <w:widowControl/>
              <w:ind w:firstLine="0" w:firstLineChars="0"/>
              <w:jc w:val="center"/>
              <w:textAlignment w:val="center"/>
              <w:rPr>
                <w:rStyle w:val="107"/>
                <w:rFonts w:hint="default"/>
                <w:lang w:bidi="ar"/>
              </w:rPr>
            </w:pPr>
            <w:r>
              <w:rPr>
                <w:rStyle w:val="107"/>
                <w:rFonts w:hint="default"/>
                <w:lang w:bidi="ar"/>
              </w:rPr>
              <w:t>出厂</w:t>
            </w:r>
          </w:p>
          <w:p w14:paraId="60E37444">
            <w:pPr>
              <w:widowControl/>
              <w:ind w:firstLine="0" w:firstLineChars="0"/>
              <w:jc w:val="center"/>
              <w:textAlignment w:val="center"/>
              <w:rPr>
                <w:rFonts w:hint="eastAsia" w:ascii="宋体" w:hAnsi="宋体" w:cs="宋体"/>
                <w:color w:val="000000"/>
                <w:szCs w:val="21"/>
              </w:rPr>
            </w:pPr>
            <w:r>
              <w:rPr>
                <w:rStyle w:val="107"/>
                <w:rFonts w:hint="default"/>
                <w:lang w:bidi="ar"/>
              </w:rPr>
              <w:t>试验</w:t>
            </w:r>
          </w:p>
        </w:tc>
        <w:tc>
          <w:tcPr>
            <w:tcW w:w="514" w:type="pct"/>
            <w:tcBorders>
              <w:top w:val="single" w:color="000000" w:sz="4" w:space="0"/>
              <w:left w:val="single" w:color="000000" w:sz="4" w:space="0"/>
              <w:bottom w:val="single" w:color="000000" w:sz="4" w:space="0"/>
              <w:right w:val="single" w:color="000000" w:sz="4" w:space="0"/>
            </w:tcBorders>
            <w:vAlign w:val="center"/>
          </w:tcPr>
          <w:p w14:paraId="10F046F9">
            <w:pPr>
              <w:widowControl/>
              <w:ind w:firstLine="0" w:firstLineChars="0"/>
              <w:jc w:val="center"/>
              <w:textAlignment w:val="center"/>
              <w:rPr>
                <w:rStyle w:val="107"/>
                <w:rFonts w:hint="default"/>
                <w:lang w:bidi="ar"/>
              </w:rPr>
            </w:pPr>
            <w:r>
              <w:rPr>
                <w:rStyle w:val="107"/>
                <w:rFonts w:hint="default"/>
                <w:lang w:bidi="ar"/>
              </w:rPr>
              <w:t>交接</w:t>
            </w:r>
          </w:p>
          <w:p w14:paraId="6CDF7201">
            <w:pPr>
              <w:widowControl/>
              <w:ind w:firstLine="0" w:firstLineChars="0"/>
              <w:jc w:val="center"/>
              <w:textAlignment w:val="center"/>
              <w:rPr>
                <w:rFonts w:hint="eastAsia" w:ascii="宋体" w:hAnsi="宋体" w:cs="宋体"/>
                <w:color w:val="000000"/>
                <w:szCs w:val="21"/>
              </w:rPr>
            </w:pPr>
            <w:r>
              <w:rPr>
                <w:rStyle w:val="107"/>
                <w:rFonts w:hint="default"/>
                <w:lang w:bidi="ar"/>
              </w:rPr>
              <w:t>试验</w:t>
            </w:r>
          </w:p>
        </w:tc>
        <w:tc>
          <w:tcPr>
            <w:tcW w:w="582" w:type="pct"/>
            <w:tcBorders>
              <w:top w:val="single" w:color="000000" w:sz="4" w:space="0"/>
              <w:left w:val="single" w:color="000000" w:sz="4" w:space="0"/>
              <w:bottom w:val="single" w:color="000000" w:sz="4" w:space="0"/>
              <w:right w:val="single" w:color="000000" w:sz="4" w:space="0"/>
            </w:tcBorders>
            <w:vAlign w:val="center"/>
          </w:tcPr>
          <w:p w14:paraId="48FDA708">
            <w:pPr>
              <w:widowControl/>
              <w:ind w:firstLine="0" w:firstLineChars="0"/>
              <w:jc w:val="center"/>
              <w:textAlignment w:val="center"/>
              <w:rPr>
                <w:rStyle w:val="107"/>
                <w:rFonts w:hint="default"/>
                <w:lang w:bidi="ar"/>
              </w:rPr>
            </w:pPr>
            <w:r>
              <w:rPr>
                <w:rStyle w:val="107"/>
                <w:rFonts w:hint="default"/>
                <w:lang w:bidi="ar"/>
              </w:rPr>
              <w:t>送样</w:t>
            </w:r>
          </w:p>
          <w:p w14:paraId="53258F5E">
            <w:pPr>
              <w:widowControl/>
              <w:ind w:firstLine="0" w:firstLineChars="0"/>
              <w:jc w:val="center"/>
              <w:textAlignment w:val="center"/>
              <w:rPr>
                <w:rFonts w:hint="eastAsia" w:ascii="宋体" w:hAnsi="宋体" w:cs="宋体"/>
                <w:color w:val="000000"/>
                <w:szCs w:val="21"/>
              </w:rPr>
            </w:pPr>
            <w:r>
              <w:rPr>
                <w:rStyle w:val="107"/>
                <w:rFonts w:hint="default"/>
                <w:lang w:bidi="ar"/>
              </w:rPr>
              <w:t>检验</w:t>
            </w:r>
          </w:p>
        </w:tc>
        <w:tc>
          <w:tcPr>
            <w:tcW w:w="592" w:type="pct"/>
            <w:tcBorders>
              <w:top w:val="single" w:color="000000" w:sz="4" w:space="0"/>
              <w:left w:val="single" w:color="000000" w:sz="4" w:space="0"/>
              <w:bottom w:val="single" w:color="000000" w:sz="4" w:space="0"/>
              <w:right w:val="single" w:color="000000" w:sz="4" w:space="0"/>
            </w:tcBorders>
            <w:vAlign w:val="center"/>
          </w:tcPr>
          <w:p w14:paraId="62F9DE7D">
            <w:pPr>
              <w:widowControl/>
              <w:ind w:firstLine="0" w:firstLineChars="0"/>
              <w:jc w:val="center"/>
              <w:textAlignment w:val="center"/>
              <w:rPr>
                <w:rStyle w:val="107"/>
                <w:rFonts w:hint="default"/>
                <w:lang w:bidi="ar"/>
              </w:rPr>
            </w:pPr>
            <w:r>
              <w:rPr>
                <w:rStyle w:val="107"/>
                <w:rFonts w:hint="default"/>
                <w:lang w:bidi="ar"/>
              </w:rPr>
              <w:t>专项</w:t>
            </w:r>
          </w:p>
          <w:p w14:paraId="26D95D58">
            <w:pPr>
              <w:widowControl/>
              <w:ind w:firstLine="0" w:firstLineChars="0"/>
              <w:jc w:val="center"/>
              <w:textAlignment w:val="center"/>
              <w:rPr>
                <w:rFonts w:hint="eastAsia" w:ascii="宋体" w:hAnsi="宋体" w:cs="宋体"/>
                <w:color w:val="000000"/>
                <w:szCs w:val="21"/>
              </w:rPr>
            </w:pPr>
            <w:r>
              <w:rPr>
                <w:rStyle w:val="107"/>
                <w:rFonts w:hint="default"/>
                <w:lang w:bidi="ar"/>
              </w:rPr>
              <w:t>检验</w:t>
            </w:r>
          </w:p>
        </w:tc>
        <w:tc>
          <w:tcPr>
            <w:tcW w:w="531" w:type="pct"/>
            <w:tcBorders>
              <w:top w:val="single" w:color="000000" w:sz="4" w:space="0"/>
              <w:left w:val="single" w:color="000000" w:sz="4" w:space="0"/>
              <w:bottom w:val="single" w:color="000000" w:sz="4" w:space="0"/>
              <w:right w:val="single" w:color="000000" w:sz="4" w:space="0"/>
            </w:tcBorders>
            <w:vAlign w:val="center"/>
          </w:tcPr>
          <w:p w14:paraId="7BDEBD13">
            <w:pPr>
              <w:widowControl/>
              <w:ind w:firstLine="0" w:firstLineChars="0"/>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到货</w:t>
            </w:r>
          </w:p>
          <w:p w14:paraId="2B088661">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kern w:val="0"/>
                <w:szCs w:val="21"/>
                <w:lang w:bidi="ar"/>
              </w:rPr>
              <w:t>检验</w:t>
            </w:r>
          </w:p>
        </w:tc>
      </w:tr>
      <w:tr w14:paraId="0F3BB9B1">
        <w:tblPrEx>
          <w:tblCellMar>
            <w:top w:w="0" w:type="dxa"/>
            <w:left w:w="108" w:type="dxa"/>
            <w:bottom w:w="0" w:type="dxa"/>
            <w:right w:w="108" w:type="dxa"/>
          </w:tblCellMar>
        </w:tblPrEx>
        <w:trPr>
          <w:trHeight w:val="288" w:hRule="atLeast"/>
        </w:trPr>
        <w:tc>
          <w:tcPr>
            <w:tcW w:w="5000" w:type="pct"/>
            <w:gridSpan w:val="9"/>
            <w:tcBorders>
              <w:top w:val="single" w:color="000000" w:sz="4" w:space="0"/>
              <w:left w:val="single" w:color="000000" w:sz="4" w:space="0"/>
              <w:bottom w:val="single" w:color="000000" w:sz="4" w:space="0"/>
              <w:right w:val="single" w:color="000000" w:sz="4" w:space="0"/>
            </w:tcBorders>
            <w:vAlign w:val="center"/>
          </w:tcPr>
          <w:p w14:paraId="0E6336D8">
            <w:pPr>
              <w:keepNext/>
              <w:snapToGrid w:val="0"/>
              <w:ind w:left="0" w:leftChars="0" w:firstLine="0" w:firstLineChars="0"/>
              <w:jc w:val="both"/>
              <w:rPr>
                <w:rFonts w:hint="eastAsia" w:ascii="宋体" w:hAnsi="宋体" w:cs="宋体"/>
                <w:color w:val="000000"/>
                <w:sz w:val="22"/>
              </w:rPr>
            </w:pPr>
            <w:r>
              <w:rPr>
                <w:rFonts w:hint="eastAsia" w:ascii="宋体" w:hAnsi="宋体"/>
                <w:snapToGrid w:val="0"/>
                <w:kern w:val="0"/>
                <w:szCs w:val="21"/>
                <w:lang w:eastAsia="zh-CN"/>
              </w:rPr>
              <w:t>电力开源物联版配电物联代理单元</w:t>
            </w:r>
            <w:r>
              <w:rPr>
                <w:rFonts w:hint="eastAsia" w:ascii="宋体" w:hAnsi="宋体"/>
                <w:snapToGrid w:val="0"/>
                <w:kern w:val="0"/>
                <w:szCs w:val="21"/>
                <w:lang w:val="en-US" w:eastAsia="zh-CN"/>
              </w:rPr>
              <w:t>（有线版、无线版）</w:t>
            </w:r>
            <w:r>
              <w:rPr>
                <w:rFonts w:hint="eastAsia" w:ascii="宋体" w:hAnsi="宋体" w:cs="宋体"/>
                <w:color w:val="000000"/>
                <w:kern w:val="0"/>
                <w:szCs w:val="21"/>
                <w:lang w:bidi="ar"/>
              </w:rPr>
              <w:t>通用检查项目</w:t>
            </w:r>
          </w:p>
        </w:tc>
      </w:tr>
      <w:tr w14:paraId="46579C0F">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014F6347">
            <w:pPr>
              <w:widowControl/>
              <w:ind w:firstLine="420"/>
              <w:jc w:val="both"/>
              <w:textAlignment w:val="center"/>
              <w:rPr>
                <w:color w:val="000000"/>
                <w:szCs w:val="21"/>
              </w:rPr>
            </w:pPr>
            <w:r>
              <w:rPr>
                <w:color w:val="000000"/>
                <w:kern w:val="0"/>
                <w:szCs w:val="21"/>
                <w:lang w:bidi="ar"/>
              </w:rPr>
              <w:t>1</w:t>
            </w:r>
          </w:p>
        </w:tc>
        <w:tc>
          <w:tcPr>
            <w:tcW w:w="1159" w:type="pct"/>
            <w:tcBorders>
              <w:top w:val="single" w:color="000000" w:sz="4" w:space="0"/>
              <w:left w:val="single" w:color="000000" w:sz="4" w:space="0"/>
              <w:bottom w:val="single" w:color="000000" w:sz="4" w:space="0"/>
              <w:right w:val="single" w:color="000000" w:sz="4" w:space="0"/>
            </w:tcBorders>
            <w:vAlign w:val="center"/>
          </w:tcPr>
          <w:p w14:paraId="5DA05DD1">
            <w:pPr>
              <w:widowControl/>
              <w:ind w:firstLine="0" w:firstLineChars="0"/>
              <w:jc w:val="center"/>
              <w:textAlignment w:val="center"/>
              <w:rPr>
                <w:rFonts w:hint="default" w:ascii="宋体" w:hAnsi="宋体" w:eastAsia="宋体" w:cs="宋体"/>
                <w:color w:val="000000"/>
                <w:szCs w:val="21"/>
                <w:lang w:val="en-US" w:eastAsia="zh-CN"/>
              </w:rPr>
            </w:pPr>
            <w:r>
              <w:rPr>
                <w:rFonts w:hint="eastAsia" w:ascii="宋体" w:hAnsi="宋体" w:cs="宋体"/>
                <w:color w:val="000000"/>
                <w:kern w:val="0"/>
                <w:szCs w:val="21"/>
                <w:lang w:val="en-US" w:eastAsia="zh-CN" w:bidi="ar"/>
              </w:rPr>
              <w:t>结构外观</w:t>
            </w:r>
          </w:p>
        </w:tc>
        <w:tc>
          <w:tcPr>
            <w:tcW w:w="572" w:type="pct"/>
            <w:tcBorders>
              <w:top w:val="single" w:color="000000" w:sz="4" w:space="0"/>
              <w:left w:val="single" w:color="000000" w:sz="4" w:space="0"/>
              <w:bottom w:val="single" w:color="000000" w:sz="4" w:space="0"/>
              <w:right w:val="single" w:color="000000" w:sz="4" w:space="0"/>
            </w:tcBorders>
            <w:vAlign w:val="center"/>
          </w:tcPr>
          <w:p w14:paraId="6C3BF3E7">
            <w:pPr>
              <w:widowControl/>
              <w:ind w:firstLine="0" w:firstLineChars="0"/>
              <w:jc w:val="center"/>
              <w:textAlignment w:val="center"/>
              <w:rPr>
                <w:color w:val="000000"/>
                <w:szCs w:val="21"/>
              </w:rPr>
            </w:pPr>
            <w:r>
              <w:rPr>
                <w:rFonts w:hint="eastAsia" w:ascii="宋体" w:hAnsi="宋体" w:cs="宋体"/>
                <w:szCs w:val="21"/>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5308D1DD">
            <w:pPr>
              <w:widowControl/>
              <w:ind w:firstLine="0" w:firstLineChars="0"/>
              <w:jc w:val="center"/>
              <w:textAlignment w:val="center"/>
              <w:rPr>
                <w:color w:val="000000"/>
                <w:szCs w:val="21"/>
              </w:rPr>
            </w:pPr>
            <w:r>
              <w:rPr>
                <w:rFonts w:hint="eastAsia" w:ascii="宋体" w:hAnsi="宋体" w:cs="宋体"/>
                <w:szCs w:val="21"/>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1467E953">
            <w:pPr>
              <w:widowControl/>
              <w:ind w:firstLine="0" w:firstLineChars="0"/>
              <w:jc w:val="center"/>
              <w:textAlignment w:val="center"/>
              <w:rPr>
                <w:color w:val="000000"/>
                <w:szCs w:val="21"/>
              </w:rPr>
            </w:pPr>
            <w:r>
              <w:rPr>
                <w:rFonts w:hint="eastAsia" w:ascii="宋体" w:hAnsi="宋体" w:cs="宋体"/>
                <w:szCs w:val="21"/>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716EC70D">
            <w:pPr>
              <w:widowControl/>
              <w:ind w:firstLine="0" w:firstLineChars="0"/>
              <w:jc w:val="center"/>
              <w:textAlignment w:val="center"/>
              <w:rPr>
                <w:color w:val="000000"/>
                <w:szCs w:val="21"/>
              </w:rPr>
            </w:pPr>
            <w:r>
              <w:rPr>
                <w:rFonts w:hint="eastAsia" w:ascii="宋体" w:hAnsi="宋体" w:cs="宋体"/>
                <w:szCs w:val="21"/>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41D73CE0">
            <w:pPr>
              <w:widowControl/>
              <w:ind w:firstLine="0" w:firstLineChars="0"/>
              <w:jc w:val="center"/>
              <w:textAlignment w:val="center"/>
              <w:rPr>
                <w:color w:val="000000"/>
                <w:szCs w:val="21"/>
              </w:rPr>
            </w:pPr>
            <w:r>
              <w:rPr>
                <w:rFonts w:hint="eastAsia" w:ascii="宋体" w:hAnsi="宋体" w:cs="宋体"/>
                <w:szCs w:val="21"/>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794740A7">
            <w:pPr>
              <w:widowControl/>
              <w:ind w:firstLine="0" w:firstLineChars="0"/>
              <w:jc w:val="center"/>
              <w:textAlignment w:val="center"/>
              <w:rPr>
                <w:color w:val="000000"/>
                <w:szCs w:val="21"/>
              </w:rPr>
            </w:pPr>
            <w:r>
              <w:rPr>
                <w:rFonts w:hint="eastAsia" w:ascii="宋体" w:hAnsi="宋体" w:cs="宋体"/>
                <w:szCs w:val="21"/>
              </w:rPr>
              <w:t>●</w:t>
            </w:r>
          </w:p>
        </w:tc>
      </w:tr>
      <w:tr w14:paraId="75BCC7F3">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2E33A048">
            <w:pPr>
              <w:widowControl/>
              <w:ind w:firstLine="420"/>
              <w:jc w:val="both"/>
              <w:textAlignment w:val="center"/>
              <w:rPr>
                <w:color w:val="000000"/>
                <w:szCs w:val="21"/>
              </w:rPr>
            </w:pPr>
            <w:r>
              <w:rPr>
                <w:color w:val="000000"/>
                <w:kern w:val="0"/>
                <w:szCs w:val="21"/>
                <w:lang w:bidi="ar"/>
              </w:rPr>
              <w:t>2</w:t>
            </w:r>
          </w:p>
        </w:tc>
        <w:tc>
          <w:tcPr>
            <w:tcW w:w="1159" w:type="pct"/>
            <w:tcBorders>
              <w:top w:val="single" w:color="000000" w:sz="4" w:space="0"/>
              <w:left w:val="single" w:color="000000" w:sz="4" w:space="0"/>
              <w:bottom w:val="single" w:color="000000" w:sz="4" w:space="0"/>
              <w:right w:val="single" w:color="000000" w:sz="4" w:space="0"/>
            </w:tcBorders>
            <w:vAlign w:val="center"/>
          </w:tcPr>
          <w:p w14:paraId="0D98C13A">
            <w:pPr>
              <w:widowControl/>
              <w:ind w:firstLine="0" w:firstLineChars="0"/>
              <w:jc w:val="center"/>
              <w:textAlignment w:val="center"/>
              <w:rPr>
                <w:rFonts w:hint="eastAsia" w:ascii="宋体" w:hAnsi="宋体" w:cs="宋体"/>
                <w:color w:val="000000"/>
                <w:szCs w:val="21"/>
              </w:rPr>
            </w:pPr>
            <w:r>
              <w:rPr>
                <w:rStyle w:val="107"/>
                <w:rFonts w:hint="default"/>
                <w:lang w:bidi="ar"/>
              </w:rPr>
              <w:t>电磁兼容试验</w:t>
            </w:r>
          </w:p>
        </w:tc>
        <w:tc>
          <w:tcPr>
            <w:tcW w:w="572" w:type="pct"/>
            <w:tcBorders>
              <w:top w:val="single" w:color="000000" w:sz="4" w:space="0"/>
              <w:left w:val="single" w:color="000000" w:sz="4" w:space="0"/>
              <w:bottom w:val="single" w:color="000000" w:sz="4" w:space="0"/>
              <w:right w:val="single" w:color="000000" w:sz="4" w:space="0"/>
            </w:tcBorders>
            <w:vAlign w:val="center"/>
          </w:tcPr>
          <w:p w14:paraId="38398418">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118D6523">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786DB013">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2308CA3B">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234300B1">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5C7E562C">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r>
      <w:tr w14:paraId="6FAE4EF9">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664F99AE">
            <w:pPr>
              <w:widowControl/>
              <w:ind w:firstLine="420"/>
              <w:jc w:val="both"/>
              <w:textAlignment w:val="center"/>
              <w:rPr>
                <w:color w:val="000000"/>
                <w:szCs w:val="21"/>
              </w:rPr>
            </w:pPr>
            <w:r>
              <w:rPr>
                <w:color w:val="000000"/>
                <w:kern w:val="0"/>
                <w:szCs w:val="21"/>
                <w:lang w:bidi="ar"/>
              </w:rPr>
              <w:t>3</w:t>
            </w:r>
          </w:p>
        </w:tc>
        <w:tc>
          <w:tcPr>
            <w:tcW w:w="1159" w:type="pct"/>
            <w:tcBorders>
              <w:top w:val="single" w:color="000000" w:sz="4" w:space="0"/>
              <w:left w:val="single" w:color="000000" w:sz="4" w:space="0"/>
              <w:bottom w:val="single" w:color="000000" w:sz="4" w:space="0"/>
              <w:right w:val="single" w:color="000000" w:sz="4" w:space="0"/>
            </w:tcBorders>
            <w:vAlign w:val="center"/>
          </w:tcPr>
          <w:p w14:paraId="16C79157">
            <w:pPr>
              <w:widowControl/>
              <w:ind w:firstLine="0" w:firstLineChars="0"/>
              <w:jc w:val="center"/>
              <w:textAlignment w:val="center"/>
              <w:rPr>
                <w:rFonts w:hint="eastAsia" w:ascii="宋体" w:hAnsi="宋体" w:cs="宋体"/>
                <w:color w:val="000000"/>
                <w:szCs w:val="21"/>
              </w:rPr>
            </w:pPr>
            <w:r>
              <w:rPr>
                <w:rStyle w:val="107"/>
                <w:rFonts w:hint="default"/>
                <w:lang w:bidi="ar"/>
              </w:rPr>
              <w:t>环境适应性试验</w:t>
            </w:r>
          </w:p>
        </w:tc>
        <w:tc>
          <w:tcPr>
            <w:tcW w:w="572" w:type="pct"/>
            <w:tcBorders>
              <w:top w:val="single" w:color="000000" w:sz="4" w:space="0"/>
              <w:left w:val="single" w:color="000000" w:sz="4" w:space="0"/>
              <w:bottom w:val="single" w:color="000000" w:sz="4" w:space="0"/>
              <w:right w:val="single" w:color="000000" w:sz="4" w:space="0"/>
            </w:tcBorders>
            <w:vAlign w:val="center"/>
          </w:tcPr>
          <w:p w14:paraId="011F6404">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2C4CA3C7">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1333D739">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46D46116">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5C9D741A">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1F7BE935">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r>
      <w:tr w14:paraId="0D448C8C">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0D18938E">
            <w:pPr>
              <w:widowControl/>
              <w:ind w:firstLine="420"/>
              <w:jc w:val="both"/>
              <w:textAlignment w:val="center"/>
              <w:rPr>
                <w:color w:val="000000"/>
                <w:szCs w:val="21"/>
              </w:rPr>
            </w:pPr>
            <w:r>
              <w:rPr>
                <w:color w:val="000000"/>
                <w:kern w:val="0"/>
                <w:szCs w:val="21"/>
                <w:lang w:bidi="ar"/>
              </w:rPr>
              <w:t>4</w:t>
            </w:r>
          </w:p>
        </w:tc>
        <w:tc>
          <w:tcPr>
            <w:tcW w:w="1159" w:type="pct"/>
            <w:tcBorders>
              <w:top w:val="single" w:color="000000" w:sz="4" w:space="0"/>
              <w:left w:val="single" w:color="000000" w:sz="4" w:space="0"/>
              <w:bottom w:val="single" w:color="000000" w:sz="4" w:space="0"/>
              <w:right w:val="single" w:color="000000" w:sz="4" w:space="0"/>
            </w:tcBorders>
            <w:vAlign w:val="center"/>
          </w:tcPr>
          <w:p w14:paraId="02E1740C">
            <w:pPr>
              <w:widowControl/>
              <w:ind w:firstLine="0" w:firstLineChars="0"/>
              <w:jc w:val="center"/>
              <w:textAlignment w:val="center"/>
              <w:rPr>
                <w:rFonts w:hint="eastAsia" w:ascii="宋体" w:hAnsi="宋体" w:cs="宋体"/>
                <w:color w:val="000000"/>
                <w:szCs w:val="21"/>
              </w:rPr>
            </w:pPr>
            <w:r>
              <w:rPr>
                <w:rStyle w:val="107"/>
                <w:rFonts w:hint="default"/>
                <w:lang w:bidi="ar"/>
              </w:rPr>
              <w:t>绝缘性能试验</w:t>
            </w:r>
          </w:p>
        </w:tc>
        <w:tc>
          <w:tcPr>
            <w:tcW w:w="572" w:type="pct"/>
            <w:tcBorders>
              <w:top w:val="single" w:color="000000" w:sz="4" w:space="0"/>
              <w:left w:val="single" w:color="000000" w:sz="4" w:space="0"/>
              <w:bottom w:val="single" w:color="000000" w:sz="4" w:space="0"/>
              <w:right w:val="single" w:color="000000" w:sz="4" w:space="0"/>
            </w:tcBorders>
            <w:vAlign w:val="center"/>
          </w:tcPr>
          <w:p w14:paraId="1E2DB273">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5A23A132">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23EBED95">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2D062E9E">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613733CB">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1DCAEF21">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r>
      <w:tr w14:paraId="5F8ADE44">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19D09C3F">
            <w:pPr>
              <w:widowControl/>
              <w:ind w:firstLine="420"/>
              <w:jc w:val="both"/>
              <w:textAlignment w:val="center"/>
              <w:rPr>
                <w:color w:val="000000"/>
                <w:szCs w:val="21"/>
              </w:rPr>
            </w:pPr>
            <w:r>
              <w:rPr>
                <w:color w:val="000000"/>
                <w:kern w:val="0"/>
                <w:szCs w:val="21"/>
                <w:lang w:bidi="ar"/>
              </w:rPr>
              <w:t>5</w:t>
            </w:r>
          </w:p>
        </w:tc>
        <w:tc>
          <w:tcPr>
            <w:tcW w:w="1159" w:type="pct"/>
            <w:tcBorders>
              <w:top w:val="single" w:color="000000" w:sz="4" w:space="0"/>
              <w:left w:val="single" w:color="000000" w:sz="4" w:space="0"/>
              <w:bottom w:val="single" w:color="000000" w:sz="4" w:space="0"/>
              <w:right w:val="single" w:color="000000" w:sz="4" w:space="0"/>
            </w:tcBorders>
            <w:vAlign w:val="center"/>
          </w:tcPr>
          <w:p w14:paraId="7306D801">
            <w:pPr>
              <w:widowControl/>
              <w:ind w:firstLine="0" w:firstLineChars="0"/>
              <w:jc w:val="center"/>
              <w:textAlignment w:val="center"/>
              <w:rPr>
                <w:rFonts w:hint="eastAsia" w:ascii="宋体" w:hAnsi="宋体" w:cs="宋体"/>
                <w:color w:val="000000"/>
                <w:szCs w:val="21"/>
              </w:rPr>
            </w:pPr>
            <w:r>
              <w:rPr>
                <w:rStyle w:val="107"/>
                <w:rFonts w:hint="default"/>
                <w:lang w:bidi="ar"/>
              </w:rPr>
              <w:t>机械性能试验</w:t>
            </w:r>
          </w:p>
        </w:tc>
        <w:tc>
          <w:tcPr>
            <w:tcW w:w="572" w:type="pct"/>
            <w:tcBorders>
              <w:top w:val="single" w:color="000000" w:sz="4" w:space="0"/>
              <w:left w:val="single" w:color="000000" w:sz="4" w:space="0"/>
              <w:bottom w:val="single" w:color="000000" w:sz="4" w:space="0"/>
              <w:right w:val="single" w:color="000000" w:sz="4" w:space="0"/>
            </w:tcBorders>
            <w:vAlign w:val="center"/>
          </w:tcPr>
          <w:p w14:paraId="68998443">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6473FFBD">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5126EA19">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5CEFA542">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70A3CF8E">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575E8115">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r>
      <w:tr w14:paraId="57B77DFA">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5630CEE2">
            <w:pPr>
              <w:widowControl/>
              <w:ind w:firstLine="420"/>
              <w:jc w:val="both"/>
              <w:textAlignment w:val="center"/>
              <w:rPr>
                <w:rFonts w:hint="eastAsia" w:ascii="宋体" w:hAnsi="宋体" w:cs="宋体"/>
                <w:color w:val="000000"/>
                <w:szCs w:val="21"/>
              </w:rPr>
            </w:pPr>
            <w:r>
              <w:rPr>
                <w:color w:val="000000"/>
                <w:kern w:val="0"/>
                <w:szCs w:val="21"/>
                <w:lang w:bidi="ar"/>
              </w:rPr>
              <w:t>1</w:t>
            </w:r>
          </w:p>
        </w:tc>
        <w:tc>
          <w:tcPr>
            <w:tcW w:w="1159" w:type="pct"/>
            <w:tcBorders>
              <w:top w:val="single" w:color="000000" w:sz="4" w:space="0"/>
              <w:left w:val="single" w:color="000000" w:sz="4" w:space="0"/>
              <w:bottom w:val="single" w:color="000000" w:sz="4" w:space="0"/>
              <w:right w:val="single" w:color="000000" w:sz="4" w:space="0"/>
            </w:tcBorders>
            <w:vAlign w:val="center"/>
          </w:tcPr>
          <w:p w14:paraId="297DA565">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kern w:val="0"/>
                <w:szCs w:val="21"/>
                <w:lang w:bidi="ar"/>
              </w:rPr>
              <w:t>电源</w:t>
            </w:r>
            <w:r>
              <w:rPr>
                <w:rFonts w:hint="eastAsia" w:ascii="宋体" w:hAnsi="宋体" w:cs="宋体"/>
                <w:color w:val="000000"/>
                <w:kern w:val="0"/>
                <w:szCs w:val="21"/>
                <w:lang w:val="en-US" w:eastAsia="zh-CN" w:bidi="ar"/>
              </w:rPr>
              <w:t>功能</w:t>
            </w:r>
          </w:p>
        </w:tc>
        <w:tc>
          <w:tcPr>
            <w:tcW w:w="572" w:type="pct"/>
            <w:tcBorders>
              <w:top w:val="single" w:color="000000" w:sz="4" w:space="0"/>
              <w:left w:val="single" w:color="000000" w:sz="4" w:space="0"/>
              <w:bottom w:val="single" w:color="000000" w:sz="4" w:space="0"/>
              <w:right w:val="single" w:color="000000" w:sz="4" w:space="0"/>
            </w:tcBorders>
            <w:vAlign w:val="center"/>
          </w:tcPr>
          <w:p w14:paraId="543EDFBE">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0B1A63E1">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0E7658C7">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6D3879F2">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2AAB26D6">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02FDA534">
            <w:pPr>
              <w:widowControl/>
              <w:ind w:firstLine="0" w:firstLineChars="0"/>
              <w:jc w:val="center"/>
              <w:textAlignment w:val="center"/>
              <w:rPr>
                <w:rFonts w:ascii="宋体" w:hAnsi="宋体" w:cs="宋体"/>
                <w:color w:val="auto"/>
                <w:szCs w:val="21"/>
              </w:rPr>
            </w:pPr>
            <w:r>
              <w:rPr>
                <w:rStyle w:val="35"/>
                <w:rFonts w:hint="eastAsia" w:ascii="宋体" w:hAnsi="宋体" w:cs="宋体"/>
                <w:lang w:bidi="ar"/>
              </w:rPr>
              <w:t>●</w:t>
            </w:r>
          </w:p>
        </w:tc>
      </w:tr>
      <w:tr w14:paraId="6CD90F8F">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3568C19B">
            <w:pPr>
              <w:widowControl/>
              <w:ind w:firstLine="420"/>
              <w:jc w:val="both"/>
              <w:textAlignment w:val="center"/>
              <w:rPr>
                <w:color w:val="000000"/>
                <w:szCs w:val="21"/>
              </w:rPr>
            </w:pPr>
            <w:r>
              <w:rPr>
                <w:color w:val="000000"/>
                <w:kern w:val="0"/>
                <w:szCs w:val="21"/>
                <w:lang w:bidi="ar"/>
              </w:rPr>
              <w:t>2</w:t>
            </w:r>
          </w:p>
        </w:tc>
        <w:tc>
          <w:tcPr>
            <w:tcW w:w="1159" w:type="pct"/>
            <w:tcBorders>
              <w:top w:val="single" w:color="000000" w:sz="4" w:space="0"/>
              <w:left w:val="single" w:color="000000" w:sz="4" w:space="0"/>
              <w:bottom w:val="single" w:color="000000" w:sz="4" w:space="0"/>
              <w:right w:val="single" w:color="000000" w:sz="4" w:space="0"/>
            </w:tcBorders>
            <w:vAlign w:val="center"/>
          </w:tcPr>
          <w:p w14:paraId="0ED8235D">
            <w:pPr>
              <w:widowControl/>
              <w:ind w:firstLine="0" w:firstLineChars="0"/>
              <w:jc w:val="center"/>
              <w:textAlignment w:val="center"/>
              <w:rPr>
                <w:rFonts w:hint="eastAsia" w:ascii="宋体" w:hAnsi="宋体" w:cs="宋体"/>
                <w:color w:val="000000"/>
                <w:szCs w:val="21"/>
              </w:rPr>
            </w:pPr>
            <w:r>
              <w:rPr>
                <w:rFonts w:hint="eastAsia" w:ascii="宋体" w:hAnsi="宋体" w:cs="宋体"/>
                <w:color w:val="000000"/>
                <w:szCs w:val="21"/>
              </w:rPr>
              <w:t>通信功能</w:t>
            </w:r>
          </w:p>
        </w:tc>
        <w:tc>
          <w:tcPr>
            <w:tcW w:w="572" w:type="pct"/>
            <w:tcBorders>
              <w:top w:val="single" w:color="000000" w:sz="4" w:space="0"/>
              <w:left w:val="single" w:color="000000" w:sz="4" w:space="0"/>
              <w:bottom w:val="single" w:color="000000" w:sz="4" w:space="0"/>
              <w:right w:val="single" w:color="000000" w:sz="4" w:space="0"/>
            </w:tcBorders>
            <w:vAlign w:val="center"/>
          </w:tcPr>
          <w:p w14:paraId="14D16847">
            <w:pPr>
              <w:widowControl/>
              <w:ind w:firstLine="0" w:firstLineChars="0"/>
              <w:jc w:val="center"/>
              <w:textAlignment w:val="center"/>
              <w:rPr>
                <w:rFonts w:ascii="宋体" w:hAnsi="宋体" w:cs="宋体"/>
                <w:color w:val="auto"/>
                <w:szCs w:val="21"/>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409A15D4">
            <w:pPr>
              <w:widowControl/>
              <w:ind w:firstLine="0" w:firstLineChars="0"/>
              <w:jc w:val="center"/>
              <w:textAlignment w:val="center"/>
              <w:rPr>
                <w:rFonts w:ascii="宋体" w:hAnsi="宋体" w:cs="宋体"/>
                <w:color w:val="auto"/>
                <w:szCs w:val="21"/>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72443C08">
            <w:pPr>
              <w:widowControl/>
              <w:ind w:firstLine="0" w:firstLineChars="0"/>
              <w:jc w:val="center"/>
              <w:textAlignment w:val="center"/>
              <w:rPr>
                <w:rFonts w:ascii="宋体" w:hAnsi="宋体" w:cs="宋体"/>
                <w:color w:val="auto"/>
                <w:szCs w:val="21"/>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3EBFECD4">
            <w:pPr>
              <w:widowControl/>
              <w:ind w:firstLine="0" w:firstLineChars="0"/>
              <w:jc w:val="center"/>
              <w:textAlignment w:val="center"/>
              <w:rPr>
                <w:rFonts w:ascii="宋体" w:hAnsi="宋体" w:cs="宋体"/>
                <w:color w:val="auto"/>
                <w:szCs w:val="21"/>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63ED4679">
            <w:pPr>
              <w:widowControl/>
              <w:ind w:firstLine="0" w:firstLineChars="0"/>
              <w:jc w:val="center"/>
              <w:textAlignment w:val="center"/>
              <w:rPr>
                <w:rFonts w:ascii="宋体" w:hAnsi="宋体" w:cs="宋体"/>
                <w:color w:val="auto"/>
                <w:szCs w:val="21"/>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20B57869">
            <w:pPr>
              <w:widowControl/>
              <w:ind w:firstLine="0" w:firstLineChars="0"/>
              <w:jc w:val="center"/>
              <w:textAlignment w:val="center"/>
              <w:rPr>
                <w:rFonts w:ascii="宋体" w:hAnsi="宋体" w:cs="宋体"/>
                <w:color w:val="auto"/>
                <w:szCs w:val="21"/>
              </w:rPr>
            </w:pPr>
            <w:r>
              <w:rPr>
                <w:rFonts w:ascii="宋体" w:hAnsi="宋体" w:cs="宋体"/>
              </w:rPr>
              <w:t>●</w:t>
            </w:r>
          </w:p>
        </w:tc>
      </w:tr>
      <w:tr w14:paraId="0C81A586">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5E36E2B9">
            <w:pPr>
              <w:widowControl/>
              <w:ind w:firstLine="420"/>
              <w:jc w:val="both"/>
              <w:textAlignment w:val="center"/>
              <w:rPr>
                <w:color w:val="000000"/>
                <w:szCs w:val="21"/>
              </w:rPr>
            </w:pPr>
            <w:r>
              <w:rPr>
                <w:color w:val="000000"/>
                <w:kern w:val="0"/>
                <w:szCs w:val="21"/>
                <w:lang w:bidi="ar"/>
              </w:rPr>
              <w:t>3</w:t>
            </w:r>
          </w:p>
        </w:tc>
        <w:tc>
          <w:tcPr>
            <w:tcW w:w="1159" w:type="pct"/>
            <w:tcBorders>
              <w:top w:val="single" w:color="000000" w:sz="4" w:space="0"/>
              <w:left w:val="single" w:color="000000" w:sz="4" w:space="0"/>
              <w:bottom w:val="single" w:color="000000" w:sz="4" w:space="0"/>
              <w:right w:val="single" w:color="000000" w:sz="4" w:space="0"/>
            </w:tcBorders>
            <w:vAlign w:val="center"/>
          </w:tcPr>
          <w:p w14:paraId="7AA4C41F">
            <w:pPr>
              <w:widowControl/>
              <w:ind w:firstLine="0" w:firstLineChars="0"/>
              <w:jc w:val="center"/>
              <w:textAlignment w:val="center"/>
              <w:rPr>
                <w:rFonts w:hint="eastAsia" w:ascii="宋体" w:hAnsi="宋体" w:cs="宋体"/>
                <w:color w:val="000000"/>
                <w:szCs w:val="21"/>
              </w:rPr>
            </w:pPr>
            <w:r>
              <w:rPr>
                <w:rFonts w:hint="eastAsia" w:ascii="宋体" w:hAnsi="宋体" w:cs="宋体"/>
                <w:szCs w:val="21"/>
              </w:rPr>
              <w:t>事件记录</w:t>
            </w:r>
          </w:p>
        </w:tc>
        <w:tc>
          <w:tcPr>
            <w:tcW w:w="572" w:type="pct"/>
            <w:tcBorders>
              <w:top w:val="single" w:color="000000" w:sz="4" w:space="0"/>
              <w:left w:val="single" w:color="000000" w:sz="4" w:space="0"/>
              <w:bottom w:val="single" w:color="000000" w:sz="4" w:space="0"/>
              <w:right w:val="single" w:color="000000" w:sz="4" w:space="0"/>
            </w:tcBorders>
            <w:vAlign w:val="center"/>
          </w:tcPr>
          <w:p w14:paraId="1E04CF34">
            <w:pPr>
              <w:widowControl/>
              <w:ind w:firstLine="0" w:firstLineChars="0"/>
              <w:jc w:val="center"/>
              <w:textAlignment w:val="center"/>
              <w:rPr>
                <w:rFonts w:ascii="宋体" w:hAnsi="宋体" w:cs="宋体"/>
                <w:color w:val="auto"/>
                <w:szCs w:val="21"/>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398DADC5">
            <w:pPr>
              <w:widowControl/>
              <w:ind w:firstLine="0" w:firstLineChars="0"/>
              <w:jc w:val="center"/>
              <w:textAlignment w:val="center"/>
              <w:rPr>
                <w:rFonts w:ascii="宋体" w:hAnsi="宋体" w:cs="宋体"/>
                <w:color w:val="auto"/>
                <w:szCs w:val="21"/>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0B503B08">
            <w:pPr>
              <w:widowControl/>
              <w:ind w:firstLine="0" w:firstLineChars="0"/>
              <w:jc w:val="center"/>
              <w:textAlignment w:val="center"/>
              <w:rPr>
                <w:rFonts w:ascii="宋体" w:hAnsi="宋体" w:cs="宋体"/>
                <w:color w:val="auto"/>
                <w:szCs w:val="21"/>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1FF55AEE">
            <w:pPr>
              <w:widowControl/>
              <w:ind w:firstLine="0" w:firstLineChars="0"/>
              <w:jc w:val="center"/>
              <w:textAlignment w:val="center"/>
              <w:rPr>
                <w:rFonts w:ascii="宋体" w:hAnsi="宋体" w:cs="宋体"/>
                <w:color w:val="auto"/>
                <w:szCs w:val="21"/>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22AE18B5">
            <w:pPr>
              <w:widowControl/>
              <w:ind w:firstLine="0" w:firstLineChars="0"/>
              <w:jc w:val="center"/>
              <w:textAlignment w:val="center"/>
              <w:rPr>
                <w:rFonts w:ascii="宋体" w:hAnsi="宋体" w:cs="宋体"/>
                <w:color w:val="auto"/>
                <w:szCs w:val="21"/>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0BF68CBB">
            <w:pPr>
              <w:widowControl/>
              <w:ind w:firstLine="0" w:firstLineChars="0"/>
              <w:jc w:val="center"/>
              <w:textAlignment w:val="center"/>
              <w:rPr>
                <w:rFonts w:ascii="宋体" w:hAnsi="宋体" w:cs="宋体"/>
                <w:color w:val="auto"/>
                <w:szCs w:val="21"/>
              </w:rPr>
            </w:pPr>
            <w:r>
              <w:rPr>
                <w:rFonts w:ascii="宋体" w:hAnsi="宋体" w:cs="宋体"/>
              </w:rPr>
              <w:t>●</w:t>
            </w:r>
          </w:p>
        </w:tc>
      </w:tr>
      <w:tr w14:paraId="7B5C9E23">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64B7B302">
            <w:pPr>
              <w:widowControl/>
              <w:ind w:firstLine="420"/>
              <w:jc w:val="both"/>
              <w:textAlignment w:val="center"/>
              <w:rPr>
                <w:color w:val="000000"/>
                <w:szCs w:val="21"/>
              </w:rPr>
            </w:pPr>
            <w:r>
              <w:rPr>
                <w:color w:val="000000"/>
                <w:kern w:val="0"/>
                <w:szCs w:val="21"/>
                <w:lang w:bidi="ar"/>
              </w:rPr>
              <w:t>4</w:t>
            </w:r>
          </w:p>
        </w:tc>
        <w:tc>
          <w:tcPr>
            <w:tcW w:w="1159" w:type="pct"/>
            <w:tcBorders>
              <w:top w:val="single" w:color="000000" w:sz="4" w:space="0"/>
              <w:left w:val="single" w:color="000000" w:sz="4" w:space="0"/>
              <w:bottom w:val="single" w:color="000000" w:sz="4" w:space="0"/>
              <w:right w:val="single" w:color="000000" w:sz="4" w:space="0"/>
            </w:tcBorders>
            <w:vAlign w:val="center"/>
          </w:tcPr>
          <w:p w14:paraId="765B4FCE">
            <w:pPr>
              <w:widowControl/>
              <w:ind w:firstLine="0" w:firstLineChars="0"/>
              <w:jc w:val="center"/>
              <w:textAlignment w:val="center"/>
              <w:rPr>
                <w:rFonts w:hint="eastAsia" w:ascii="宋体" w:hAnsi="宋体" w:cs="宋体"/>
                <w:color w:val="000000"/>
                <w:szCs w:val="21"/>
              </w:rPr>
            </w:pPr>
            <w:r>
              <w:rPr>
                <w:rFonts w:hint="eastAsia" w:ascii="宋体" w:hAnsi="宋体" w:cs="宋体"/>
                <w:szCs w:val="21"/>
              </w:rPr>
              <w:t>升级维护</w:t>
            </w:r>
          </w:p>
        </w:tc>
        <w:tc>
          <w:tcPr>
            <w:tcW w:w="572" w:type="pct"/>
            <w:tcBorders>
              <w:top w:val="single" w:color="000000" w:sz="4" w:space="0"/>
              <w:left w:val="single" w:color="000000" w:sz="4" w:space="0"/>
              <w:bottom w:val="single" w:color="000000" w:sz="4" w:space="0"/>
              <w:right w:val="single" w:color="000000" w:sz="4" w:space="0"/>
            </w:tcBorders>
            <w:vAlign w:val="center"/>
          </w:tcPr>
          <w:p w14:paraId="28118A3F">
            <w:pPr>
              <w:widowControl/>
              <w:ind w:firstLine="0" w:firstLineChars="0"/>
              <w:jc w:val="center"/>
              <w:textAlignment w:val="center"/>
              <w:rPr>
                <w:rFonts w:ascii="宋体" w:hAnsi="宋体" w:cs="宋体"/>
                <w:color w:val="auto"/>
                <w:szCs w:val="21"/>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43F168D4">
            <w:pPr>
              <w:widowControl/>
              <w:ind w:firstLine="0" w:firstLineChars="0"/>
              <w:jc w:val="center"/>
              <w:textAlignment w:val="center"/>
              <w:rPr>
                <w:rStyle w:val="35"/>
                <w:rFonts w:ascii="宋体" w:hAnsi="宋体" w:cs="宋体"/>
                <w:lang w:bidi="ar"/>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1F4F73F8">
            <w:pPr>
              <w:widowControl/>
              <w:ind w:firstLine="0" w:firstLineChars="0"/>
              <w:jc w:val="center"/>
              <w:textAlignment w:val="center"/>
              <w:rPr>
                <w:rStyle w:val="35"/>
                <w:rFonts w:ascii="宋体" w:hAnsi="宋体" w:cs="宋体"/>
                <w:lang w:bidi="ar"/>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4620BA99">
            <w:pPr>
              <w:widowControl/>
              <w:ind w:firstLine="0" w:firstLineChars="0"/>
              <w:jc w:val="center"/>
              <w:textAlignment w:val="center"/>
              <w:rPr>
                <w:rFonts w:ascii="宋体" w:hAnsi="宋体" w:cs="宋体"/>
                <w:color w:val="auto"/>
                <w:szCs w:val="21"/>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70A360B0">
            <w:pPr>
              <w:widowControl/>
              <w:ind w:firstLine="0" w:firstLineChars="0"/>
              <w:jc w:val="center"/>
              <w:textAlignment w:val="center"/>
              <w:rPr>
                <w:rFonts w:ascii="宋体" w:hAnsi="宋体" w:cs="宋体"/>
                <w:color w:val="auto"/>
                <w:szCs w:val="21"/>
              </w:rPr>
            </w:pPr>
            <w:r>
              <w:rPr>
                <w:rFonts w:ascii="宋体" w:hAnsi="宋体" w:cs="宋体"/>
                <w:szCs w:val="21"/>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46C1295D">
            <w:pPr>
              <w:widowControl/>
              <w:ind w:firstLine="0" w:firstLineChars="0"/>
              <w:jc w:val="center"/>
              <w:textAlignment w:val="center"/>
              <w:rPr>
                <w:rStyle w:val="35"/>
                <w:rFonts w:ascii="宋体" w:hAnsi="宋体" w:cs="宋体"/>
                <w:lang w:bidi="ar"/>
              </w:rPr>
            </w:pPr>
            <w:r>
              <w:rPr>
                <w:rFonts w:ascii="宋体" w:hAnsi="宋体" w:cs="宋体"/>
                <w:szCs w:val="21"/>
              </w:rPr>
              <w:t>○</w:t>
            </w:r>
          </w:p>
        </w:tc>
      </w:tr>
      <w:tr w14:paraId="250AD27A">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0B83C965">
            <w:pPr>
              <w:widowControl/>
              <w:ind w:firstLine="420"/>
              <w:jc w:val="both"/>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val="en-US" w:eastAsia="zh-CN" w:bidi="ar"/>
              </w:rPr>
              <w:t>5</w:t>
            </w:r>
          </w:p>
        </w:tc>
        <w:tc>
          <w:tcPr>
            <w:tcW w:w="1159" w:type="pct"/>
            <w:tcBorders>
              <w:top w:val="single" w:color="000000" w:sz="4" w:space="0"/>
              <w:left w:val="single" w:color="000000" w:sz="4" w:space="0"/>
              <w:bottom w:val="single" w:color="000000" w:sz="4" w:space="0"/>
              <w:right w:val="single" w:color="000000" w:sz="4" w:space="0"/>
            </w:tcBorders>
            <w:vAlign w:val="center"/>
          </w:tcPr>
          <w:p w14:paraId="59D1DE8A">
            <w:pPr>
              <w:widowControl/>
              <w:ind w:firstLine="0" w:firstLineChars="0"/>
              <w:jc w:val="center"/>
              <w:textAlignment w:val="center"/>
              <w:rPr>
                <w:rFonts w:hint="eastAsia" w:ascii="宋体" w:hAnsi="宋体" w:cs="宋体"/>
                <w:szCs w:val="21"/>
              </w:rPr>
            </w:pPr>
            <w:r>
              <w:rPr>
                <w:rFonts w:hint="eastAsia" w:ascii="宋体" w:hAnsi="宋体" w:cs="宋体"/>
                <w:szCs w:val="21"/>
              </w:rPr>
              <w:t>开关量采集</w:t>
            </w:r>
          </w:p>
        </w:tc>
        <w:tc>
          <w:tcPr>
            <w:tcW w:w="572" w:type="pct"/>
            <w:tcBorders>
              <w:top w:val="single" w:color="000000" w:sz="4" w:space="0"/>
              <w:left w:val="single" w:color="000000" w:sz="4" w:space="0"/>
              <w:bottom w:val="single" w:color="000000" w:sz="4" w:space="0"/>
              <w:right w:val="single" w:color="000000" w:sz="4" w:space="0"/>
            </w:tcBorders>
            <w:vAlign w:val="center"/>
          </w:tcPr>
          <w:p w14:paraId="63532C79">
            <w:pPr>
              <w:widowControl/>
              <w:ind w:firstLine="0" w:firstLineChars="0"/>
              <w:jc w:val="center"/>
              <w:textAlignment w:val="center"/>
              <w:rPr>
                <w:rFonts w:hint="eastAsia" w:ascii="宋体" w:hAnsi="宋体" w:cs="宋体"/>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08DDFDB8">
            <w:pPr>
              <w:widowControl/>
              <w:ind w:firstLine="0" w:firstLineChars="0"/>
              <w:jc w:val="center"/>
              <w:textAlignment w:val="center"/>
              <w:rPr>
                <w:rFonts w:hint="eastAsia" w:ascii="宋体" w:hAnsi="宋体" w:cs="宋体"/>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475B3490">
            <w:pPr>
              <w:widowControl/>
              <w:ind w:firstLine="0" w:firstLineChars="0"/>
              <w:jc w:val="center"/>
              <w:textAlignment w:val="center"/>
              <w:rPr>
                <w:rFonts w:hint="eastAsia" w:ascii="宋体" w:hAnsi="宋体" w:cs="宋体"/>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10FC6569">
            <w:pPr>
              <w:widowControl/>
              <w:ind w:firstLine="0" w:firstLineChars="0"/>
              <w:jc w:val="center"/>
              <w:textAlignment w:val="center"/>
              <w:rPr>
                <w:rFonts w:hint="eastAsia" w:ascii="宋体" w:hAnsi="宋体" w:cs="宋体"/>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3DCB329B">
            <w:pPr>
              <w:widowControl/>
              <w:ind w:firstLine="0" w:firstLineChars="0"/>
              <w:jc w:val="center"/>
              <w:textAlignment w:val="center"/>
              <w:rPr>
                <w:rFonts w:hint="eastAsia" w:ascii="宋体" w:hAnsi="宋体" w:cs="宋体"/>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37612665">
            <w:pPr>
              <w:widowControl/>
              <w:ind w:firstLine="0" w:firstLineChars="0"/>
              <w:jc w:val="center"/>
              <w:textAlignment w:val="center"/>
              <w:rPr>
                <w:rFonts w:hint="eastAsia" w:ascii="宋体" w:hAnsi="宋体" w:cs="宋体"/>
              </w:rPr>
            </w:pPr>
            <w:r>
              <w:rPr>
                <w:rFonts w:ascii="宋体" w:hAnsi="宋体" w:cs="宋体"/>
              </w:rPr>
              <w:t>●</w:t>
            </w:r>
          </w:p>
        </w:tc>
      </w:tr>
      <w:tr w14:paraId="7B41698C">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15795346">
            <w:pPr>
              <w:widowControl/>
              <w:ind w:firstLine="420"/>
              <w:jc w:val="both"/>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val="en-US" w:eastAsia="zh-CN" w:bidi="ar"/>
              </w:rPr>
              <w:t>6</w:t>
            </w:r>
          </w:p>
        </w:tc>
        <w:tc>
          <w:tcPr>
            <w:tcW w:w="1159" w:type="pct"/>
            <w:tcBorders>
              <w:top w:val="single" w:color="000000" w:sz="4" w:space="0"/>
              <w:left w:val="single" w:color="000000" w:sz="4" w:space="0"/>
              <w:bottom w:val="single" w:color="000000" w:sz="4" w:space="0"/>
              <w:right w:val="single" w:color="000000" w:sz="4" w:space="0"/>
            </w:tcBorders>
            <w:vAlign w:val="center"/>
          </w:tcPr>
          <w:p w14:paraId="6A7C586D">
            <w:pPr>
              <w:widowControl/>
              <w:ind w:firstLine="0" w:firstLineChars="0"/>
              <w:jc w:val="center"/>
              <w:textAlignment w:val="center"/>
              <w:rPr>
                <w:rFonts w:hint="eastAsia" w:ascii="宋体" w:hAnsi="宋体" w:cs="宋体"/>
                <w:szCs w:val="21"/>
              </w:rPr>
            </w:pPr>
            <w:r>
              <w:rPr>
                <w:rFonts w:hint="eastAsia" w:ascii="宋体" w:hAnsi="宋体" w:cs="宋体"/>
                <w:szCs w:val="21"/>
              </w:rPr>
              <w:t>开光量输出</w:t>
            </w:r>
          </w:p>
        </w:tc>
        <w:tc>
          <w:tcPr>
            <w:tcW w:w="572" w:type="pct"/>
            <w:tcBorders>
              <w:top w:val="single" w:color="000000" w:sz="4" w:space="0"/>
              <w:left w:val="single" w:color="000000" w:sz="4" w:space="0"/>
              <w:bottom w:val="single" w:color="000000" w:sz="4" w:space="0"/>
              <w:right w:val="single" w:color="000000" w:sz="4" w:space="0"/>
            </w:tcBorders>
            <w:vAlign w:val="center"/>
          </w:tcPr>
          <w:p w14:paraId="3F59500C">
            <w:pPr>
              <w:widowControl/>
              <w:ind w:firstLine="0" w:firstLineChars="0"/>
              <w:jc w:val="center"/>
              <w:textAlignment w:val="center"/>
              <w:rPr>
                <w:rFonts w:hint="eastAsia" w:ascii="宋体" w:hAnsi="宋体" w:cs="宋体"/>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6060BF43">
            <w:pPr>
              <w:widowControl/>
              <w:ind w:firstLine="0" w:firstLineChars="0"/>
              <w:jc w:val="center"/>
              <w:textAlignment w:val="center"/>
              <w:rPr>
                <w:rFonts w:hint="eastAsia" w:ascii="宋体" w:hAnsi="宋体" w:cs="宋体"/>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7A96648C">
            <w:pPr>
              <w:widowControl/>
              <w:ind w:firstLine="0" w:firstLineChars="0"/>
              <w:jc w:val="center"/>
              <w:textAlignment w:val="center"/>
              <w:rPr>
                <w:rFonts w:hint="eastAsia" w:ascii="宋体" w:hAnsi="宋体" w:cs="宋体"/>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769C4EAF">
            <w:pPr>
              <w:widowControl/>
              <w:ind w:firstLine="0" w:firstLineChars="0"/>
              <w:jc w:val="center"/>
              <w:textAlignment w:val="center"/>
              <w:rPr>
                <w:rFonts w:hint="eastAsia" w:ascii="宋体" w:hAnsi="宋体" w:cs="宋体"/>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65838B47">
            <w:pPr>
              <w:widowControl/>
              <w:ind w:firstLine="0" w:firstLineChars="0"/>
              <w:jc w:val="center"/>
              <w:textAlignment w:val="center"/>
              <w:rPr>
                <w:rFonts w:hint="eastAsia" w:ascii="宋体" w:hAnsi="宋体" w:cs="宋体"/>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02831ECE">
            <w:pPr>
              <w:widowControl/>
              <w:ind w:firstLine="0" w:firstLineChars="0"/>
              <w:jc w:val="center"/>
              <w:textAlignment w:val="center"/>
              <w:rPr>
                <w:rFonts w:hint="eastAsia" w:ascii="宋体" w:hAnsi="宋体" w:cs="宋体"/>
              </w:rPr>
            </w:pPr>
            <w:r>
              <w:rPr>
                <w:rFonts w:ascii="宋体" w:hAnsi="宋体" w:cs="宋体"/>
              </w:rPr>
              <w:t>●</w:t>
            </w:r>
          </w:p>
        </w:tc>
      </w:tr>
      <w:tr w14:paraId="5B4E5A1D">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vAlign w:val="center"/>
          </w:tcPr>
          <w:p w14:paraId="3023ED7D">
            <w:pPr>
              <w:widowControl/>
              <w:ind w:firstLine="420"/>
              <w:jc w:val="both"/>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val="en-US" w:eastAsia="zh-CN" w:bidi="ar"/>
              </w:rPr>
              <w:t>7</w:t>
            </w:r>
          </w:p>
        </w:tc>
        <w:tc>
          <w:tcPr>
            <w:tcW w:w="1159" w:type="pct"/>
            <w:tcBorders>
              <w:top w:val="single" w:color="000000" w:sz="4" w:space="0"/>
              <w:left w:val="single" w:color="000000" w:sz="4" w:space="0"/>
              <w:bottom w:val="single" w:color="000000" w:sz="4" w:space="0"/>
              <w:right w:val="single" w:color="000000" w:sz="4" w:space="0"/>
            </w:tcBorders>
            <w:vAlign w:val="center"/>
          </w:tcPr>
          <w:p w14:paraId="6D5A99A4">
            <w:pPr>
              <w:widowControl/>
              <w:ind w:firstLine="0" w:firstLineChars="0"/>
              <w:jc w:val="center"/>
              <w:textAlignment w:val="center"/>
              <w:rPr>
                <w:rFonts w:hint="eastAsia" w:ascii="宋体" w:hAnsi="宋体" w:cs="宋体"/>
                <w:szCs w:val="21"/>
              </w:rPr>
            </w:pPr>
            <w:r>
              <w:rPr>
                <w:rFonts w:hint="eastAsia" w:ascii="宋体" w:hAnsi="宋体" w:cs="宋体"/>
                <w:szCs w:val="21"/>
              </w:rPr>
              <w:t>功耗</w:t>
            </w:r>
          </w:p>
        </w:tc>
        <w:tc>
          <w:tcPr>
            <w:tcW w:w="572" w:type="pct"/>
            <w:tcBorders>
              <w:top w:val="single" w:color="000000" w:sz="4" w:space="0"/>
              <w:left w:val="single" w:color="000000" w:sz="4" w:space="0"/>
              <w:bottom w:val="single" w:color="000000" w:sz="4" w:space="0"/>
              <w:right w:val="single" w:color="000000" w:sz="4" w:space="0"/>
            </w:tcBorders>
            <w:vAlign w:val="center"/>
          </w:tcPr>
          <w:p w14:paraId="47C5227C">
            <w:pPr>
              <w:widowControl/>
              <w:ind w:firstLine="0" w:firstLineChars="0"/>
              <w:jc w:val="center"/>
              <w:textAlignment w:val="center"/>
              <w:rPr>
                <w:rFonts w:hint="eastAsia" w:ascii="宋体" w:hAnsi="宋体" w:cs="宋体"/>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70C8DD44">
            <w:pPr>
              <w:widowControl/>
              <w:ind w:firstLine="0" w:firstLineChars="0"/>
              <w:jc w:val="center"/>
              <w:textAlignment w:val="center"/>
              <w:rPr>
                <w:rFonts w:hint="eastAsia" w:ascii="宋体" w:hAnsi="宋体" w:cs="宋体"/>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vAlign w:val="center"/>
          </w:tcPr>
          <w:p w14:paraId="64DD5AF5">
            <w:pPr>
              <w:widowControl/>
              <w:ind w:firstLine="0" w:firstLineChars="0"/>
              <w:jc w:val="center"/>
              <w:textAlignment w:val="center"/>
              <w:rPr>
                <w:rFonts w:hint="eastAsia" w:ascii="宋体" w:hAnsi="宋体" w:cs="宋体"/>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vAlign w:val="center"/>
          </w:tcPr>
          <w:p w14:paraId="1AF76084">
            <w:pPr>
              <w:widowControl/>
              <w:ind w:firstLine="0" w:firstLineChars="0"/>
              <w:jc w:val="center"/>
              <w:textAlignment w:val="center"/>
              <w:rPr>
                <w:rFonts w:hint="eastAsia" w:ascii="宋体" w:hAnsi="宋体" w:cs="宋体"/>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1F3E76EE">
            <w:pPr>
              <w:widowControl/>
              <w:ind w:firstLine="0" w:firstLineChars="0"/>
              <w:jc w:val="center"/>
              <w:textAlignment w:val="center"/>
              <w:rPr>
                <w:rFonts w:hint="eastAsia" w:ascii="宋体" w:hAnsi="宋体" w:cs="宋体"/>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vAlign w:val="center"/>
          </w:tcPr>
          <w:p w14:paraId="3A654D2C">
            <w:pPr>
              <w:widowControl/>
              <w:ind w:firstLine="0" w:firstLineChars="0"/>
              <w:jc w:val="center"/>
              <w:textAlignment w:val="center"/>
              <w:rPr>
                <w:rFonts w:hint="eastAsia" w:ascii="宋体" w:hAnsi="宋体" w:cs="宋体"/>
              </w:rPr>
            </w:pPr>
            <w:r>
              <w:rPr>
                <w:rFonts w:ascii="宋体" w:hAnsi="宋体" w:cs="宋体"/>
              </w:rPr>
              <w:t>●</w:t>
            </w:r>
          </w:p>
        </w:tc>
      </w:tr>
      <w:tr w14:paraId="69001A3E">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6D9B3">
            <w:pPr>
              <w:widowControl/>
              <w:ind w:firstLine="420" w:firstLineChars="200"/>
              <w:jc w:val="both"/>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val="en-US" w:eastAsia="zh-CN" w:bidi="ar"/>
              </w:rPr>
              <w:t>8</w:t>
            </w: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7361">
            <w:pPr>
              <w:widowControl/>
              <w:ind w:firstLine="0" w:firstLineChars="0"/>
              <w:jc w:val="center"/>
              <w:textAlignment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光伏调节</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9C19">
            <w:pPr>
              <w:widowControl/>
              <w:ind w:firstLine="0" w:firstLineChars="0"/>
              <w:jc w:val="center"/>
              <w:textAlignment w:val="center"/>
              <w:rPr>
                <w:rStyle w:val="35"/>
                <w:rFonts w:hint="eastAsia" w:ascii="宋体" w:hAnsi="宋体" w:cs="宋体"/>
                <w:lang w:val="en-US" w:eastAsia="zh-CN" w:bidi="ar"/>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3E15D">
            <w:pPr>
              <w:widowControl/>
              <w:ind w:firstLine="0" w:firstLineChars="0"/>
              <w:jc w:val="center"/>
              <w:textAlignment w:val="center"/>
              <w:rPr>
                <w:rFonts w:hint="eastAsia" w:ascii="宋体" w:hAnsi="宋体" w:eastAsia="宋体" w:cs="宋体"/>
                <w:kern w:val="2"/>
                <w:sz w:val="21"/>
                <w:szCs w:val="22"/>
                <w:lang w:val="en-US" w:eastAsia="zh-CN" w:bidi="ar"/>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E1537">
            <w:pPr>
              <w:widowControl/>
              <w:ind w:firstLine="0" w:firstLineChars="0"/>
              <w:jc w:val="center"/>
              <w:textAlignment w:val="center"/>
              <w:rPr>
                <w:rFonts w:hint="eastAsia" w:ascii="宋体" w:hAnsi="宋体" w:eastAsia="宋体" w:cs="宋体"/>
                <w:kern w:val="2"/>
                <w:sz w:val="21"/>
                <w:szCs w:val="22"/>
                <w:lang w:val="en-US" w:eastAsia="zh-CN" w:bidi="ar"/>
              </w:rPr>
            </w:pPr>
            <w:r>
              <w:rPr>
                <w:rStyle w:val="35"/>
                <w:rFonts w:hint="eastAsia" w:ascii="宋体" w:hAnsi="宋体" w:cs="宋体"/>
                <w:lang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7852">
            <w:pPr>
              <w:widowControl/>
              <w:ind w:firstLine="0" w:firstLineChars="0"/>
              <w:jc w:val="center"/>
              <w:textAlignment w:val="center"/>
              <w:rPr>
                <w:rStyle w:val="35"/>
                <w:rFonts w:hint="eastAsia" w:ascii="宋体" w:hAnsi="宋体" w:cs="宋体"/>
                <w:lang w:val="en-US" w:eastAsia="zh-CN" w:bidi="ar"/>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36E08">
            <w:pPr>
              <w:widowControl/>
              <w:ind w:firstLine="0" w:firstLineChars="0"/>
              <w:jc w:val="center"/>
              <w:textAlignment w:val="center"/>
              <w:rPr>
                <w:rFonts w:ascii="宋体" w:hAnsi="宋体" w:eastAsia="宋体" w:cs="宋体"/>
                <w:kern w:val="2"/>
                <w:sz w:val="21"/>
                <w:szCs w:val="22"/>
                <w:lang w:val="en-US" w:eastAsia="zh-CN" w:bidi="ar-SA"/>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861F">
            <w:pPr>
              <w:widowControl/>
              <w:ind w:firstLine="0" w:firstLineChars="0"/>
              <w:jc w:val="center"/>
              <w:textAlignment w:val="center"/>
              <w:rPr>
                <w:rFonts w:ascii="宋体" w:hAnsi="宋体" w:eastAsia="宋体" w:cs="宋体"/>
                <w:kern w:val="2"/>
                <w:sz w:val="21"/>
                <w:szCs w:val="22"/>
                <w:lang w:val="en-US" w:eastAsia="zh-CN" w:bidi="ar-SA"/>
              </w:rPr>
            </w:pPr>
            <w:r>
              <w:rPr>
                <w:rStyle w:val="35"/>
                <w:rFonts w:hint="eastAsia" w:ascii="宋体" w:hAnsi="宋体" w:cs="宋体"/>
                <w:lang w:bidi="ar"/>
              </w:rPr>
              <w:t>○</w:t>
            </w:r>
          </w:p>
        </w:tc>
      </w:tr>
      <w:tr w14:paraId="38B5F505">
        <w:tblPrEx>
          <w:tblCellMar>
            <w:top w:w="0" w:type="dxa"/>
            <w:left w:w="108" w:type="dxa"/>
            <w:bottom w:w="0" w:type="dxa"/>
            <w:right w:w="108" w:type="dxa"/>
          </w:tblCellMar>
        </w:tblPrEx>
        <w:trPr>
          <w:gridAfter w:val="1"/>
          <w:wAfter w:w="19" w:type="pct"/>
          <w:trHeight w:val="288"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8782">
            <w:pPr>
              <w:widowControl/>
              <w:ind w:firstLine="420" w:firstLineChars="200"/>
              <w:jc w:val="both"/>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val="en-US" w:eastAsia="zh-CN" w:bidi="ar"/>
              </w:rPr>
              <w:t>9</w:t>
            </w: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453E1">
            <w:pPr>
              <w:widowControl/>
              <w:ind w:firstLine="0" w:firstLineChars="0"/>
              <w:jc w:val="center"/>
              <w:textAlignment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充电桩调节</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4686">
            <w:pPr>
              <w:widowControl/>
              <w:ind w:firstLine="0" w:firstLineChars="0"/>
              <w:jc w:val="center"/>
              <w:textAlignment w:val="center"/>
              <w:rPr>
                <w:rStyle w:val="35"/>
                <w:rFonts w:hint="eastAsia" w:ascii="宋体" w:hAnsi="宋体" w:cs="宋体"/>
                <w:lang w:val="en-US" w:eastAsia="zh-CN" w:bidi="ar"/>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765D2">
            <w:pPr>
              <w:widowControl/>
              <w:ind w:firstLine="0" w:firstLineChars="0"/>
              <w:jc w:val="center"/>
              <w:textAlignment w:val="center"/>
              <w:rPr>
                <w:rFonts w:hint="eastAsia" w:ascii="宋体" w:hAnsi="宋体" w:eastAsia="宋体" w:cs="宋体"/>
                <w:kern w:val="2"/>
                <w:sz w:val="21"/>
                <w:szCs w:val="22"/>
                <w:lang w:val="en-US" w:eastAsia="zh-CN" w:bidi="ar"/>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A8647">
            <w:pPr>
              <w:widowControl/>
              <w:ind w:firstLine="0" w:firstLineChars="0"/>
              <w:jc w:val="center"/>
              <w:textAlignment w:val="center"/>
              <w:rPr>
                <w:rFonts w:hint="eastAsia" w:ascii="宋体" w:hAnsi="宋体" w:eastAsia="宋体" w:cs="宋体"/>
                <w:kern w:val="2"/>
                <w:sz w:val="21"/>
                <w:szCs w:val="22"/>
                <w:lang w:val="en-US" w:eastAsia="zh-CN" w:bidi="ar"/>
              </w:rPr>
            </w:pPr>
            <w:r>
              <w:rPr>
                <w:rStyle w:val="35"/>
                <w:rFonts w:hint="eastAsia" w:ascii="宋体" w:hAnsi="宋体" w:cs="宋体"/>
                <w:lang w:bidi="ar"/>
              </w:rPr>
              <w:t>○</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2A12">
            <w:pPr>
              <w:widowControl/>
              <w:ind w:firstLine="0" w:firstLineChars="0"/>
              <w:jc w:val="center"/>
              <w:textAlignment w:val="center"/>
              <w:rPr>
                <w:rStyle w:val="35"/>
                <w:rFonts w:hint="eastAsia" w:ascii="宋体" w:hAnsi="宋体" w:cs="宋体"/>
                <w:lang w:val="en-US" w:eastAsia="zh-CN" w:bidi="ar"/>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1977">
            <w:pPr>
              <w:widowControl/>
              <w:ind w:firstLine="0" w:firstLineChars="0"/>
              <w:jc w:val="center"/>
              <w:textAlignment w:val="center"/>
              <w:rPr>
                <w:rFonts w:ascii="宋体" w:hAnsi="宋体" w:eastAsia="宋体" w:cs="宋体"/>
                <w:kern w:val="2"/>
                <w:sz w:val="21"/>
                <w:szCs w:val="22"/>
                <w:lang w:val="en-US" w:eastAsia="zh-CN" w:bidi="ar-SA"/>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26372">
            <w:pPr>
              <w:widowControl/>
              <w:ind w:firstLine="0" w:firstLineChars="0"/>
              <w:jc w:val="center"/>
              <w:textAlignment w:val="center"/>
              <w:rPr>
                <w:rFonts w:ascii="宋体" w:hAnsi="宋体" w:eastAsia="宋体" w:cs="宋体"/>
                <w:kern w:val="2"/>
                <w:sz w:val="21"/>
                <w:szCs w:val="22"/>
                <w:lang w:val="en-US" w:eastAsia="zh-CN" w:bidi="ar-SA"/>
              </w:rPr>
            </w:pPr>
            <w:r>
              <w:rPr>
                <w:rStyle w:val="35"/>
                <w:rFonts w:hint="eastAsia" w:ascii="宋体" w:hAnsi="宋体" w:cs="宋体"/>
                <w:lang w:bidi="ar"/>
              </w:rPr>
              <w:t>○</w:t>
            </w:r>
          </w:p>
        </w:tc>
      </w:tr>
      <w:tr w14:paraId="327ADAFA">
        <w:tblPrEx>
          <w:tblCellMar>
            <w:top w:w="0" w:type="dxa"/>
            <w:left w:w="108" w:type="dxa"/>
            <w:bottom w:w="0" w:type="dxa"/>
            <w:right w:w="108" w:type="dxa"/>
          </w:tblCellMar>
        </w:tblPrEx>
        <w:trPr>
          <w:trHeight w:val="288" w:hRule="atLeast"/>
        </w:trPr>
        <w:tc>
          <w:tcPr>
            <w:tcW w:w="5000" w:type="pct"/>
            <w:gridSpan w:val="9"/>
            <w:tcBorders>
              <w:top w:val="single" w:color="000000" w:sz="4" w:space="0"/>
              <w:left w:val="single" w:color="000000" w:sz="4" w:space="0"/>
              <w:bottom w:val="single" w:color="000000" w:sz="4" w:space="0"/>
              <w:right w:val="single" w:color="000000" w:sz="4" w:space="0"/>
            </w:tcBorders>
            <w:vAlign w:val="center"/>
          </w:tcPr>
          <w:p w14:paraId="4D32D74F">
            <w:pPr>
              <w:ind w:firstLine="0" w:firstLineChars="0"/>
              <w:jc w:val="both"/>
              <w:rPr>
                <w:rFonts w:hint="eastAsia" w:ascii="宋体" w:hAnsi="宋体" w:cs="宋体"/>
                <w:color w:val="000000"/>
                <w:sz w:val="22"/>
              </w:rPr>
            </w:pPr>
            <w:r>
              <w:rPr>
                <w:rFonts w:hint="eastAsia" w:ascii="宋体" w:hAnsi="宋体"/>
                <w:snapToGrid w:val="0"/>
                <w:kern w:val="0"/>
                <w:szCs w:val="21"/>
                <w:lang w:eastAsia="zh-CN"/>
              </w:rPr>
              <w:t>电力开源物联版配电物联代理单元</w:t>
            </w:r>
            <w:r>
              <w:rPr>
                <w:rFonts w:hint="eastAsia" w:ascii="宋体" w:hAnsi="宋体"/>
                <w:snapToGrid w:val="0"/>
                <w:kern w:val="0"/>
                <w:szCs w:val="21"/>
                <w:lang w:val="en-US" w:eastAsia="zh-CN"/>
              </w:rPr>
              <w:t>（无线版）</w:t>
            </w:r>
            <w:r>
              <w:rPr>
                <w:rFonts w:hint="eastAsia" w:ascii="宋体" w:hAnsi="宋体" w:cs="宋体"/>
                <w:color w:val="000000"/>
                <w:sz w:val="22"/>
                <w:lang w:val="en-US" w:eastAsia="zh-CN"/>
              </w:rPr>
              <w:t>特殊</w:t>
            </w:r>
            <w:r>
              <w:rPr>
                <w:rFonts w:hint="eastAsia" w:ascii="宋体" w:hAnsi="宋体" w:cs="宋体"/>
                <w:color w:val="000000"/>
                <w:sz w:val="22"/>
              </w:rPr>
              <w:t>检查项目</w:t>
            </w:r>
          </w:p>
        </w:tc>
      </w:tr>
      <w:tr w14:paraId="4906B6CE">
        <w:tblPrEx>
          <w:tblCellMar>
            <w:top w:w="0" w:type="dxa"/>
            <w:left w:w="108" w:type="dxa"/>
            <w:bottom w:w="0" w:type="dxa"/>
            <w:right w:w="108" w:type="dxa"/>
          </w:tblCellMar>
        </w:tblPrEx>
        <w:trPr>
          <w:gridAfter w:val="1"/>
          <w:wAfter w:w="19" w:type="pct"/>
          <w:trHeight w:val="283" w:hRule="atLeast"/>
        </w:trPr>
        <w:tc>
          <w:tcPr>
            <w:tcW w:w="514" w:type="pct"/>
            <w:tcBorders>
              <w:top w:val="single" w:color="000000" w:sz="4" w:space="0"/>
              <w:left w:val="single" w:color="000000" w:sz="4" w:space="0"/>
              <w:bottom w:val="single" w:color="000000" w:sz="4" w:space="0"/>
              <w:right w:val="single" w:color="000000" w:sz="4" w:space="0"/>
            </w:tcBorders>
            <w:noWrap/>
            <w:vAlign w:val="center"/>
          </w:tcPr>
          <w:p w14:paraId="2E2F642A">
            <w:pPr>
              <w:ind w:firstLine="440"/>
              <w:jc w:val="both"/>
              <w:rPr>
                <w:rFonts w:hint="eastAsia" w:ascii="宋体" w:hAnsi="宋体" w:cs="宋体"/>
                <w:color w:val="000000"/>
                <w:sz w:val="22"/>
              </w:rPr>
            </w:pPr>
            <w:r>
              <w:rPr>
                <w:rFonts w:hint="eastAsia" w:ascii="宋体" w:hAnsi="宋体" w:cs="宋体"/>
                <w:color w:val="000000"/>
                <w:sz w:val="22"/>
              </w:rPr>
              <w:t>1</w:t>
            </w:r>
          </w:p>
        </w:tc>
        <w:tc>
          <w:tcPr>
            <w:tcW w:w="1159" w:type="pct"/>
            <w:tcBorders>
              <w:top w:val="single" w:color="000000" w:sz="4" w:space="0"/>
              <w:left w:val="single" w:color="000000" w:sz="4" w:space="0"/>
              <w:bottom w:val="single" w:color="000000" w:sz="4" w:space="0"/>
              <w:right w:val="single" w:color="000000" w:sz="4" w:space="0"/>
            </w:tcBorders>
            <w:noWrap/>
            <w:vAlign w:val="center"/>
          </w:tcPr>
          <w:p w14:paraId="6B2273B3">
            <w:pPr>
              <w:widowControl/>
              <w:ind w:firstLine="0" w:firstLineChars="0"/>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无线电抗扰抑制</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D8F11">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64E87">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F523A">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7C51">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83C4B">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DCF4D">
            <w:pPr>
              <w:widowControl/>
              <w:ind w:firstLine="0" w:firstLineChars="0"/>
              <w:jc w:val="center"/>
              <w:textAlignment w:val="center"/>
              <w:rPr>
                <w:rFonts w:ascii="宋体" w:hAnsi="宋体" w:eastAsia="宋体" w:cs="宋体"/>
                <w:color w:val="auto"/>
                <w:kern w:val="2"/>
                <w:sz w:val="21"/>
                <w:szCs w:val="21"/>
                <w:lang w:val="en-US" w:eastAsia="zh-CN" w:bidi="ar-SA"/>
              </w:rPr>
            </w:pPr>
            <w:r>
              <w:rPr>
                <w:rStyle w:val="35"/>
                <w:rFonts w:hint="eastAsia" w:ascii="宋体" w:hAnsi="宋体" w:cs="宋体"/>
                <w:lang w:bidi="ar"/>
              </w:rPr>
              <w:t>○</w:t>
            </w:r>
          </w:p>
        </w:tc>
      </w:tr>
      <w:tr w14:paraId="5A365B2F">
        <w:tblPrEx>
          <w:tblCellMar>
            <w:top w:w="0" w:type="dxa"/>
            <w:left w:w="108" w:type="dxa"/>
            <w:bottom w:w="0" w:type="dxa"/>
            <w:right w:w="108" w:type="dxa"/>
          </w:tblCellMar>
        </w:tblPrEx>
        <w:trPr>
          <w:gridAfter w:val="1"/>
          <w:wAfter w:w="19" w:type="pct"/>
          <w:trHeight w:val="313" w:hRule="atLeast"/>
        </w:trPr>
        <w:tc>
          <w:tcPr>
            <w:tcW w:w="514" w:type="pct"/>
            <w:tcBorders>
              <w:top w:val="single" w:color="000000" w:sz="4" w:space="0"/>
              <w:left w:val="single" w:color="000000" w:sz="4" w:space="0"/>
              <w:bottom w:val="single" w:color="000000" w:sz="4" w:space="0"/>
              <w:right w:val="single" w:color="000000" w:sz="4" w:space="0"/>
            </w:tcBorders>
            <w:noWrap/>
            <w:vAlign w:val="center"/>
          </w:tcPr>
          <w:p w14:paraId="40709196">
            <w:pPr>
              <w:ind w:firstLine="440"/>
              <w:jc w:val="both"/>
              <w:rPr>
                <w:rFonts w:hint="eastAsia" w:ascii="宋体" w:hAnsi="宋体" w:eastAsia="宋体" w:cs="宋体"/>
                <w:color w:val="000000"/>
                <w:sz w:val="22"/>
                <w:lang w:eastAsia="zh-CN"/>
              </w:rPr>
            </w:pPr>
            <w:r>
              <w:rPr>
                <w:rFonts w:hint="eastAsia" w:ascii="宋体" w:hAnsi="宋体" w:cs="宋体"/>
                <w:color w:val="000000"/>
                <w:sz w:val="22"/>
                <w:lang w:val="en-US" w:eastAsia="zh-CN"/>
              </w:rPr>
              <w:t>2</w:t>
            </w:r>
          </w:p>
        </w:tc>
        <w:tc>
          <w:tcPr>
            <w:tcW w:w="1159" w:type="pct"/>
            <w:tcBorders>
              <w:top w:val="single" w:color="000000" w:sz="4" w:space="0"/>
              <w:left w:val="single" w:color="000000" w:sz="4" w:space="0"/>
              <w:bottom w:val="single" w:color="000000" w:sz="4" w:space="0"/>
              <w:right w:val="single" w:color="000000" w:sz="4" w:space="0"/>
            </w:tcBorders>
            <w:noWrap/>
            <w:vAlign w:val="center"/>
          </w:tcPr>
          <w:p w14:paraId="398DF232">
            <w:pPr>
              <w:widowControl/>
              <w:ind w:firstLine="0" w:firstLineChars="0"/>
              <w:jc w:val="center"/>
              <w:textAlignment w:val="center"/>
              <w:rPr>
                <w:rFonts w:hint="eastAsia" w:ascii="宋体" w:hAnsi="宋体" w:cs="宋体"/>
                <w:color w:val="000000"/>
                <w:sz w:val="22"/>
              </w:rPr>
            </w:pPr>
            <w:r>
              <w:rPr>
                <w:rFonts w:hint="eastAsia" w:ascii="宋体" w:hAnsi="宋体" w:cs="宋体"/>
                <w:color w:val="000000"/>
                <w:sz w:val="22"/>
              </w:rPr>
              <w:t>无线通信拓展单元</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145AD">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CBB4">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614D">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2A78E">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DD0F">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7668E">
            <w:pPr>
              <w:widowControl/>
              <w:ind w:firstLine="0" w:firstLineChars="0"/>
              <w:jc w:val="center"/>
              <w:textAlignment w:val="center"/>
              <w:rPr>
                <w:rFonts w:hint="eastAsia" w:ascii="宋体" w:hAnsi="宋体" w:eastAsia="宋体" w:cs="宋体"/>
                <w:kern w:val="2"/>
                <w:sz w:val="21"/>
                <w:szCs w:val="22"/>
                <w:lang w:val="en-US" w:eastAsia="zh-CN" w:bidi="ar-SA"/>
              </w:rPr>
            </w:pPr>
            <w:r>
              <w:rPr>
                <w:rFonts w:ascii="宋体" w:hAnsi="宋体" w:cs="宋体"/>
              </w:rPr>
              <w:t>●</w:t>
            </w:r>
          </w:p>
        </w:tc>
      </w:tr>
      <w:tr w14:paraId="62FC399C">
        <w:tblPrEx>
          <w:tblCellMar>
            <w:top w:w="0" w:type="dxa"/>
            <w:left w:w="108" w:type="dxa"/>
            <w:bottom w:w="0" w:type="dxa"/>
            <w:right w:w="108" w:type="dxa"/>
          </w:tblCellMar>
        </w:tblPrEx>
        <w:trPr>
          <w:trHeight w:val="291" w:hRule="atLeast"/>
        </w:trPr>
        <w:tc>
          <w:tcPr>
            <w:tcW w:w="5000" w:type="pct"/>
            <w:gridSpan w:val="9"/>
            <w:tcBorders>
              <w:top w:val="single" w:color="000000" w:sz="4" w:space="0"/>
              <w:left w:val="single" w:color="000000" w:sz="4" w:space="0"/>
              <w:bottom w:val="single" w:color="000000" w:sz="4" w:space="0"/>
              <w:right w:val="single" w:color="000000" w:sz="4" w:space="0"/>
            </w:tcBorders>
            <w:noWrap/>
            <w:vAlign w:val="center"/>
          </w:tcPr>
          <w:p w14:paraId="1DB279ED">
            <w:pPr>
              <w:widowControl/>
              <w:ind w:firstLine="0" w:firstLineChars="0"/>
              <w:jc w:val="center"/>
              <w:textAlignment w:val="center"/>
              <w:rPr>
                <w:rFonts w:hint="eastAsia" w:ascii="宋体" w:hAnsi="宋体" w:cs="宋体"/>
                <w:color w:val="000000"/>
                <w:sz w:val="22"/>
              </w:rPr>
            </w:pPr>
            <w:r>
              <w:rPr>
                <w:rFonts w:hint="eastAsia" w:ascii="宋体" w:hAnsi="宋体" w:cs="宋体"/>
                <w:color w:val="000000"/>
                <w:kern w:val="0"/>
                <w:sz w:val="22"/>
                <w:lang w:bidi="ar"/>
              </w:rPr>
              <w:t>注：● 表示检测项目；○ 表示不检测项目；☆ 表示可选检测项目</w:t>
            </w:r>
          </w:p>
        </w:tc>
      </w:tr>
    </w:tbl>
    <w:p w14:paraId="4336599E">
      <w:pPr>
        <w:pStyle w:val="32"/>
      </w:pPr>
    </w:p>
    <w:p w14:paraId="4121BDBC">
      <w:pPr>
        <w:pStyle w:val="3"/>
      </w:pPr>
      <w:bookmarkStart w:id="401" w:name="_Toc6840"/>
      <w:bookmarkStart w:id="402" w:name="_Toc21027"/>
      <w:bookmarkStart w:id="403" w:name="_Toc13820"/>
      <w:bookmarkStart w:id="404" w:name="_Toc16301"/>
      <w:bookmarkStart w:id="405" w:name="_Toc29367"/>
      <w:bookmarkStart w:id="406" w:name="_Toc21535"/>
      <w:bookmarkStart w:id="407" w:name="_Toc2563"/>
      <w:bookmarkStart w:id="408" w:name="_Toc20012"/>
      <w:bookmarkStart w:id="409" w:name="_Toc9543"/>
      <w:bookmarkStart w:id="410" w:name="_Toc18492"/>
      <w:bookmarkStart w:id="411" w:name="_Toc27961"/>
      <w:bookmarkStart w:id="412" w:name="_Toc11633"/>
      <w:bookmarkStart w:id="413" w:name="_Toc90022990"/>
      <w:bookmarkStart w:id="414" w:name="_Toc8116"/>
      <w:bookmarkStart w:id="415" w:name="_Toc16021"/>
      <w:bookmarkStart w:id="416" w:name="_Toc7025"/>
      <w:bookmarkStart w:id="417" w:name="_Toc9532"/>
      <w:bookmarkStart w:id="418" w:name="_Toc20471"/>
      <w:bookmarkStart w:id="419" w:name="_Toc17673"/>
      <w:bookmarkStart w:id="420" w:name="_Toc26990"/>
      <w:bookmarkStart w:id="421" w:name="_Toc25229"/>
      <w:r>
        <w:t>试验</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Pr>
          <w:rFonts w:hint="eastAsia"/>
          <w:lang w:val="en-US" w:eastAsia="zh-CN"/>
        </w:rPr>
        <w:t>环境</w:t>
      </w:r>
      <w:bookmarkEnd w:id="421"/>
    </w:p>
    <w:p w14:paraId="13332A2D">
      <w:pPr>
        <w:ind w:firstLine="420"/>
      </w:pPr>
      <w:r>
        <w:t>除高低温试验项目及电磁兼容试验项目外，测量和试验的标准环境条件应不超过下列范围：</w:t>
      </w:r>
    </w:p>
    <w:p w14:paraId="41EF80D2">
      <w:pPr>
        <w:pStyle w:val="11"/>
        <w:numPr>
          <w:ilvl w:val="0"/>
          <w:numId w:val="33"/>
        </w:numPr>
      </w:pPr>
      <w:r>
        <w:t>试验环境温度：-10℃~+55℃；</w:t>
      </w:r>
    </w:p>
    <w:p w14:paraId="73538285">
      <w:pPr>
        <w:pStyle w:val="11"/>
        <w:numPr>
          <w:ilvl w:val="0"/>
          <w:numId w:val="33"/>
        </w:numPr>
        <w:rPr>
          <w:szCs w:val="21"/>
        </w:rPr>
      </w:pPr>
      <w:r>
        <w:t>大气压力：79.5kPa~106.0kPa。</w:t>
      </w:r>
    </w:p>
    <w:p w14:paraId="7A9A0656">
      <w:pPr>
        <w:pStyle w:val="3"/>
      </w:pPr>
      <w:bookmarkStart w:id="422" w:name="_Toc30995"/>
      <w:r>
        <w:rPr>
          <w:rFonts w:hint="eastAsia"/>
        </w:rPr>
        <w:t>结构外观</w:t>
      </w:r>
      <w:bookmarkEnd w:id="422"/>
    </w:p>
    <w:p w14:paraId="01F1FD25">
      <w:pPr>
        <w:pStyle w:val="32"/>
        <w:rPr>
          <w:szCs w:val="21"/>
        </w:rPr>
      </w:pPr>
      <w:r>
        <w:rPr>
          <w:rFonts w:hint="eastAsia"/>
          <w:szCs w:val="21"/>
        </w:rPr>
        <w:t>a) 外观完整、整洁，附属件、活动件稳固，无显著锈蚀、凹痕、划痕或涂层缺陷；</w:t>
      </w:r>
    </w:p>
    <w:p w14:paraId="3B891722">
      <w:pPr>
        <w:pStyle w:val="32"/>
        <w:rPr>
          <w:szCs w:val="21"/>
        </w:rPr>
      </w:pPr>
      <w:r>
        <w:rPr>
          <w:rFonts w:hint="eastAsia"/>
          <w:szCs w:val="21"/>
        </w:rPr>
        <w:t>b) 操作标识清晰完整，显示指示清晰无缺损，铭牌信息完整；</w:t>
      </w:r>
    </w:p>
    <w:p w14:paraId="15495104">
      <w:pPr>
        <w:pStyle w:val="32"/>
        <w:rPr>
          <w:szCs w:val="21"/>
        </w:rPr>
      </w:pPr>
      <w:r>
        <w:rPr>
          <w:rFonts w:hint="eastAsia"/>
          <w:szCs w:val="21"/>
        </w:rPr>
        <w:t>c) 各部分的装配正确，连接可靠，零件无损缺；</w:t>
      </w:r>
    </w:p>
    <w:p w14:paraId="38B5D2E1">
      <w:pPr>
        <w:pStyle w:val="32"/>
        <w:rPr>
          <w:szCs w:val="21"/>
        </w:rPr>
      </w:pPr>
      <w:r>
        <w:rPr>
          <w:rFonts w:hint="eastAsia"/>
          <w:szCs w:val="21"/>
        </w:rPr>
        <w:t>d) 对外连接的机械接口、电气接口正确；</w:t>
      </w:r>
    </w:p>
    <w:p w14:paraId="3267E612">
      <w:pPr>
        <w:pStyle w:val="32"/>
        <w:rPr>
          <w:szCs w:val="21"/>
        </w:rPr>
      </w:pPr>
      <w:r>
        <w:rPr>
          <w:rFonts w:hint="eastAsia"/>
          <w:szCs w:val="21"/>
        </w:rPr>
        <w:t>e) 有特殊要求的，另外定义。</w:t>
      </w:r>
    </w:p>
    <w:p w14:paraId="5743F696">
      <w:pPr>
        <w:pStyle w:val="3"/>
        <w:rPr>
          <w:rFonts w:hint="eastAsia" w:eastAsia="宋体"/>
        </w:rPr>
      </w:pPr>
      <w:bookmarkStart w:id="423" w:name="_Toc14642"/>
      <w:r>
        <w:rPr>
          <w:rFonts w:hint="default" w:eastAsia="宋体"/>
        </w:rPr>
        <w:t>电磁兼容试验</w:t>
      </w:r>
      <w:bookmarkEnd w:id="423"/>
    </w:p>
    <w:p w14:paraId="31CB808D">
      <w:pPr>
        <w:pStyle w:val="4"/>
        <w:bidi w:val="0"/>
        <w:ind w:left="720" w:leftChars="0" w:hanging="720" w:firstLineChars="0"/>
        <w:rPr>
          <w:rFonts w:hint="eastAsia"/>
        </w:rPr>
      </w:pPr>
      <w:r>
        <w:rPr>
          <w:rFonts w:hint="eastAsia"/>
        </w:rPr>
        <w:t>电压暂降和短时中断</w:t>
      </w:r>
    </w:p>
    <w:p w14:paraId="4B023142">
      <w:pPr>
        <w:pStyle w:val="4"/>
        <w:bidi w:val="0"/>
        <w:ind w:left="720" w:leftChars="0" w:hanging="720" w:firstLineChars="0"/>
        <w:rPr>
          <w:rFonts w:hint="eastAsia"/>
        </w:rPr>
      </w:pPr>
      <w:r>
        <w:rPr>
          <w:rFonts w:hint="eastAsia"/>
        </w:rPr>
        <w:t>工频磁场抗扰度试验</w:t>
      </w:r>
    </w:p>
    <w:p w14:paraId="27B8AAA8">
      <w:pPr>
        <w:pStyle w:val="32"/>
        <w:rPr>
          <w:szCs w:val="21"/>
        </w:rPr>
      </w:pPr>
      <w:r>
        <w:rPr>
          <w:rFonts w:hint="eastAsia"/>
          <w:szCs w:val="21"/>
        </w:rPr>
        <w:t>GB/T 17626.8 电磁兼容试验和测量技术 工频磁场抗扰度试验</w:t>
      </w:r>
    </w:p>
    <w:p w14:paraId="6974A9FC">
      <w:pPr>
        <w:pStyle w:val="32"/>
        <w:rPr>
          <w:szCs w:val="21"/>
        </w:rPr>
      </w:pPr>
      <w:r>
        <w:rPr>
          <w:rFonts w:hint="eastAsia"/>
          <w:szCs w:val="21"/>
        </w:rPr>
        <w:t>按 GB/T 17626.8 规定的试验方法进行试验。将</w:t>
      </w:r>
      <w:r>
        <w:rPr>
          <w:rFonts w:hint="eastAsia"/>
          <w:szCs w:val="21"/>
          <w:lang w:eastAsia="zh-CN"/>
        </w:rPr>
        <w:t>电力开源物联版配电物联代理单元</w:t>
      </w:r>
      <w:r>
        <w:rPr>
          <w:rFonts w:hint="eastAsia"/>
          <w:szCs w:val="21"/>
        </w:rPr>
        <w:t>置于与系统电源电压相同频率的随时间正弦变化的、强度为 30A/m（4 级）的稳定持续磁场的线圈中心，</w:t>
      </w:r>
      <w:r>
        <w:rPr>
          <w:rFonts w:hint="eastAsia"/>
          <w:szCs w:val="21"/>
          <w:lang w:eastAsia="zh-CN"/>
        </w:rPr>
        <w:t>电力开源物联版配电物联代理单元</w:t>
      </w:r>
      <w:r>
        <w:rPr>
          <w:rFonts w:hint="eastAsia"/>
          <w:szCs w:val="21"/>
        </w:rPr>
        <w:t>能正常工作，性能正常。</w:t>
      </w:r>
    </w:p>
    <w:p w14:paraId="7585F2E9">
      <w:pPr>
        <w:pStyle w:val="4"/>
        <w:bidi w:val="0"/>
        <w:ind w:left="720" w:leftChars="0" w:hanging="720" w:firstLineChars="0"/>
        <w:rPr>
          <w:rFonts w:hint="eastAsia"/>
        </w:rPr>
      </w:pPr>
      <w:r>
        <w:rPr>
          <w:rFonts w:hint="eastAsia"/>
        </w:rPr>
        <w:t>射频电磁场辐射抗扰度试验</w:t>
      </w:r>
    </w:p>
    <w:p w14:paraId="4E37FD76">
      <w:pPr>
        <w:pStyle w:val="32"/>
        <w:rPr>
          <w:szCs w:val="21"/>
        </w:rPr>
      </w:pPr>
      <w:r>
        <w:rPr>
          <w:rFonts w:hint="eastAsia"/>
          <w:szCs w:val="21"/>
        </w:rPr>
        <w:t>按照 GB/T 17626.3规定在下述条件和方法进行试验：</w:t>
      </w:r>
    </w:p>
    <w:p w14:paraId="5A914579">
      <w:pPr>
        <w:pStyle w:val="32"/>
        <w:rPr>
          <w:szCs w:val="21"/>
        </w:rPr>
      </w:pPr>
      <w:r>
        <w:rPr>
          <w:rFonts w:hint="eastAsia"/>
          <w:szCs w:val="21"/>
        </w:rPr>
        <w:t>1) 严酷等级：3 级；</w:t>
      </w:r>
    </w:p>
    <w:p w14:paraId="1CD47D27">
      <w:pPr>
        <w:pStyle w:val="32"/>
        <w:rPr>
          <w:szCs w:val="21"/>
        </w:rPr>
      </w:pPr>
      <w:r>
        <w:rPr>
          <w:rFonts w:hint="eastAsia"/>
          <w:szCs w:val="21"/>
        </w:rPr>
        <w:t>2) 试验参数：10V/m（80MHz～1000MHz）。</w:t>
      </w:r>
    </w:p>
    <w:p w14:paraId="641DFA4B">
      <w:pPr>
        <w:pStyle w:val="32"/>
        <w:rPr>
          <w:szCs w:val="21"/>
        </w:rPr>
      </w:pPr>
      <w:r>
        <w:rPr>
          <w:rFonts w:hint="eastAsia"/>
          <w:szCs w:val="21"/>
        </w:rPr>
        <w:t>b) 性能判据为 B 级。试验时，在技术要求限制内性能正常。</w:t>
      </w:r>
    </w:p>
    <w:p w14:paraId="1BBDFAFF">
      <w:pPr>
        <w:pStyle w:val="4"/>
        <w:bidi w:val="0"/>
        <w:ind w:left="720" w:leftChars="0" w:hanging="720" w:firstLineChars="0"/>
        <w:rPr>
          <w:rFonts w:hint="eastAsia"/>
        </w:rPr>
      </w:pPr>
      <w:r>
        <w:rPr>
          <w:rFonts w:hint="eastAsia"/>
        </w:rPr>
        <w:t>射频场感应的传导骚扰抗扰度</w:t>
      </w:r>
    </w:p>
    <w:p w14:paraId="0C20D775">
      <w:pPr>
        <w:pStyle w:val="32"/>
        <w:rPr>
          <w:rFonts w:hint="eastAsia"/>
          <w:szCs w:val="21"/>
        </w:rPr>
      </w:pPr>
      <w:r>
        <w:rPr>
          <w:rFonts w:hint="eastAsia"/>
          <w:szCs w:val="21"/>
        </w:rPr>
        <w:t>符合GB/T 17626.6—2017标准</w:t>
      </w:r>
    </w:p>
    <w:p w14:paraId="57F0EADC">
      <w:pPr>
        <w:pStyle w:val="32"/>
        <w:rPr>
          <w:rFonts w:hint="eastAsia"/>
          <w:szCs w:val="21"/>
        </w:rPr>
      </w:pPr>
      <w:r>
        <w:rPr>
          <w:rFonts w:hint="eastAsia"/>
          <w:szCs w:val="21"/>
        </w:rPr>
        <w:t>性能判据：B 试验等级：3 级</w:t>
      </w:r>
    </w:p>
    <w:p w14:paraId="4F2FBC2A">
      <w:pPr>
        <w:pStyle w:val="4"/>
        <w:bidi w:val="0"/>
        <w:ind w:left="720" w:leftChars="0" w:hanging="720" w:firstLineChars="0"/>
        <w:rPr>
          <w:rFonts w:hint="eastAsia"/>
        </w:rPr>
      </w:pPr>
      <w:r>
        <w:rPr>
          <w:rFonts w:hint="eastAsia"/>
        </w:rPr>
        <w:t>电快速瞬变脉冲群抗扰度试验</w:t>
      </w:r>
    </w:p>
    <w:p w14:paraId="187DFB4A">
      <w:pPr>
        <w:pStyle w:val="32"/>
        <w:rPr>
          <w:szCs w:val="21"/>
        </w:rPr>
      </w:pPr>
      <w:r>
        <w:rPr>
          <w:rFonts w:hint="eastAsia"/>
          <w:szCs w:val="21"/>
        </w:rPr>
        <w:t>GB/T 17626.4 电磁兼容 试验和测量技术 电快速瞬变脉冲群抗扰度试验</w:t>
      </w:r>
    </w:p>
    <w:p w14:paraId="6D072436">
      <w:pPr>
        <w:pStyle w:val="32"/>
        <w:rPr>
          <w:szCs w:val="21"/>
        </w:rPr>
      </w:pPr>
      <w:r>
        <w:rPr>
          <w:rFonts w:hint="eastAsia"/>
          <w:szCs w:val="21"/>
        </w:rPr>
        <w:t xml:space="preserve">a) </w:t>
      </w:r>
      <w:r>
        <w:rPr>
          <w:rFonts w:hint="eastAsia"/>
          <w:szCs w:val="21"/>
          <w:lang w:eastAsia="zh-CN"/>
        </w:rPr>
        <w:t>电力开源物联版配电物联代理单元</w:t>
      </w:r>
      <w:r>
        <w:rPr>
          <w:rFonts w:hint="eastAsia"/>
          <w:szCs w:val="21"/>
        </w:rPr>
        <w:t>在正常工作状态下，按照 GB/T 17626.4规定在下述条件和方法进行试验：</w:t>
      </w:r>
    </w:p>
    <w:p w14:paraId="2DCB3E13">
      <w:pPr>
        <w:pStyle w:val="32"/>
        <w:rPr>
          <w:szCs w:val="21"/>
        </w:rPr>
      </w:pPr>
      <w:r>
        <w:rPr>
          <w:rFonts w:hint="eastAsia"/>
          <w:szCs w:val="21"/>
        </w:rPr>
        <w:t>1) 严酷等级：电源接口、输出接口：4 级；通信接口、遥信接口：3级</w:t>
      </w:r>
    </w:p>
    <w:p w14:paraId="4C15E587">
      <w:pPr>
        <w:pStyle w:val="32"/>
        <w:rPr>
          <w:szCs w:val="21"/>
        </w:rPr>
      </w:pPr>
      <w:r>
        <w:rPr>
          <w:rFonts w:hint="eastAsia"/>
          <w:szCs w:val="21"/>
        </w:rPr>
        <w:t>2) 试验参数：4kV（电源回路），1kV（信号和控制回路）；</w:t>
      </w:r>
    </w:p>
    <w:p w14:paraId="6DF75782">
      <w:pPr>
        <w:pStyle w:val="32"/>
        <w:rPr>
          <w:szCs w:val="21"/>
        </w:rPr>
      </w:pPr>
      <w:r>
        <w:rPr>
          <w:rFonts w:hint="eastAsia"/>
          <w:szCs w:val="21"/>
        </w:rPr>
        <w:t>3) 试验时间：1min/次；</w:t>
      </w:r>
    </w:p>
    <w:p w14:paraId="3F901DBD">
      <w:pPr>
        <w:pStyle w:val="32"/>
        <w:rPr>
          <w:szCs w:val="21"/>
        </w:rPr>
      </w:pPr>
      <w:r>
        <w:rPr>
          <w:rFonts w:hint="eastAsia"/>
          <w:szCs w:val="21"/>
        </w:rPr>
        <w:t>4) 试验电压施加次数：正负极各 3 次；</w:t>
      </w:r>
    </w:p>
    <w:p w14:paraId="37172CF2">
      <w:pPr>
        <w:pStyle w:val="32"/>
        <w:rPr>
          <w:szCs w:val="21"/>
        </w:rPr>
      </w:pPr>
      <w:r>
        <w:rPr>
          <w:rFonts w:hint="eastAsia"/>
          <w:szCs w:val="21"/>
        </w:rPr>
        <w:t>5) 施加部位：试验电压施加于</w:t>
      </w:r>
      <w:r>
        <w:rPr>
          <w:rFonts w:hint="eastAsia"/>
          <w:szCs w:val="21"/>
          <w:lang w:eastAsia="zh-CN"/>
        </w:rPr>
        <w:t>电力开源物联版配电物联代理单元</w:t>
      </w:r>
      <w:r>
        <w:rPr>
          <w:rFonts w:hint="eastAsia"/>
          <w:szCs w:val="21"/>
        </w:rPr>
        <w:t>的各子系统之间的相关电缆（I/O，通信）上。</w:t>
      </w:r>
    </w:p>
    <w:p w14:paraId="044306AD">
      <w:pPr>
        <w:pStyle w:val="32"/>
        <w:rPr>
          <w:szCs w:val="21"/>
        </w:rPr>
      </w:pPr>
      <w:r>
        <w:rPr>
          <w:rFonts w:hint="eastAsia"/>
          <w:szCs w:val="21"/>
        </w:rPr>
        <w:t>b) 性能判据为 B 级。试验时，测试设备性能和功能允许暂时丧失，在骚扰停止后能自行恢复正常工作，功能和性能应满足技术规范要求。</w:t>
      </w:r>
    </w:p>
    <w:p w14:paraId="7F2C9CB8">
      <w:pPr>
        <w:pStyle w:val="4"/>
        <w:bidi w:val="0"/>
        <w:ind w:left="720" w:leftChars="0" w:hanging="720" w:firstLineChars="0"/>
        <w:rPr>
          <w:rFonts w:hint="eastAsia"/>
        </w:rPr>
      </w:pPr>
      <w:r>
        <w:rPr>
          <w:rFonts w:hint="eastAsia"/>
        </w:rPr>
        <w:t>静电放电抗扰度试验</w:t>
      </w:r>
    </w:p>
    <w:p w14:paraId="75B26CCC">
      <w:pPr>
        <w:pStyle w:val="32"/>
        <w:rPr>
          <w:szCs w:val="21"/>
        </w:rPr>
      </w:pPr>
      <w:r>
        <w:rPr>
          <w:rFonts w:hint="eastAsia"/>
          <w:szCs w:val="21"/>
        </w:rPr>
        <w:t>按照 GB/T 17626.2规定在下述条件和方法进行试验：</w:t>
      </w:r>
    </w:p>
    <w:p w14:paraId="0843EC9D">
      <w:pPr>
        <w:pStyle w:val="32"/>
        <w:rPr>
          <w:szCs w:val="21"/>
        </w:rPr>
      </w:pPr>
      <w:r>
        <w:rPr>
          <w:rFonts w:hint="eastAsia"/>
          <w:szCs w:val="21"/>
        </w:rPr>
        <w:t>1) 严酷等级：4 级；</w:t>
      </w:r>
    </w:p>
    <w:p w14:paraId="38B4FDD2">
      <w:pPr>
        <w:pStyle w:val="32"/>
        <w:rPr>
          <w:szCs w:val="21"/>
        </w:rPr>
      </w:pPr>
      <w:r>
        <w:rPr>
          <w:rFonts w:hint="eastAsia"/>
          <w:szCs w:val="21"/>
        </w:rPr>
        <w:t>2) 试验参数：接触放电 8kV，空气放电 15kV；</w:t>
      </w:r>
    </w:p>
    <w:p w14:paraId="3AF6D48D">
      <w:pPr>
        <w:pStyle w:val="32"/>
        <w:rPr>
          <w:szCs w:val="21"/>
        </w:rPr>
      </w:pPr>
      <w:r>
        <w:rPr>
          <w:rFonts w:hint="eastAsia"/>
          <w:szCs w:val="21"/>
        </w:rPr>
        <w:t>3) 直接放电：施加在操作人员正常使用时可触及的外壳；</w:t>
      </w:r>
    </w:p>
    <w:p w14:paraId="50BEC47F">
      <w:pPr>
        <w:pStyle w:val="32"/>
        <w:rPr>
          <w:szCs w:val="21"/>
        </w:rPr>
      </w:pPr>
      <w:r>
        <w:rPr>
          <w:rFonts w:hint="eastAsia"/>
          <w:szCs w:val="21"/>
        </w:rPr>
        <w:t>4) 每个敏感试验点放电次数：正负极性各 10 次，每次放电间隔至少为 1s。</w:t>
      </w:r>
    </w:p>
    <w:p w14:paraId="7E94D851">
      <w:pPr>
        <w:pStyle w:val="32"/>
        <w:rPr>
          <w:szCs w:val="21"/>
        </w:rPr>
      </w:pPr>
      <w:r>
        <w:rPr>
          <w:rFonts w:hint="eastAsia"/>
          <w:szCs w:val="21"/>
        </w:rPr>
        <w:t>b) 性能判据为 B 级。试验时，测试设备性能和功能允许暂时丧失，在骚扰停止后能自行恢复正常工作，功能和性能应满足技术规范要求。</w:t>
      </w:r>
    </w:p>
    <w:p w14:paraId="34943414">
      <w:pPr>
        <w:pStyle w:val="4"/>
        <w:bidi w:val="0"/>
        <w:ind w:left="720" w:leftChars="0" w:hanging="720" w:firstLineChars="0"/>
        <w:rPr>
          <w:rFonts w:hint="eastAsia"/>
          <w:sz w:val="24"/>
          <w:szCs w:val="24"/>
        </w:rPr>
      </w:pPr>
      <w:r>
        <w:rPr>
          <w:rFonts w:hint="eastAsia"/>
          <w:sz w:val="24"/>
          <w:szCs w:val="24"/>
        </w:rPr>
        <w:t>浪涌抗扰度试验</w:t>
      </w:r>
    </w:p>
    <w:p w14:paraId="4EA95380">
      <w:pPr>
        <w:pStyle w:val="32"/>
        <w:rPr>
          <w:szCs w:val="21"/>
        </w:rPr>
      </w:pPr>
      <w:r>
        <w:rPr>
          <w:rFonts w:hint="eastAsia"/>
          <w:szCs w:val="21"/>
        </w:rPr>
        <w:t>GB/T 17626.5 电磁兼容 试验和测量技术 浪涌（冲击）抗扰度试验</w:t>
      </w:r>
    </w:p>
    <w:p w14:paraId="6A3906AC">
      <w:pPr>
        <w:pStyle w:val="32"/>
        <w:rPr>
          <w:szCs w:val="21"/>
        </w:rPr>
      </w:pPr>
      <w:r>
        <w:rPr>
          <w:rFonts w:hint="eastAsia"/>
          <w:szCs w:val="21"/>
        </w:rPr>
        <w:t xml:space="preserve">a) </w:t>
      </w:r>
      <w:r>
        <w:rPr>
          <w:rFonts w:hint="eastAsia"/>
          <w:szCs w:val="21"/>
          <w:lang w:eastAsia="zh-CN"/>
        </w:rPr>
        <w:t>电力开源物联版配电物联代理单元</w:t>
      </w:r>
      <w:r>
        <w:rPr>
          <w:rFonts w:hint="eastAsia"/>
          <w:szCs w:val="21"/>
        </w:rPr>
        <w:t>在正常工作状态下，按照 GB/T 17626.5的规定，并在下述条件和方法进行试验：</w:t>
      </w:r>
    </w:p>
    <w:p w14:paraId="7C1A2110">
      <w:pPr>
        <w:pStyle w:val="32"/>
        <w:rPr>
          <w:szCs w:val="21"/>
        </w:rPr>
      </w:pPr>
      <w:r>
        <w:rPr>
          <w:rFonts w:hint="eastAsia"/>
          <w:szCs w:val="21"/>
        </w:rPr>
        <w:t>1) 严酷等级：3 级；</w:t>
      </w:r>
    </w:p>
    <w:p w14:paraId="14CEA70E">
      <w:pPr>
        <w:pStyle w:val="32"/>
        <w:rPr>
          <w:szCs w:val="21"/>
        </w:rPr>
      </w:pPr>
      <w:r>
        <w:rPr>
          <w:rFonts w:hint="eastAsia"/>
          <w:szCs w:val="21"/>
        </w:rPr>
        <w:t>2) 试验电压：差模 1kV、共模 2kV；</w:t>
      </w:r>
    </w:p>
    <w:p w14:paraId="3C104D87">
      <w:pPr>
        <w:pStyle w:val="32"/>
        <w:rPr>
          <w:szCs w:val="21"/>
        </w:rPr>
      </w:pPr>
      <w:r>
        <w:rPr>
          <w:rFonts w:hint="eastAsia"/>
          <w:szCs w:val="21"/>
        </w:rPr>
        <w:t>3) 波形：1.2/50μs；</w:t>
      </w:r>
    </w:p>
    <w:p w14:paraId="46462057">
      <w:pPr>
        <w:pStyle w:val="32"/>
        <w:rPr>
          <w:szCs w:val="21"/>
        </w:rPr>
      </w:pPr>
      <w:r>
        <w:rPr>
          <w:rFonts w:hint="eastAsia"/>
          <w:szCs w:val="21"/>
        </w:rPr>
        <w:t>4) 极性：正负；</w:t>
      </w:r>
    </w:p>
    <w:p w14:paraId="74831AAB">
      <w:pPr>
        <w:pStyle w:val="32"/>
        <w:rPr>
          <w:szCs w:val="21"/>
        </w:rPr>
      </w:pPr>
      <w:r>
        <w:rPr>
          <w:rFonts w:hint="eastAsia"/>
          <w:szCs w:val="21"/>
        </w:rPr>
        <w:t>5) 试验次数：正负极各 5 次；</w:t>
      </w:r>
    </w:p>
    <w:p w14:paraId="1C5869B2">
      <w:pPr>
        <w:pStyle w:val="32"/>
        <w:rPr>
          <w:szCs w:val="21"/>
        </w:rPr>
      </w:pPr>
      <w:r>
        <w:rPr>
          <w:rFonts w:hint="eastAsia"/>
          <w:szCs w:val="21"/>
        </w:rPr>
        <w:t>6) 施加部位：试验电压施加于</w:t>
      </w:r>
      <w:r>
        <w:rPr>
          <w:rFonts w:hint="eastAsia"/>
          <w:szCs w:val="21"/>
          <w:lang w:eastAsia="zh-CN"/>
        </w:rPr>
        <w:t>电力开源物联版配电物联代理单元</w:t>
      </w:r>
      <w:r>
        <w:rPr>
          <w:rFonts w:hint="eastAsia"/>
          <w:szCs w:val="21"/>
        </w:rPr>
        <w:t>的线与线之间（差模）、线与接地端之间（共模）。</w:t>
      </w:r>
    </w:p>
    <w:p w14:paraId="732CCE9B">
      <w:pPr>
        <w:pStyle w:val="32"/>
        <w:rPr>
          <w:rFonts w:hint="eastAsia"/>
          <w:szCs w:val="21"/>
        </w:rPr>
      </w:pPr>
      <w:r>
        <w:rPr>
          <w:rFonts w:hint="eastAsia"/>
          <w:szCs w:val="21"/>
        </w:rPr>
        <w:t>b) 性能判据为 B 级。试验时，测试设备性能和功能允许暂时丧失，在骚扰停止后能自行恢复正常工作，功能和性能应满足技术规范要求。</w:t>
      </w:r>
    </w:p>
    <w:p w14:paraId="4349D372">
      <w:pPr>
        <w:pStyle w:val="4"/>
        <w:bidi w:val="0"/>
        <w:ind w:left="720" w:leftChars="0" w:hanging="720" w:firstLineChars="0"/>
        <w:rPr>
          <w:rFonts w:hint="eastAsia"/>
          <w:sz w:val="24"/>
          <w:szCs w:val="24"/>
          <w:lang w:val="en-US" w:eastAsia="zh-CN"/>
        </w:rPr>
      </w:pPr>
      <w:r>
        <w:rPr>
          <w:rFonts w:hint="eastAsia"/>
          <w:sz w:val="24"/>
          <w:szCs w:val="24"/>
        </w:rPr>
        <w:t>阻尼振荡波抗扰度</w:t>
      </w:r>
    </w:p>
    <w:p w14:paraId="0B8A2D45">
      <w:pPr>
        <w:pStyle w:val="32"/>
        <w:rPr>
          <w:rFonts w:hint="eastAsia"/>
          <w:szCs w:val="21"/>
        </w:rPr>
      </w:pPr>
      <w:r>
        <w:rPr>
          <w:rFonts w:hint="eastAsia"/>
          <w:szCs w:val="21"/>
        </w:rPr>
        <w:t>符合GB/T 17626.12—2013标准</w:t>
      </w:r>
    </w:p>
    <w:p w14:paraId="5646CEBC">
      <w:pPr>
        <w:pStyle w:val="32"/>
        <w:rPr>
          <w:rFonts w:hint="eastAsia"/>
          <w:szCs w:val="21"/>
          <w:lang w:val="en-US" w:eastAsia="zh-CN"/>
        </w:rPr>
      </w:pPr>
      <w:r>
        <w:rPr>
          <w:rFonts w:hint="eastAsia"/>
          <w:szCs w:val="21"/>
        </w:rPr>
        <w:t>性能判据：B 试验等级：3 级</w:t>
      </w:r>
    </w:p>
    <w:p w14:paraId="785C1A0B">
      <w:pPr>
        <w:pStyle w:val="3"/>
        <w:rPr>
          <w:rFonts w:hint="eastAsia" w:eastAsia="宋体"/>
        </w:rPr>
      </w:pPr>
      <w:bookmarkStart w:id="424" w:name="_Toc31151"/>
      <w:r>
        <w:rPr>
          <w:rFonts w:hint="default" w:eastAsia="宋体"/>
        </w:rPr>
        <w:t>环境适应性试验</w:t>
      </w:r>
      <w:bookmarkEnd w:id="424"/>
    </w:p>
    <w:p w14:paraId="02D6747A">
      <w:pPr>
        <w:pStyle w:val="4"/>
        <w:bidi w:val="0"/>
        <w:ind w:left="720" w:leftChars="0" w:hanging="720" w:firstLineChars="0"/>
      </w:pPr>
      <w:r>
        <w:rPr>
          <w:rFonts w:hint="eastAsia"/>
        </w:rPr>
        <w:t>低温</w:t>
      </w:r>
    </w:p>
    <w:p w14:paraId="3138DF3C">
      <w:pPr>
        <w:pStyle w:val="32"/>
        <w:rPr>
          <w:rFonts w:hint="default" w:eastAsia="宋体"/>
          <w:szCs w:val="21"/>
          <w:lang w:val="en-US" w:eastAsia="zh-CN"/>
        </w:rPr>
      </w:pPr>
      <w:r>
        <w:rPr>
          <w:rFonts w:hint="eastAsia"/>
          <w:szCs w:val="21"/>
        </w:rPr>
        <w:t>按照 GB/T 2423.1 的规定方法进行，将</w:t>
      </w:r>
      <w:r>
        <w:rPr>
          <w:rFonts w:hint="eastAsia"/>
          <w:szCs w:val="21"/>
          <w:lang w:eastAsia="zh-CN"/>
        </w:rPr>
        <w:t>电力开源物联版配电物联代理单元</w:t>
      </w:r>
      <w:r>
        <w:rPr>
          <w:rFonts w:hint="eastAsia"/>
          <w:szCs w:val="21"/>
        </w:rPr>
        <w:t>在非通电状态下置于低温试验箱中央，各表面与试验箱内壁的距离不小于 150mm。低温试验箱以不超过 1℃/min 变化率降温，待降温至如下规定的最低温度并稳定后，保持温度 2h，然后通电 0.5h，进行特定功能和性能检测，检验结果应符合技术规范要求。</w:t>
      </w:r>
      <w:r>
        <w:rPr>
          <w:rFonts w:hint="eastAsia"/>
          <w:szCs w:val="21"/>
          <w:lang w:val="en-US" w:eastAsia="zh-CN"/>
        </w:rPr>
        <w:t>具体检测要求如下：</w:t>
      </w:r>
    </w:p>
    <w:p w14:paraId="2D04729F">
      <w:pPr>
        <w:pStyle w:val="32"/>
        <w:rPr>
          <w:szCs w:val="21"/>
        </w:rPr>
      </w:pPr>
      <w:r>
        <w:rPr>
          <w:rFonts w:hint="eastAsia"/>
          <w:szCs w:val="21"/>
        </w:rPr>
        <w:t>空气温度范围为-25℃，最大变化率为0.5℃/min；相对湿度10%~100%，最大绝对湿度29g/m³</w:t>
      </w:r>
      <w:r>
        <w:rPr>
          <w:rFonts w:hint="eastAsia"/>
          <w:szCs w:val="21"/>
          <w:lang w:eastAsia="zh-CN"/>
        </w:rPr>
        <w:t>。</w:t>
      </w:r>
      <w:r>
        <w:rPr>
          <w:rFonts w:hint="eastAsia"/>
          <w:szCs w:val="21"/>
        </w:rPr>
        <w:t>若试验过程中，无法对</w:t>
      </w:r>
      <w:r>
        <w:rPr>
          <w:rFonts w:hint="eastAsia"/>
          <w:szCs w:val="21"/>
          <w:lang w:eastAsia="zh-CN"/>
        </w:rPr>
        <w:t>电力开源物联版配电物联代理单元</w:t>
      </w:r>
      <w:r>
        <w:rPr>
          <w:rFonts w:hint="eastAsia"/>
          <w:szCs w:val="21"/>
        </w:rPr>
        <w:t>操作及特定功能和性能检测，则待试验完成后，恢复常温 2h 取出进行外观与结构检查、绝缘电阻测试或其他规定性能检测，检验结果应满足技术规范要求。</w:t>
      </w:r>
    </w:p>
    <w:p w14:paraId="3B534901">
      <w:pPr>
        <w:pStyle w:val="4"/>
        <w:bidi w:val="0"/>
        <w:ind w:left="720" w:leftChars="0" w:hanging="720" w:firstLineChars="0"/>
        <w:rPr>
          <w:rFonts w:hint="eastAsia"/>
        </w:rPr>
      </w:pPr>
      <w:r>
        <w:rPr>
          <w:rFonts w:hint="eastAsia"/>
        </w:rPr>
        <w:t>高温</w:t>
      </w:r>
    </w:p>
    <w:p w14:paraId="2F12C4EB">
      <w:pPr>
        <w:pStyle w:val="32"/>
        <w:rPr>
          <w:rFonts w:hint="default" w:eastAsia="宋体"/>
          <w:szCs w:val="21"/>
          <w:lang w:val="en-US" w:eastAsia="zh-CN"/>
        </w:rPr>
      </w:pPr>
      <w:r>
        <w:rPr>
          <w:rFonts w:hint="eastAsia"/>
          <w:szCs w:val="21"/>
        </w:rPr>
        <w:t>按照 GB/T 2423.2 的规定方法进行，将</w:t>
      </w:r>
      <w:r>
        <w:rPr>
          <w:rFonts w:hint="eastAsia"/>
          <w:szCs w:val="21"/>
          <w:lang w:eastAsia="zh-CN"/>
        </w:rPr>
        <w:t>电力开源物联版配电物联代理单元</w:t>
      </w:r>
      <w:r>
        <w:rPr>
          <w:rFonts w:hint="eastAsia"/>
          <w:szCs w:val="21"/>
        </w:rPr>
        <w:t>在非通电状态下置于高温试验箱中央，各表面与试验箱内壁的距离不小于150mm。高温试验箱以不超过 1℃/min 变化率升温，待升温至如下规定的最高温度并稳定后，保持温度 2h，然后通电 0.5h，进行特定功能和性能检测，检验结果应符合技术规范要求，</w:t>
      </w:r>
      <w:r>
        <w:rPr>
          <w:rFonts w:hint="eastAsia"/>
          <w:szCs w:val="21"/>
          <w:lang w:val="en-US" w:eastAsia="zh-CN"/>
        </w:rPr>
        <w:t>具体检测要求如下：</w:t>
      </w:r>
    </w:p>
    <w:p w14:paraId="123D13A0">
      <w:pPr>
        <w:pStyle w:val="32"/>
        <w:pageBreakBefore w:val="0"/>
        <w:kinsoku/>
        <w:wordWrap/>
        <w:overflowPunct/>
        <w:topLinePunct w:val="0"/>
        <w:bidi w:val="0"/>
        <w:spacing w:line="360" w:lineRule="auto"/>
        <w:ind w:firstLine="420" w:firstLineChars="200"/>
        <w:rPr>
          <w:szCs w:val="21"/>
        </w:rPr>
      </w:pPr>
      <w:r>
        <w:rPr>
          <w:rFonts w:hint="eastAsia" w:ascii="Times New Roman" w:hAnsi="Times New Roman" w:eastAsia="宋体" w:cs="Times New Roman"/>
          <w:kern w:val="2"/>
          <w:sz w:val="21"/>
          <w:szCs w:val="21"/>
          <w:highlight w:val="none"/>
          <w:lang w:val="en-US" w:eastAsia="zh-CN" w:bidi="ar-SA"/>
        </w:rPr>
        <w:t>空气温度范围为70℃，最大变化率为1℃/min；相对湿度10%~100%，最大绝对湿度35g/m³</w:t>
      </w:r>
      <w:r>
        <w:rPr>
          <w:rFonts w:hint="eastAsia"/>
          <w:szCs w:val="21"/>
          <w:lang w:eastAsia="zh-CN"/>
        </w:rPr>
        <w:t>，</w:t>
      </w:r>
      <w:r>
        <w:rPr>
          <w:rFonts w:hint="eastAsia"/>
          <w:szCs w:val="21"/>
        </w:rPr>
        <w:t>若试验过程中，无法对</w:t>
      </w:r>
      <w:r>
        <w:rPr>
          <w:rFonts w:hint="eastAsia"/>
          <w:szCs w:val="21"/>
          <w:lang w:eastAsia="zh-CN"/>
        </w:rPr>
        <w:t>电力开源物联版配电物联代理单元</w:t>
      </w:r>
      <w:r>
        <w:rPr>
          <w:rFonts w:hint="eastAsia"/>
          <w:szCs w:val="21"/>
        </w:rPr>
        <w:t>操作及特定功能和性能检测，则试验完成后，恢复常温 2h 取出进行外观与结构检查、绝缘电阻测试或其他规定性能检测，检验结果应满足技术规范要求。</w:t>
      </w:r>
    </w:p>
    <w:p w14:paraId="36B26166">
      <w:pPr>
        <w:pStyle w:val="4"/>
        <w:bidi w:val="0"/>
        <w:ind w:left="720" w:leftChars="0" w:hanging="720" w:firstLineChars="0"/>
        <w:rPr>
          <w:rFonts w:hint="eastAsia"/>
        </w:rPr>
      </w:pPr>
      <w:r>
        <w:rPr>
          <w:rFonts w:hint="eastAsia"/>
        </w:rPr>
        <w:t>恒温湿热</w:t>
      </w:r>
    </w:p>
    <w:p w14:paraId="6792372F">
      <w:pPr>
        <w:pStyle w:val="32"/>
        <w:rPr>
          <w:szCs w:val="21"/>
        </w:rPr>
      </w:pPr>
      <w:r>
        <w:rPr>
          <w:rFonts w:hint="eastAsia"/>
          <w:szCs w:val="21"/>
        </w:rPr>
        <w:t>按照 GB/T 2423.3 的规定方法进行，</w:t>
      </w:r>
      <w:r>
        <w:rPr>
          <w:rFonts w:hint="eastAsia"/>
          <w:szCs w:val="21"/>
          <w:lang w:eastAsia="zh-CN"/>
        </w:rPr>
        <w:t>电力开源物联版配电物联代理单元</w:t>
      </w:r>
      <w:r>
        <w:rPr>
          <w:rFonts w:hint="eastAsia"/>
          <w:szCs w:val="21"/>
        </w:rPr>
        <w:t>各表面与湿热试验箱内壁的距离不小于 150mm。试验箱以不超过 1℃/min 变化率升温，待试验箱内达到并保持温度 40±2℃、相对湿度93±3%，保持温湿度 12h，然后通电 0.5h，进行特定功能和性能检测，检验结果应符合技术规范要求；若试验过程中，无法对</w:t>
      </w:r>
      <w:r>
        <w:rPr>
          <w:rFonts w:hint="eastAsia"/>
          <w:szCs w:val="21"/>
          <w:lang w:eastAsia="zh-CN"/>
        </w:rPr>
        <w:t>电力开源物联版配电物联代理单元</w:t>
      </w:r>
      <w:r>
        <w:rPr>
          <w:rFonts w:hint="eastAsia"/>
          <w:szCs w:val="21"/>
        </w:rPr>
        <w:t>操作及特定功能和性能检测，则试验完成后，恢复常温 2h 取出后进行外观与结构检查、绝缘电阻测试或其他规定性能检测，检验结果应满足技术规范要求。</w:t>
      </w:r>
    </w:p>
    <w:p w14:paraId="6BED4D98">
      <w:pPr>
        <w:pStyle w:val="3"/>
        <w:rPr>
          <w:rFonts w:hint="eastAsia" w:eastAsia="宋体"/>
        </w:rPr>
      </w:pPr>
      <w:bookmarkStart w:id="425" w:name="_Toc20957"/>
      <w:r>
        <w:rPr>
          <w:rFonts w:hint="default" w:eastAsia="宋体"/>
        </w:rPr>
        <w:t>绝缘性能试验</w:t>
      </w:r>
      <w:bookmarkEnd w:id="425"/>
    </w:p>
    <w:p w14:paraId="585B5520">
      <w:pPr>
        <w:pStyle w:val="4"/>
        <w:bidi w:val="0"/>
        <w:ind w:left="720" w:leftChars="0" w:hanging="720" w:firstLineChars="0"/>
      </w:pPr>
      <w:r>
        <w:rPr>
          <w:rFonts w:hint="eastAsia"/>
        </w:rPr>
        <w:t>绝缘电阻</w:t>
      </w:r>
    </w:p>
    <w:p w14:paraId="42DD8710">
      <w:pPr>
        <w:pStyle w:val="32"/>
        <w:rPr>
          <w:szCs w:val="21"/>
        </w:rPr>
      </w:pPr>
      <w:r>
        <w:rPr>
          <w:rFonts w:hint="eastAsia"/>
          <w:szCs w:val="21"/>
        </w:rPr>
        <w:t>1）在正常大气条件下，使用绝缘电阻表的 250V（绝缘电压 U≤60V）或 500V（绝缘电压 U＞60V）测试电压，测量</w:t>
      </w:r>
      <w:r>
        <w:rPr>
          <w:rFonts w:hint="eastAsia"/>
          <w:szCs w:val="21"/>
          <w:lang w:eastAsia="zh-CN"/>
        </w:rPr>
        <w:t>电力开源物联版配电物联代理单元</w:t>
      </w:r>
      <w:r>
        <w:rPr>
          <w:rFonts w:hint="eastAsia"/>
          <w:szCs w:val="21"/>
        </w:rPr>
        <w:t>各电气回路与外壳及地之间绝缘电阻，测试结果满足技术规范要求。如无特殊规定，各电气回路与外壳及地之间的绝缘电阻≥5MΩ。</w:t>
      </w:r>
    </w:p>
    <w:p w14:paraId="479353DE">
      <w:pPr>
        <w:pStyle w:val="32"/>
        <w:rPr>
          <w:szCs w:val="21"/>
        </w:rPr>
      </w:pPr>
      <w:r>
        <w:rPr>
          <w:rFonts w:hint="eastAsia"/>
          <w:szCs w:val="21"/>
        </w:rPr>
        <w:t>2）在湿热大气条件下，使用绝缘电阻表的 250V（绝缘电压 U≤60V）或 500V（绝缘电压 U＞60V）测试电压，测量</w:t>
      </w:r>
      <w:r>
        <w:rPr>
          <w:rFonts w:hint="eastAsia"/>
          <w:szCs w:val="21"/>
          <w:lang w:eastAsia="zh-CN"/>
        </w:rPr>
        <w:t>电力开源物联版配电物联代理单元</w:t>
      </w:r>
      <w:r>
        <w:rPr>
          <w:rFonts w:hint="eastAsia"/>
          <w:szCs w:val="21"/>
        </w:rPr>
        <w:t>各电气回路与外壳及地之间绝缘电阻，测试结果满足技术规范要求。如无特殊规定，各电气回路与外壳及地之间的绝缘电阻≥5MΩ。</w:t>
      </w:r>
    </w:p>
    <w:p w14:paraId="7A054A6E">
      <w:pPr>
        <w:pStyle w:val="4"/>
        <w:bidi w:val="0"/>
        <w:ind w:left="720" w:leftChars="0" w:hanging="720" w:firstLineChars="0"/>
        <w:rPr>
          <w:rFonts w:hint="eastAsia"/>
        </w:rPr>
      </w:pPr>
      <w:r>
        <w:rPr>
          <w:rFonts w:hint="eastAsia"/>
        </w:rPr>
        <w:t>介电强度</w:t>
      </w:r>
    </w:p>
    <w:p w14:paraId="3805558C">
      <w:pPr>
        <w:pStyle w:val="32"/>
        <w:rPr>
          <w:szCs w:val="21"/>
        </w:rPr>
      </w:pPr>
      <w:r>
        <w:rPr>
          <w:rFonts w:hint="eastAsia"/>
          <w:szCs w:val="21"/>
        </w:rPr>
        <w:t>在正常大气条件下，在</w:t>
      </w:r>
      <w:r>
        <w:rPr>
          <w:rFonts w:hint="eastAsia"/>
          <w:szCs w:val="21"/>
          <w:lang w:eastAsia="zh-CN"/>
        </w:rPr>
        <w:t>电力开源物联版配电物联代理单元</w:t>
      </w:r>
      <w:r>
        <w:rPr>
          <w:rFonts w:hint="eastAsia"/>
          <w:szCs w:val="21"/>
        </w:rPr>
        <w:t>各导电回路与外壳及地之间，施加 500V、1min 工频交流 电压，试验时不得出现击穿、闪络及损坏现象，试验后</w:t>
      </w:r>
      <w:r>
        <w:rPr>
          <w:rFonts w:hint="eastAsia"/>
          <w:szCs w:val="21"/>
          <w:lang w:eastAsia="zh-CN"/>
        </w:rPr>
        <w:t>电力开源物联版配电物联代理单元</w:t>
      </w:r>
      <w:r>
        <w:rPr>
          <w:rFonts w:hint="eastAsia"/>
          <w:szCs w:val="21"/>
        </w:rPr>
        <w:t>应能正常工作。</w:t>
      </w:r>
    </w:p>
    <w:p w14:paraId="3FAFB1CD">
      <w:pPr>
        <w:pStyle w:val="4"/>
        <w:bidi w:val="0"/>
        <w:ind w:left="720" w:leftChars="0" w:hanging="720" w:firstLineChars="0"/>
        <w:rPr>
          <w:rFonts w:hint="eastAsia"/>
        </w:rPr>
      </w:pPr>
      <w:r>
        <w:rPr>
          <w:rFonts w:hint="eastAsia"/>
        </w:rPr>
        <w:t>冲击电压</w:t>
      </w:r>
    </w:p>
    <w:p w14:paraId="5244EC6C">
      <w:pPr>
        <w:pStyle w:val="32"/>
        <w:rPr>
          <w:szCs w:val="21"/>
        </w:rPr>
      </w:pPr>
      <w:r>
        <w:rPr>
          <w:rFonts w:hint="eastAsia"/>
          <w:szCs w:val="21"/>
        </w:rPr>
        <w:t>a) 试验时</w:t>
      </w:r>
      <w:r>
        <w:rPr>
          <w:rFonts w:hint="eastAsia"/>
          <w:szCs w:val="21"/>
          <w:lang w:eastAsia="zh-CN"/>
        </w:rPr>
        <w:t>电力开源物联版配电物联代理单元</w:t>
      </w:r>
      <w:r>
        <w:rPr>
          <w:rFonts w:hint="eastAsia"/>
          <w:szCs w:val="21"/>
        </w:rPr>
        <w:t>应盖好外壳和盖板。如外壳和盖板由绝缘材料制成，应在器外覆盖以导电箔并与接地端子相连。试验时，不进行试验的电气回路应短路并接地。</w:t>
      </w:r>
    </w:p>
    <w:p w14:paraId="392EDB1A">
      <w:pPr>
        <w:pStyle w:val="32"/>
        <w:rPr>
          <w:szCs w:val="21"/>
        </w:rPr>
      </w:pPr>
      <w:r>
        <w:rPr>
          <w:rFonts w:hint="eastAsia"/>
          <w:szCs w:val="21"/>
        </w:rPr>
        <w:t xml:space="preserve"> b) 冲击电压要求：</w:t>
      </w:r>
    </w:p>
    <w:p w14:paraId="5598558D">
      <w:pPr>
        <w:pStyle w:val="32"/>
        <w:rPr>
          <w:szCs w:val="21"/>
        </w:rPr>
      </w:pPr>
      <w:r>
        <w:rPr>
          <w:rFonts w:hint="eastAsia"/>
          <w:szCs w:val="21"/>
        </w:rPr>
        <w:t xml:space="preserve"> 1) 脉冲波形：标准 1.2/50µs 脉冲波；</w:t>
      </w:r>
    </w:p>
    <w:p w14:paraId="5016EBA5">
      <w:pPr>
        <w:pStyle w:val="32"/>
        <w:rPr>
          <w:szCs w:val="21"/>
        </w:rPr>
      </w:pPr>
      <w:r>
        <w:rPr>
          <w:rFonts w:hint="eastAsia"/>
          <w:szCs w:val="21"/>
        </w:rPr>
        <w:t xml:space="preserve"> 2) 电源阻抗：500Ω±50Ω；</w:t>
      </w:r>
    </w:p>
    <w:p w14:paraId="1A5B0896">
      <w:pPr>
        <w:pStyle w:val="32"/>
        <w:rPr>
          <w:szCs w:val="21"/>
        </w:rPr>
      </w:pPr>
      <w:r>
        <w:rPr>
          <w:rFonts w:hint="eastAsia"/>
          <w:szCs w:val="21"/>
        </w:rPr>
        <w:t xml:space="preserve"> 3) 电源能量：0.5J±0.05J。</w:t>
      </w:r>
    </w:p>
    <w:p w14:paraId="31652EB2">
      <w:pPr>
        <w:pStyle w:val="32"/>
        <w:rPr>
          <w:szCs w:val="21"/>
        </w:rPr>
      </w:pPr>
      <w:r>
        <w:rPr>
          <w:rFonts w:hint="eastAsia"/>
          <w:szCs w:val="21"/>
        </w:rPr>
        <w:t xml:space="preserve"> c) 每次试验分别在正、负极性下施加 3 次，两个脉冲之间间隔 5s，试验电压满足表 7-2 规定。</w:t>
      </w:r>
    </w:p>
    <w:p w14:paraId="11BD3217">
      <w:pPr>
        <w:pStyle w:val="32"/>
        <w:rPr>
          <w:szCs w:val="21"/>
        </w:rPr>
      </w:pPr>
      <w:r>
        <w:rPr>
          <w:rFonts w:hint="eastAsia"/>
          <w:szCs w:val="21"/>
        </w:rPr>
        <w:t xml:space="preserve"> d) 被试验回路为： 1) 电源回路对地； 2) 无电气联系的各回路之间。</w:t>
      </w:r>
    </w:p>
    <w:p w14:paraId="22376483">
      <w:pPr>
        <w:pStyle w:val="32"/>
        <w:rPr>
          <w:rFonts w:hint="eastAsia"/>
          <w:szCs w:val="21"/>
        </w:rPr>
      </w:pPr>
      <w:r>
        <w:rPr>
          <w:rFonts w:hint="eastAsia"/>
          <w:szCs w:val="21"/>
        </w:rPr>
        <w:t xml:space="preserve"> e) 试验过程产品应无闪络、无击穿现象；试验后，</w:t>
      </w:r>
      <w:r>
        <w:rPr>
          <w:rFonts w:hint="eastAsia"/>
          <w:szCs w:val="21"/>
          <w:lang w:eastAsia="zh-CN"/>
        </w:rPr>
        <w:t>电力开源物联版配电物联代理单元</w:t>
      </w:r>
      <w:r>
        <w:rPr>
          <w:rFonts w:hint="eastAsia"/>
          <w:szCs w:val="21"/>
        </w:rPr>
        <w:t>应能正常工作。</w:t>
      </w:r>
    </w:p>
    <w:p w14:paraId="137FEF02">
      <w:pPr>
        <w:pStyle w:val="3"/>
        <w:rPr>
          <w:rFonts w:hint="eastAsia" w:eastAsia="宋体"/>
        </w:rPr>
      </w:pPr>
      <w:bookmarkStart w:id="426" w:name="_Toc26581"/>
      <w:r>
        <w:rPr>
          <w:rFonts w:hint="default" w:eastAsia="宋体"/>
        </w:rPr>
        <w:t>机械性能试验</w:t>
      </w:r>
      <w:bookmarkEnd w:id="426"/>
    </w:p>
    <w:p w14:paraId="163791D4">
      <w:pPr>
        <w:pStyle w:val="4"/>
        <w:bidi w:val="0"/>
        <w:ind w:left="720" w:leftChars="0" w:hanging="720" w:firstLineChars="0"/>
        <w:rPr>
          <w:rFonts w:hint="eastAsia"/>
        </w:rPr>
      </w:pPr>
      <w:r>
        <w:rPr>
          <w:rFonts w:hint="eastAsia"/>
        </w:rPr>
        <w:t>振动响应</w:t>
      </w:r>
    </w:p>
    <w:p w14:paraId="46A969EB">
      <w:pPr>
        <w:numPr>
          <w:ilvl w:val="0"/>
          <w:numId w:val="0"/>
        </w:numPr>
        <w:ind w:firstLine="210" w:firstLineChars="100"/>
        <w:rPr>
          <w:rFonts w:hint="eastAsia"/>
          <w:szCs w:val="21"/>
        </w:rPr>
      </w:pPr>
      <w:r>
        <w:rPr>
          <w:rFonts w:hint="eastAsia"/>
          <w:szCs w:val="21"/>
        </w:rPr>
        <w:t>按照 GB/T 2423.10 规定的方法，严酷等级为1级，试验后检查传感器应无损坏和紧固件松动脱落现象，且能正常工作。</w:t>
      </w:r>
    </w:p>
    <w:p w14:paraId="2495626E">
      <w:pPr>
        <w:pStyle w:val="4"/>
        <w:bidi w:val="0"/>
        <w:ind w:left="720" w:leftChars="0" w:hanging="720" w:firstLineChars="0"/>
        <w:rPr>
          <w:rFonts w:hint="eastAsia"/>
        </w:rPr>
      </w:pPr>
      <w:r>
        <w:rPr>
          <w:rFonts w:hint="eastAsia"/>
        </w:rPr>
        <w:t>振动耐久</w:t>
      </w:r>
    </w:p>
    <w:p w14:paraId="3BFDA9DC">
      <w:pPr>
        <w:numPr>
          <w:ilvl w:val="0"/>
          <w:numId w:val="0"/>
        </w:numPr>
        <w:ind w:firstLine="210" w:firstLineChars="100"/>
        <w:rPr>
          <w:rFonts w:hint="eastAsia"/>
        </w:rPr>
      </w:pPr>
      <w:r>
        <w:rPr>
          <w:rFonts w:hint="eastAsia"/>
          <w:szCs w:val="21"/>
        </w:rPr>
        <w:t>按照 GB/T 2423.10 规定的方法，严酷等级为1级，试验后检查传感器应无损坏和紧固件松动脱落现象，且能正常工作。</w:t>
      </w:r>
    </w:p>
    <w:p w14:paraId="4C14C03B">
      <w:pPr>
        <w:pStyle w:val="3"/>
        <w:rPr>
          <w:rFonts w:eastAsia="宋体"/>
        </w:rPr>
      </w:pPr>
      <w:bookmarkStart w:id="427" w:name="_Toc18450"/>
      <w:r>
        <w:rPr>
          <w:rFonts w:hint="eastAsia" w:eastAsia="宋体"/>
        </w:rPr>
        <w:t>电源</w:t>
      </w:r>
      <w:r>
        <w:rPr>
          <w:rFonts w:hint="eastAsia" w:eastAsia="宋体"/>
          <w:lang w:val="en-US" w:eastAsia="zh-CN"/>
        </w:rPr>
        <w:t>功能</w:t>
      </w:r>
      <w:r>
        <w:rPr>
          <w:rFonts w:hint="eastAsia" w:eastAsia="宋体"/>
        </w:rPr>
        <w:t>试验</w:t>
      </w:r>
      <w:bookmarkEnd w:id="427"/>
    </w:p>
    <w:p w14:paraId="08A16B51">
      <w:pPr>
        <w:pStyle w:val="32"/>
        <w:rPr>
          <w:szCs w:val="21"/>
        </w:rPr>
      </w:pPr>
      <w:r>
        <w:rPr>
          <w:rFonts w:hint="eastAsia"/>
          <w:szCs w:val="21"/>
        </w:rPr>
        <w:t>将可编程电源的输出调整至AC1</w:t>
      </w:r>
      <w:r>
        <w:rPr>
          <w:rFonts w:hint="eastAsia"/>
          <w:szCs w:val="21"/>
          <w:lang w:val="en-US" w:eastAsia="zh-CN"/>
        </w:rPr>
        <w:t>76</w:t>
      </w:r>
      <w:r>
        <w:rPr>
          <w:rFonts w:hint="eastAsia"/>
          <w:szCs w:val="21"/>
        </w:rPr>
        <w:t>V~</w:t>
      </w:r>
      <w:r>
        <w:rPr>
          <w:rFonts w:hint="eastAsia"/>
          <w:szCs w:val="21"/>
          <w:lang w:val="en-US" w:eastAsia="zh-CN"/>
        </w:rPr>
        <w:t>264</w:t>
      </w:r>
      <w:r>
        <w:rPr>
          <w:rFonts w:hint="eastAsia"/>
          <w:szCs w:val="21"/>
        </w:rPr>
        <w:t>V范围，试验期间观察装置是否能正常工作。</w:t>
      </w:r>
    </w:p>
    <w:p w14:paraId="5F9F9BBE">
      <w:pPr>
        <w:pStyle w:val="3"/>
        <w:rPr>
          <w:rFonts w:eastAsia="宋体"/>
        </w:rPr>
      </w:pPr>
      <w:bookmarkStart w:id="428" w:name="_Toc2012"/>
      <w:r>
        <w:rPr>
          <w:rFonts w:hint="eastAsia" w:eastAsia="宋体"/>
        </w:rPr>
        <w:t>通信</w:t>
      </w:r>
      <w:r>
        <w:rPr>
          <w:rFonts w:hint="eastAsia" w:eastAsia="宋体"/>
          <w:lang w:val="en-US" w:eastAsia="zh-CN"/>
        </w:rPr>
        <w:t>功能</w:t>
      </w:r>
      <w:bookmarkEnd w:id="428"/>
    </w:p>
    <w:p w14:paraId="132ECFDF">
      <w:pPr>
        <w:pStyle w:val="4"/>
      </w:pPr>
      <w:r>
        <w:rPr>
          <w:rFonts w:hint="eastAsia"/>
        </w:rPr>
        <w:t>载波通信</w:t>
      </w:r>
    </w:p>
    <w:p w14:paraId="73B89CB8">
      <w:pPr>
        <w:ind w:firstLine="420"/>
      </w:pPr>
      <w:r>
        <w:rPr>
          <w:rFonts w:hint="eastAsia"/>
        </w:rPr>
        <w:t>通过抄控器或CCO可以读取</w:t>
      </w:r>
      <w:r>
        <w:rPr>
          <w:rFonts w:hint="eastAsia"/>
          <w:lang w:eastAsia="zh-CN"/>
        </w:rPr>
        <w:t>电力开源物联版配电物联代理单元</w:t>
      </w:r>
      <w:r>
        <w:rPr>
          <w:rFonts w:hint="eastAsia"/>
        </w:rPr>
        <w:t>的状态数据；可写入配置参数数据；</w:t>
      </w:r>
    </w:p>
    <w:p w14:paraId="21E07745">
      <w:pPr>
        <w:pStyle w:val="4"/>
      </w:pPr>
      <w:r>
        <w:rPr>
          <w:rFonts w:hint="eastAsia"/>
        </w:rPr>
        <w:t>RS485通信</w:t>
      </w:r>
    </w:p>
    <w:p w14:paraId="78E6120A">
      <w:pPr>
        <w:ind w:firstLine="420"/>
      </w:pPr>
      <w:r>
        <w:rPr>
          <w:rFonts w:hint="eastAsia"/>
        </w:rPr>
        <w:t>检查RS485接口数量，设置波特率达到最大值，模拟DL/T645或Modbus报文，数据通信正常；</w:t>
      </w:r>
    </w:p>
    <w:p w14:paraId="4D9513FA">
      <w:pPr>
        <w:pStyle w:val="4"/>
      </w:pPr>
      <w:r>
        <w:rPr>
          <w:rFonts w:hint="eastAsia"/>
        </w:rPr>
        <w:t>蓝牙通信</w:t>
      </w:r>
    </w:p>
    <w:p w14:paraId="37CD59AE">
      <w:pPr>
        <w:ind w:firstLine="420"/>
      </w:pPr>
      <w:r>
        <w:rPr>
          <w:rFonts w:hint="eastAsia"/>
        </w:rPr>
        <w:t>采用手机或移动终端的蓝牙通信接口连接，应能读取实现参数读写操作；</w:t>
      </w:r>
    </w:p>
    <w:p w14:paraId="75799E9A">
      <w:pPr>
        <w:pStyle w:val="3"/>
      </w:pPr>
      <w:bookmarkStart w:id="429" w:name="_Toc4652"/>
      <w:r>
        <w:rPr>
          <w:rFonts w:hint="eastAsia" w:eastAsia="宋体"/>
        </w:rPr>
        <w:t>事件</w:t>
      </w:r>
      <w:r>
        <w:rPr>
          <w:rFonts w:hint="eastAsia"/>
        </w:rPr>
        <w:t>记录</w:t>
      </w:r>
      <w:bookmarkEnd w:id="429"/>
    </w:p>
    <w:p w14:paraId="50139C24">
      <w:pPr>
        <w:ind w:firstLine="420"/>
      </w:pPr>
      <w:r>
        <w:rPr>
          <w:rFonts w:hint="eastAsia"/>
        </w:rPr>
        <w:t>模拟生成</w:t>
      </w:r>
      <w:r>
        <w:rPr>
          <w:rFonts w:hint="eastAsia"/>
          <w:b/>
          <w:bCs/>
          <w:i/>
          <w:iCs/>
          <w:lang w:val="en-US" w:eastAsia="zh-CN"/>
        </w:rPr>
        <w:t>5.2功能要求</w:t>
      </w:r>
      <w:r>
        <w:rPr>
          <w:rFonts w:hint="eastAsia"/>
        </w:rPr>
        <w:t>当中的事件，检查事件记录内容及条目数，记录内容及条目数应正确；当事件发生次数超过技术要求数量时，最新事件能正确保存，条目数不变；</w:t>
      </w:r>
    </w:p>
    <w:p w14:paraId="369EF65A">
      <w:pPr>
        <w:pStyle w:val="3"/>
      </w:pPr>
      <w:bookmarkStart w:id="430" w:name="_Toc5284"/>
      <w:r>
        <w:rPr>
          <w:rFonts w:hint="eastAsia"/>
        </w:rPr>
        <w:t>升级维护</w:t>
      </w:r>
      <w:bookmarkEnd w:id="430"/>
    </w:p>
    <w:p w14:paraId="6B050F5A">
      <w:pPr>
        <w:ind w:firstLine="420"/>
      </w:pPr>
      <w:r>
        <w:rPr>
          <w:rFonts w:hint="eastAsia"/>
        </w:rPr>
        <w:t>通过后台可进行程序远程和本地升级，升级过程和升级后，应满足</w:t>
      </w:r>
      <w:r>
        <w:rPr>
          <w:b/>
          <w:bCs/>
          <w:i/>
          <w:iCs/>
        </w:rPr>
        <w:fldChar w:fldCharType="begin"/>
      </w:r>
      <w:r>
        <w:rPr>
          <w:b/>
          <w:bCs/>
          <w:i/>
          <w:iCs/>
        </w:rPr>
        <w:instrText xml:space="preserve"> </w:instrText>
      </w:r>
      <w:r>
        <w:rPr>
          <w:rFonts w:hint="eastAsia"/>
          <w:b/>
          <w:bCs/>
          <w:i/>
          <w:iCs/>
        </w:rPr>
        <w:instrText xml:space="preserve">REF _Ref224003661 \w \h</w:instrText>
      </w:r>
      <w:r>
        <w:rPr>
          <w:b/>
          <w:bCs/>
          <w:i/>
          <w:iCs/>
        </w:rPr>
        <w:instrText xml:space="preserve">  \* MERGEFORMAT </w:instrText>
      </w:r>
      <w:r>
        <w:rPr>
          <w:b/>
          <w:bCs/>
          <w:i/>
          <w:iCs/>
        </w:rPr>
        <w:fldChar w:fldCharType="separate"/>
      </w:r>
      <w:r>
        <w:rPr>
          <w:b/>
          <w:bCs/>
          <w:i/>
          <w:iCs/>
        </w:rPr>
        <w:t>5.2.3</w:t>
      </w:r>
      <w:r>
        <w:rPr>
          <w:b/>
          <w:bCs/>
          <w:i/>
          <w:iCs/>
        </w:rPr>
        <w:fldChar w:fldCharType="end"/>
      </w:r>
      <w:r>
        <w:rPr>
          <w:b/>
          <w:bCs/>
          <w:i/>
          <w:iCs/>
        </w:rPr>
        <w:fldChar w:fldCharType="begin"/>
      </w:r>
      <w:r>
        <w:rPr>
          <w:b/>
          <w:bCs/>
          <w:i/>
          <w:iCs/>
        </w:rPr>
        <w:instrText xml:space="preserve"> REF _Ref224003664 \h  \* MERGEFORMAT </w:instrText>
      </w:r>
      <w:r>
        <w:rPr>
          <w:b/>
          <w:bCs/>
          <w:i/>
          <w:iCs/>
        </w:rPr>
        <w:fldChar w:fldCharType="separate"/>
      </w:r>
      <w:r>
        <w:rPr>
          <w:rFonts w:hint="eastAsia"/>
          <w:b/>
          <w:bCs/>
          <w:i/>
          <w:iCs/>
        </w:rPr>
        <w:t>OTA</w:t>
      </w:r>
      <w:r>
        <w:rPr>
          <w:b/>
          <w:bCs/>
          <w:i/>
          <w:iCs/>
        </w:rPr>
        <w:t>升级</w:t>
      </w:r>
      <w:r>
        <w:rPr>
          <w:b/>
          <w:bCs/>
          <w:i/>
          <w:iCs/>
        </w:rPr>
        <w:fldChar w:fldCharType="end"/>
      </w:r>
      <w:r>
        <w:rPr>
          <w:rFonts w:hint="eastAsia"/>
        </w:rPr>
        <w:t>的技术要求。</w:t>
      </w:r>
    </w:p>
    <w:p w14:paraId="75A24166">
      <w:pPr>
        <w:pStyle w:val="3"/>
        <w:rPr>
          <w:rFonts w:eastAsia="宋体"/>
        </w:rPr>
      </w:pPr>
      <w:bookmarkStart w:id="431" w:name="_Toc28081"/>
      <w:r>
        <w:rPr>
          <w:rFonts w:hint="eastAsia" w:eastAsia="宋体"/>
        </w:rPr>
        <w:t>开关量采集</w:t>
      </w:r>
      <w:bookmarkEnd w:id="431"/>
    </w:p>
    <w:p w14:paraId="6CB3ED5F">
      <w:pPr>
        <w:pStyle w:val="32"/>
        <w:rPr>
          <w:szCs w:val="21"/>
        </w:rPr>
      </w:pPr>
      <w:r>
        <w:rPr>
          <w:rFonts w:hint="eastAsia"/>
          <w:szCs w:val="21"/>
        </w:rPr>
        <w:t>检查开关量个数是否满足，模拟开关量变位，应正确变位。</w:t>
      </w:r>
    </w:p>
    <w:p w14:paraId="4DA65783">
      <w:pPr>
        <w:pStyle w:val="3"/>
        <w:rPr>
          <w:rFonts w:eastAsia="宋体"/>
        </w:rPr>
      </w:pPr>
      <w:bookmarkStart w:id="432" w:name="_Toc13087"/>
      <w:r>
        <w:rPr>
          <w:rFonts w:hint="eastAsia" w:eastAsia="宋体"/>
        </w:rPr>
        <w:t>开关量输出</w:t>
      </w:r>
      <w:bookmarkEnd w:id="432"/>
    </w:p>
    <w:p w14:paraId="01781C21">
      <w:pPr>
        <w:pStyle w:val="32"/>
        <w:rPr>
          <w:szCs w:val="21"/>
        </w:rPr>
      </w:pPr>
      <w:r>
        <w:rPr>
          <w:rFonts w:hint="eastAsia"/>
          <w:szCs w:val="21"/>
        </w:rPr>
        <w:t>检查开关量输出个数是否满足，模拟带载测试100次，继电器输出应无粘连。</w:t>
      </w:r>
    </w:p>
    <w:p w14:paraId="3B4A343B">
      <w:pPr>
        <w:pStyle w:val="3"/>
        <w:rPr>
          <w:rFonts w:eastAsia="宋体"/>
        </w:rPr>
      </w:pPr>
      <w:bookmarkStart w:id="433" w:name="_Toc23365"/>
      <w:r>
        <w:rPr>
          <w:rFonts w:hint="eastAsia" w:eastAsia="宋体"/>
        </w:rPr>
        <w:t>功耗试验</w:t>
      </w:r>
      <w:bookmarkEnd w:id="433"/>
    </w:p>
    <w:p w14:paraId="153B0153">
      <w:pPr>
        <w:pStyle w:val="32"/>
        <w:rPr>
          <w:rFonts w:hint="eastAsia"/>
          <w:szCs w:val="21"/>
        </w:rPr>
      </w:pPr>
      <w:r>
        <w:rPr>
          <w:rFonts w:hint="eastAsia"/>
          <w:szCs w:val="21"/>
        </w:rPr>
        <w:t>伏安法测试或功率分析仪等监测产品功耗。</w:t>
      </w:r>
    </w:p>
    <w:p w14:paraId="7ABFBCD9">
      <w:pPr>
        <w:pStyle w:val="3"/>
        <w:rPr>
          <w:rFonts w:eastAsia="宋体"/>
        </w:rPr>
      </w:pPr>
      <w:bookmarkStart w:id="434" w:name="_Toc31472"/>
      <w:r>
        <w:rPr>
          <w:rFonts w:hint="eastAsia" w:eastAsia="宋体"/>
          <w:lang w:val="en-US" w:eastAsia="zh-CN"/>
        </w:rPr>
        <w:t>光伏调节</w:t>
      </w:r>
      <w:bookmarkEnd w:id="434"/>
    </w:p>
    <w:p w14:paraId="3B7B8499">
      <w:pPr>
        <w:pStyle w:val="32"/>
        <w:rPr>
          <w:rFonts w:hint="eastAsia"/>
          <w:szCs w:val="21"/>
        </w:rPr>
      </w:pPr>
      <w:r>
        <w:rPr>
          <w:rFonts w:hint="eastAsia"/>
          <w:szCs w:val="21"/>
        </w:rPr>
        <w:t>通过</w:t>
      </w:r>
      <w:r>
        <w:rPr>
          <w:rFonts w:hint="eastAsia"/>
          <w:szCs w:val="21"/>
          <w:lang w:val="en-US" w:eastAsia="zh-CN"/>
        </w:rPr>
        <w:t>智能台区终端或者物联网平台下发控制指令，</w:t>
      </w:r>
      <w:r>
        <w:rPr>
          <w:rFonts w:hint="eastAsia"/>
          <w:szCs w:val="21"/>
        </w:rPr>
        <w:t>光伏输出功率限值</w:t>
      </w:r>
      <w:r>
        <w:rPr>
          <w:rFonts w:hint="eastAsia"/>
          <w:szCs w:val="21"/>
          <w:lang w:val="en-US" w:eastAsia="zh-CN"/>
        </w:rPr>
        <w:t>发生改变。</w:t>
      </w:r>
    </w:p>
    <w:p w14:paraId="150446E4">
      <w:pPr>
        <w:pStyle w:val="3"/>
        <w:rPr>
          <w:rFonts w:eastAsia="宋体"/>
        </w:rPr>
      </w:pPr>
      <w:bookmarkStart w:id="435" w:name="_Toc3915"/>
      <w:r>
        <w:rPr>
          <w:rFonts w:hint="eastAsia" w:eastAsia="宋体"/>
          <w:lang w:val="en-US" w:eastAsia="zh-CN"/>
        </w:rPr>
        <w:t>充电桩调节</w:t>
      </w:r>
      <w:bookmarkEnd w:id="435"/>
    </w:p>
    <w:p w14:paraId="24F89C04">
      <w:pPr>
        <w:pStyle w:val="32"/>
        <w:rPr>
          <w:rFonts w:hint="eastAsia"/>
          <w:szCs w:val="21"/>
          <w:lang w:eastAsia="zh-CN"/>
        </w:rPr>
      </w:pPr>
      <w:r>
        <w:rPr>
          <w:rFonts w:hint="eastAsia"/>
          <w:szCs w:val="21"/>
        </w:rPr>
        <w:t>通过智能台区终端或者物联网平台下发控制指令，</w:t>
      </w:r>
      <w:r>
        <w:rPr>
          <w:rFonts w:hint="eastAsia"/>
          <w:szCs w:val="21"/>
          <w:lang w:val="en-US" w:eastAsia="zh-CN"/>
        </w:rPr>
        <w:t>充电桩</w:t>
      </w:r>
      <w:r>
        <w:rPr>
          <w:rFonts w:hint="eastAsia"/>
          <w:szCs w:val="21"/>
        </w:rPr>
        <w:t>输出功率限值发生改变。</w:t>
      </w:r>
    </w:p>
    <w:p w14:paraId="52EBE7C0">
      <w:pPr>
        <w:pStyle w:val="2"/>
      </w:pPr>
      <w:bookmarkStart w:id="436" w:name="_Toc1296"/>
      <w:r>
        <w:t>产品对环境的影响</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436"/>
    </w:p>
    <w:p w14:paraId="4557661C">
      <w:pPr>
        <w:numPr>
          <w:ilvl w:val="0"/>
          <w:numId w:val="34"/>
        </w:numPr>
        <w:ind w:left="420" w:leftChars="200" w:firstLine="0" w:firstLineChars="0"/>
      </w:pPr>
      <w:r>
        <w:t>坚持以资源节约型和环境友好型的原则，同时应考虑降低投资成本和提高运行经济性。</w:t>
      </w:r>
    </w:p>
    <w:p w14:paraId="0683DC4A">
      <w:pPr>
        <w:numPr>
          <w:ilvl w:val="0"/>
          <w:numId w:val="34"/>
        </w:numPr>
        <w:ind w:left="420" w:leftChars="200" w:firstLine="0" w:firstLineChars="0"/>
      </w:pPr>
      <w:r>
        <w:t>应对噪声、工频电场和磁场、高频电磁波、通信干扰等方面采取必要的防治措施，并满足国家相关标准的要求。</w:t>
      </w:r>
    </w:p>
    <w:p w14:paraId="07ACD7EE">
      <w:pPr>
        <w:numPr>
          <w:ilvl w:val="0"/>
          <w:numId w:val="34"/>
        </w:numPr>
        <w:ind w:left="420" w:leftChars="200" w:firstLine="0" w:firstLineChars="0"/>
      </w:pPr>
      <w:r>
        <w:t>推广采用高可靠性、小型化和节能型设备。</w:t>
      </w:r>
    </w:p>
    <w:p w14:paraId="4FE2A97C">
      <w:pPr>
        <w:numPr>
          <w:ilvl w:val="0"/>
          <w:numId w:val="34"/>
        </w:numPr>
        <w:ind w:left="420" w:leftChars="200" w:firstLine="0" w:firstLineChars="0"/>
      </w:pPr>
      <w:r>
        <w:t>优先选用损耗低的产品。</w:t>
      </w:r>
    </w:p>
    <w:p w14:paraId="53889FF1">
      <w:pPr>
        <w:numPr>
          <w:ilvl w:val="0"/>
          <w:numId w:val="34"/>
        </w:numPr>
        <w:ind w:left="420" w:leftChars="200" w:firstLine="0" w:firstLineChars="0"/>
      </w:pPr>
      <w:r>
        <w:t>制造厂应该提供设备对环境影响所需要的材料。任何已知的化学危险和环境危害应在设备手册或使用说明中明确。</w:t>
      </w:r>
    </w:p>
    <w:p w14:paraId="2F0D6BFF">
      <w:pPr>
        <w:numPr>
          <w:ilvl w:val="0"/>
          <w:numId w:val="34"/>
        </w:numPr>
        <w:ind w:left="420" w:leftChars="200" w:firstLine="0" w:firstLineChars="0"/>
      </w:pPr>
      <w:r>
        <w:t>制造厂应该对有关设备的不同材料的使用寿命和拆除的程序给予必要的指导，对再循环使用的可能性给予简要说明。</w:t>
      </w:r>
    </w:p>
    <w:p w14:paraId="6D9BCDBC">
      <w:pPr>
        <w:pStyle w:val="2"/>
      </w:pPr>
      <w:bookmarkStart w:id="437" w:name="_Toc14165"/>
      <w:bookmarkStart w:id="438" w:name="_Toc15959"/>
      <w:bookmarkStart w:id="439" w:name="_Toc9333"/>
      <w:bookmarkStart w:id="440" w:name="_Toc26426"/>
      <w:bookmarkStart w:id="441" w:name="_Toc14645"/>
      <w:bookmarkStart w:id="442" w:name="_Toc90022995"/>
      <w:bookmarkStart w:id="443" w:name="_Toc21428"/>
      <w:bookmarkStart w:id="444" w:name="_Toc28667"/>
      <w:bookmarkStart w:id="445" w:name="_Toc32235"/>
      <w:bookmarkStart w:id="446" w:name="_Toc30202"/>
      <w:bookmarkStart w:id="447" w:name="_Toc11367"/>
      <w:bookmarkStart w:id="448" w:name="_Toc26425"/>
      <w:bookmarkStart w:id="449" w:name="_Toc28146"/>
      <w:bookmarkStart w:id="450" w:name="_Toc6013"/>
      <w:bookmarkStart w:id="451" w:name="_Toc28102"/>
      <w:bookmarkStart w:id="452" w:name="_Toc2173"/>
      <w:bookmarkStart w:id="453" w:name="_Toc23557"/>
      <w:bookmarkStart w:id="454" w:name="_Toc15760"/>
      <w:bookmarkStart w:id="455" w:name="_Toc18968"/>
      <w:bookmarkStart w:id="456" w:name="_Toc2134"/>
      <w:r>
        <w:t>企业VI标识</w:t>
      </w:r>
      <w:bookmarkEnd w:id="398"/>
      <w:bookmarkEnd w:id="399"/>
      <w:bookmarkEnd w:id="400"/>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005BA3D">
      <w:pPr>
        <w:pStyle w:val="3"/>
      </w:pPr>
      <w:bookmarkStart w:id="457" w:name="_Toc282993356"/>
      <w:bookmarkStart w:id="458" w:name="_Toc14494"/>
      <w:bookmarkStart w:id="459" w:name="_Toc384341026"/>
      <w:bookmarkStart w:id="460" w:name="_Toc13089"/>
      <w:r>
        <w:t>VI标识</w:t>
      </w:r>
      <w:bookmarkEnd w:id="457"/>
      <w:bookmarkEnd w:id="458"/>
      <w:bookmarkEnd w:id="459"/>
      <w:bookmarkEnd w:id="460"/>
    </w:p>
    <w:p w14:paraId="385F74EA">
      <w:pPr>
        <w:pStyle w:val="11"/>
        <w:numPr>
          <w:ilvl w:val="0"/>
          <w:numId w:val="35"/>
        </w:numPr>
      </w:pPr>
      <w:r>
        <w:t>设备外立面上应有统一的南方电网公司企业VI标识，并符合最新版《中国南方电网视觉识别系统管理手册》的要求。</w:t>
      </w:r>
    </w:p>
    <w:p w14:paraId="13C8E5ED">
      <w:pPr>
        <w:pStyle w:val="11"/>
        <w:numPr>
          <w:ilvl w:val="0"/>
          <w:numId w:val="35"/>
        </w:numPr>
      </w:pPr>
      <w:bookmarkStart w:id="461" w:name="_Toc277686860"/>
      <w:bookmarkStart w:id="462" w:name="_Toc277255903"/>
      <w:bookmarkStart w:id="463" w:name="_Toc277686861"/>
      <w:r>
        <w:t>标识的内容构成：中国南方电网标志、“中国南方电网”中英文名称。</w:t>
      </w:r>
      <w:bookmarkEnd w:id="461"/>
    </w:p>
    <w:p w14:paraId="6AA09A8F">
      <w:pPr>
        <w:pStyle w:val="11"/>
        <w:numPr>
          <w:ilvl w:val="0"/>
          <w:numId w:val="35"/>
        </w:numPr>
      </w:pPr>
      <w:r>
        <w:t>颜色：标识采用企业标准色C100 M69 Y0 K38，背景采用白色。</w:t>
      </w:r>
      <w:bookmarkEnd w:id="462"/>
      <w:bookmarkEnd w:id="463"/>
    </w:p>
    <w:p w14:paraId="5C3A61DC">
      <w:pPr>
        <w:pStyle w:val="11"/>
        <w:numPr>
          <w:ilvl w:val="0"/>
          <w:numId w:val="35"/>
        </w:numPr>
      </w:pPr>
      <w:bookmarkStart w:id="464" w:name="_Toc277686863"/>
      <w:r>
        <w:t>企业标识安装在设备外立面正面醒目位置。</w:t>
      </w:r>
      <w:bookmarkEnd w:id="464"/>
    </w:p>
    <w:p w14:paraId="5C0332A8">
      <w:pPr>
        <w:pStyle w:val="3"/>
      </w:pPr>
      <w:bookmarkStart w:id="465" w:name="_Toc1884"/>
      <w:bookmarkStart w:id="466" w:name="_Toc1990"/>
      <w:r>
        <w:t>标识地点</w:t>
      </w:r>
      <w:bookmarkEnd w:id="465"/>
      <w:bookmarkEnd w:id="466"/>
    </w:p>
    <w:p w14:paraId="22FE475B">
      <w:pPr>
        <w:ind w:firstLine="420"/>
      </w:pPr>
      <w:r>
        <w:t>标识地点：与厂家名称标识相邻。</w:t>
      </w:r>
    </w:p>
    <w:p w14:paraId="21D34125">
      <w:pPr>
        <w:ind w:firstLine="420"/>
      </w:pPr>
      <w:r>
        <w:t>厂家名称与南网标示并排安装于</w:t>
      </w:r>
      <w:r>
        <w:rPr>
          <w:rFonts w:hint="eastAsia"/>
        </w:rPr>
        <w:t>设备</w:t>
      </w:r>
      <w:r>
        <w:t>正面。两者标识牌大小相当。南网标识牌材质与厂家名称标识牌材质保持一致。南网标识牌的图案、色泽、造型按最新版《南方电网公司视觉识别系统管理手册》要求，按所需比例修正。</w:t>
      </w:r>
    </w:p>
    <w:p w14:paraId="30ECF938">
      <w:pPr>
        <w:ind w:firstLine="420"/>
      </w:pPr>
      <w:bookmarkStart w:id="467" w:name="_Toc22376837"/>
      <w:r>
        <w:drawing>
          <wp:inline distT="0" distB="0" distL="114300" distR="114300">
            <wp:extent cx="5133340" cy="7591425"/>
            <wp:effectExtent l="0" t="0" r="10160" b="3175"/>
            <wp:docPr id="2" name="图片 15" descr="98b1c0c16634dde7e0363c134742d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98b1c0c16634dde7e0363c134742de0"/>
                    <pic:cNvPicPr>
                      <a:picLocks noChangeAspect="1"/>
                    </pic:cNvPicPr>
                  </pic:nvPicPr>
                  <pic:blipFill>
                    <a:blip r:embed="rId15"/>
                    <a:srcRect l="8154" t="1131" r="7762" b="3906"/>
                    <a:stretch>
                      <a:fillRect/>
                    </a:stretch>
                  </pic:blipFill>
                  <pic:spPr>
                    <a:xfrm>
                      <a:off x="0" y="0"/>
                      <a:ext cx="5133340" cy="7591425"/>
                    </a:xfrm>
                    <a:prstGeom prst="rect">
                      <a:avLst/>
                    </a:prstGeom>
                    <a:noFill/>
                    <a:ln>
                      <a:noFill/>
                    </a:ln>
                  </pic:spPr>
                </pic:pic>
              </a:graphicData>
            </a:graphic>
          </wp:inline>
        </w:drawing>
      </w:r>
      <w:bookmarkEnd w:id="467"/>
    </w:p>
    <w:p w14:paraId="2D894C10">
      <w:pPr>
        <w:pStyle w:val="2"/>
      </w:pPr>
      <w:bookmarkStart w:id="468" w:name="_Toc279695206"/>
      <w:bookmarkStart w:id="469" w:name="_Toc282433757"/>
      <w:bookmarkStart w:id="470" w:name="_Toc282993358"/>
      <w:bookmarkStart w:id="471" w:name="_Toc7339"/>
      <w:bookmarkStart w:id="472" w:name="_Toc292025360"/>
      <w:bookmarkStart w:id="473" w:name="_Toc23146"/>
      <w:bookmarkStart w:id="474" w:name="_Toc395186735"/>
      <w:bookmarkStart w:id="475" w:name="_Toc10531"/>
      <w:bookmarkStart w:id="476" w:name="_Toc90022996"/>
      <w:bookmarkStart w:id="477" w:name="_Toc17625"/>
      <w:bookmarkStart w:id="478" w:name="_Toc23212"/>
      <w:bookmarkStart w:id="479" w:name="_Toc32266"/>
      <w:bookmarkStart w:id="480" w:name="_Toc24511"/>
      <w:bookmarkStart w:id="481" w:name="_Toc3919"/>
      <w:bookmarkStart w:id="482" w:name="_Toc24313"/>
      <w:bookmarkStart w:id="483" w:name="_Toc13326"/>
      <w:bookmarkStart w:id="484" w:name="_Toc3022"/>
      <w:bookmarkStart w:id="485" w:name="_Toc8376"/>
      <w:bookmarkStart w:id="486" w:name="_Toc4458"/>
      <w:bookmarkStart w:id="487" w:name="_Toc27594"/>
      <w:bookmarkStart w:id="488" w:name="_Toc23937"/>
      <w:bookmarkStart w:id="489" w:name="_Toc4637"/>
      <w:bookmarkStart w:id="490" w:name="_Toc543"/>
      <w:bookmarkStart w:id="491" w:name="_Toc26458"/>
      <w:bookmarkStart w:id="492" w:name="_Toc22353"/>
      <w:r>
        <w:t>技术文件</w:t>
      </w:r>
      <w:bookmarkEnd w:id="468"/>
      <w:bookmarkEnd w:id="469"/>
      <w:bookmarkEnd w:id="470"/>
      <w:r>
        <w:t>要求</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0F34CB9">
      <w:pPr>
        <w:pStyle w:val="3"/>
      </w:pPr>
      <w:bookmarkStart w:id="493" w:name="_Toc9633"/>
      <w:bookmarkStart w:id="494" w:name="_Toc14623"/>
      <w:bookmarkStart w:id="495" w:name="_Toc90022997"/>
      <w:bookmarkStart w:id="496" w:name="_Toc19824"/>
      <w:bookmarkStart w:id="497" w:name="_Toc461"/>
      <w:bookmarkStart w:id="498" w:name="_Toc8458"/>
      <w:bookmarkStart w:id="499" w:name="_Toc11660"/>
      <w:bookmarkStart w:id="500" w:name="_Toc5200"/>
      <w:bookmarkStart w:id="501" w:name="_Toc14936"/>
      <w:bookmarkStart w:id="502" w:name="_Toc23916"/>
      <w:bookmarkStart w:id="503" w:name="_Toc19893"/>
      <w:bookmarkStart w:id="504" w:name="_Toc389"/>
      <w:bookmarkStart w:id="505" w:name="_Toc20087"/>
      <w:bookmarkStart w:id="506" w:name="_Toc20541"/>
      <w:bookmarkStart w:id="507" w:name="_Toc395186736"/>
      <w:bookmarkStart w:id="508" w:name="_Toc292025361"/>
      <w:bookmarkStart w:id="509" w:name="_Toc1783"/>
      <w:bookmarkStart w:id="510" w:name="_Toc7387"/>
      <w:bookmarkStart w:id="511" w:name="_Toc3985"/>
      <w:bookmarkStart w:id="512" w:name="_Toc24613"/>
      <w:bookmarkStart w:id="513" w:name="_Toc4580"/>
      <w:bookmarkStart w:id="514" w:name="_Toc17029"/>
      <w:r>
        <w:t>一般要求</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E6B445B">
      <w:pPr>
        <w:numPr>
          <w:ilvl w:val="0"/>
          <w:numId w:val="36"/>
        </w:numPr>
        <w:ind w:left="0" w:firstLine="420"/>
      </w:pPr>
      <w:r>
        <w:t>投标方提供的图纸、资料、文件应使用国家法定单位制即国际单位制，语言为中文。</w:t>
      </w:r>
    </w:p>
    <w:p w14:paraId="6BDDB877">
      <w:pPr>
        <w:numPr>
          <w:ilvl w:val="0"/>
          <w:numId w:val="36"/>
        </w:numPr>
        <w:ind w:left="0" w:firstLine="420"/>
      </w:pPr>
      <w:r>
        <w:t>资料的组织结构清晰、逻辑性强。资料内容耍正确、准确、一致、清晰、完整，满足工程要求。</w:t>
      </w:r>
    </w:p>
    <w:p w14:paraId="4A40F2E0">
      <w:pPr>
        <w:numPr>
          <w:ilvl w:val="0"/>
          <w:numId w:val="36"/>
        </w:numPr>
        <w:ind w:left="0" w:firstLine="420"/>
      </w:pPr>
      <w:r>
        <w:t>投标方资料的提交及时充分，满足工程进度要求。在合同谈判日或收到中标通知书后（以先到为准），在项目单位在专用部分规定的时间内给出全部最终技术资料，经招标方确认后不能更改。</w:t>
      </w:r>
    </w:p>
    <w:p w14:paraId="23C64086">
      <w:pPr>
        <w:numPr>
          <w:ilvl w:val="0"/>
          <w:numId w:val="36"/>
        </w:numPr>
        <w:ind w:left="0" w:firstLine="420"/>
      </w:pPr>
      <w:r>
        <w:t>对于其它没有列入合同技术资料清单，却是工程所必需的文件和资料，一经发现，投标方也应及时免费提供。如项目工程为多台设备构成，后续设备有改进时，投标方应及时免费提供新技术资料。</w:t>
      </w:r>
    </w:p>
    <w:p w14:paraId="50C858DF">
      <w:pPr>
        <w:numPr>
          <w:ilvl w:val="0"/>
          <w:numId w:val="36"/>
        </w:numPr>
        <w:ind w:left="0" w:firstLine="420"/>
      </w:pPr>
      <w:r>
        <w:t>“工厂图纸”包括制造、装配、安装和布置图、接线图、控制图、材料和设备的清单或表格、标准图、设计计算书、说明书、样本、小册子、特性图表、试验报告，以及涉及到与材料、设备和管道系统设计有关的图纸和说明等。</w:t>
      </w:r>
    </w:p>
    <w:p w14:paraId="5CA84E51">
      <w:pPr>
        <w:numPr>
          <w:ilvl w:val="0"/>
          <w:numId w:val="36"/>
        </w:numPr>
        <w:ind w:left="0" w:firstLine="420"/>
      </w:pPr>
      <w:r>
        <w:t>投标方应将“工厂图纸”提交给招标方审查认可。未经审查认可，不得进行备料和工厂生产。</w:t>
      </w:r>
    </w:p>
    <w:p w14:paraId="1B826A5C">
      <w:pPr>
        <w:numPr>
          <w:ilvl w:val="0"/>
          <w:numId w:val="36"/>
        </w:numPr>
        <w:ind w:left="0" w:firstLine="420"/>
      </w:pPr>
      <w:r>
        <w:t>投标方提供的设备及附件规格、重量或接线有变化时，应及时书面通知招标方。</w:t>
      </w:r>
    </w:p>
    <w:p w14:paraId="73D606B1">
      <w:pPr>
        <w:numPr>
          <w:ilvl w:val="0"/>
          <w:numId w:val="36"/>
        </w:numPr>
        <w:ind w:left="0" w:firstLine="420"/>
      </w:pPr>
      <w:r>
        <w:t>现场安装和试验在投标方的技术指导和监督下由招标方完成，在安装过程中，如发现有质量问题，投标方应及时解决，并提供备品、备件，做好销售服务工作。</w:t>
      </w:r>
    </w:p>
    <w:p w14:paraId="677E4661">
      <w:pPr>
        <w:numPr>
          <w:ilvl w:val="0"/>
          <w:numId w:val="36"/>
        </w:numPr>
        <w:ind w:left="0" w:firstLine="420"/>
      </w:pPr>
      <w:r>
        <w:t>投标方协助招标方按标准检查安装质量，及时处理调试投运过程中出现的问题。当发生设备质量问题，应及时采取措施解决。</w:t>
      </w:r>
    </w:p>
    <w:p w14:paraId="256FCFF4">
      <w:pPr>
        <w:numPr>
          <w:ilvl w:val="0"/>
          <w:numId w:val="36"/>
        </w:numPr>
        <w:ind w:left="0" w:firstLine="420"/>
      </w:pPr>
      <w:r>
        <w:t>投标方应选派有经验的技术人员，对安装和运行人员免费培训，具体培训人次及时间等要求见技术规范书（专用部分）。</w:t>
      </w:r>
    </w:p>
    <w:p w14:paraId="31C782B4">
      <w:pPr>
        <w:numPr>
          <w:ilvl w:val="0"/>
          <w:numId w:val="36"/>
        </w:numPr>
        <w:ind w:left="0" w:firstLine="420"/>
      </w:pPr>
      <w:r>
        <w:t>投标方应协助招标方解决设备运行中出现的问题。</w:t>
      </w:r>
    </w:p>
    <w:p w14:paraId="202936BF">
      <w:pPr>
        <w:numPr>
          <w:ilvl w:val="0"/>
          <w:numId w:val="36"/>
        </w:numPr>
        <w:ind w:left="0" w:firstLine="420"/>
      </w:pPr>
      <w:r>
        <w:t>投标方应在10年使用寿命期限内，提供设备所需备品备件。</w:t>
      </w:r>
    </w:p>
    <w:p w14:paraId="14FB3CC5">
      <w:pPr>
        <w:pStyle w:val="3"/>
      </w:pPr>
      <w:bookmarkStart w:id="515" w:name="_Toc15879"/>
      <w:bookmarkStart w:id="516" w:name="_Toc24692"/>
      <w:bookmarkStart w:id="517" w:name="_Toc23936"/>
      <w:bookmarkStart w:id="518" w:name="_Toc29345"/>
      <w:bookmarkStart w:id="519" w:name="_Toc16765"/>
      <w:bookmarkStart w:id="520" w:name="_Toc90022998"/>
      <w:bookmarkStart w:id="521" w:name="_Toc32309"/>
      <w:bookmarkStart w:id="522" w:name="_Toc404621467"/>
      <w:bookmarkStart w:id="523" w:name="_Toc5641"/>
      <w:bookmarkStart w:id="524" w:name="_Toc3511"/>
      <w:bookmarkStart w:id="525" w:name="_Toc3073"/>
      <w:bookmarkStart w:id="526" w:name="_Toc15155"/>
      <w:bookmarkStart w:id="527" w:name="_Toc9"/>
      <w:bookmarkStart w:id="528" w:name="_Toc14341"/>
      <w:bookmarkStart w:id="529" w:name="_Toc20633"/>
      <w:bookmarkStart w:id="530" w:name="_Toc27009"/>
      <w:bookmarkStart w:id="531" w:name="_Toc31890"/>
      <w:bookmarkStart w:id="532" w:name="_Toc14762"/>
      <w:bookmarkStart w:id="533" w:name="_Toc30107"/>
      <w:bookmarkStart w:id="534" w:name="_Toc19450"/>
      <w:bookmarkStart w:id="535" w:name="_Toc15718"/>
      <w:bookmarkStart w:id="536" w:name="_Toc395186737"/>
      <w:bookmarkStart w:id="537" w:name="_Toc292025362"/>
      <w:r>
        <w:t>资料文件</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8E44BBE">
      <w:pPr>
        <w:numPr>
          <w:ilvl w:val="2"/>
          <w:numId w:val="37"/>
        </w:numPr>
        <w:tabs>
          <w:tab w:val="left" w:pos="567"/>
          <w:tab w:val="clear" w:pos="420"/>
        </w:tabs>
        <w:ind w:firstLineChars="0"/>
        <w:rPr>
          <w:szCs w:val="21"/>
        </w:rPr>
      </w:pPr>
      <w:r>
        <w:rPr>
          <w:szCs w:val="21"/>
        </w:rPr>
        <w:t>随同投标文件一起提供的一般性资料，详见表</w:t>
      </w:r>
      <w:r>
        <w:rPr>
          <w:rFonts w:hint="eastAsia"/>
          <w:szCs w:val="21"/>
        </w:rPr>
        <w:t>10</w:t>
      </w:r>
      <w:r>
        <w:rPr>
          <w:szCs w:val="21"/>
        </w:rPr>
        <w:t>.1。</w:t>
      </w:r>
    </w:p>
    <w:p w14:paraId="03D6DCD9">
      <w:pPr>
        <w:ind w:firstLine="420"/>
        <w:jc w:val="center"/>
        <w:rPr>
          <w:szCs w:val="21"/>
        </w:rPr>
      </w:pPr>
      <w:r>
        <w:rPr>
          <w:szCs w:val="21"/>
        </w:rPr>
        <w:t>表</w:t>
      </w:r>
      <w:r>
        <w:rPr>
          <w:rFonts w:hint="eastAsia"/>
          <w:szCs w:val="21"/>
        </w:rPr>
        <w:t>10</w:t>
      </w:r>
      <w:r>
        <w:rPr>
          <w:szCs w:val="21"/>
        </w:rPr>
        <w:t>.1 随同投标文件需提供的资料</w:t>
      </w:r>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15"/>
        <w:gridCol w:w="6794"/>
      </w:tblGrid>
      <w:tr w14:paraId="1E1FC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108E6777">
            <w:pPr>
              <w:adjustRightInd w:val="0"/>
              <w:snapToGrid w:val="0"/>
              <w:spacing w:before="156" w:beforeLines="50" w:line="240" w:lineRule="auto"/>
              <w:ind w:firstLine="0" w:firstLineChars="0"/>
              <w:jc w:val="center"/>
              <w:rPr>
                <w:szCs w:val="21"/>
              </w:rPr>
            </w:pPr>
            <w:r>
              <w:rPr>
                <w:szCs w:val="21"/>
              </w:rPr>
              <w:t>序号</w:t>
            </w:r>
          </w:p>
        </w:tc>
        <w:tc>
          <w:tcPr>
            <w:tcW w:w="6794" w:type="dxa"/>
            <w:vAlign w:val="center"/>
          </w:tcPr>
          <w:p w14:paraId="5CC0F51C">
            <w:pPr>
              <w:adjustRightInd w:val="0"/>
              <w:snapToGrid w:val="0"/>
              <w:spacing w:before="156" w:beforeLines="50" w:line="240" w:lineRule="auto"/>
              <w:ind w:firstLine="0" w:firstLineChars="0"/>
              <w:jc w:val="center"/>
              <w:rPr>
                <w:szCs w:val="21"/>
              </w:rPr>
            </w:pPr>
            <w:r>
              <w:rPr>
                <w:szCs w:val="21"/>
              </w:rPr>
              <w:t>需提供的资料</w:t>
            </w:r>
          </w:p>
        </w:tc>
      </w:tr>
      <w:tr w14:paraId="71D3AC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4315BFAE">
            <w:pPr>
              <w:adjustRightInd w:val="0"/>
              <w:snapToGrid w:val="0"/>
              <w:spacing w:before="156" w:beforeLines="50" w:line="240" w:lineRule="auto"/>
              <w:ind w:firstLine="0" w:firstLineChars="0"/>
              <w:jc w:val="center"/>
              <w:rPr>
                <w:szCs w:val="21"/>
              </w:rPr>
            </w:pPr>
            <w:r>
              <w:rPr>
                <w:szCs w:val="21"/>
              </w:rPr>
              <w:t>1</w:t>
            </w:r>
          </w:p>
        </w:tc>
        <w:tc>
          <w:tcPr>
            <w:tcW w:w="6794" w:type="dxa"/>
            <w:vAlign w:val="center"/>
          </w:tcPr>
          <w:p w14:paraId="730B704F">
            <w:pPr>
              <w:adjustRightInd w:val="0"/>
              <w:snapToGrid w:val="0"/>
              <w:spacing w:before="156" w:beforeLines="50" w:line="240" w:lineRule="auto"/>
              <w:ind w:firstLine="0" w:firstLineChars="0"/>
              <w:rPr>
                <w:szCs w:val="21"/>
              </w:rPr>
            </w:pPr>
            <w:r>
              <w:rPr>
                <w:szCs w:val="21"/>
              </w:rPr>
              <w:t>第三方检测报告</w:t>
            </w:r>
          </w:p>
        </w:tc>
      </w:tr>
      <w:tr w14:paraId="5EAE95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4DDDC4FC">
            <w:pPr>
              <w:adjustRightInd w:val="0"/>
              <w:snapToGrid w:val="0"/>
              <w:spacing w:before="156" w:beforeLines="50" w:line="240" w:lineRule="auto"/>
              <w:ind w:firstLine="0" w:firstLineChars="0"/>
              <w:jc w:val="center"/>
              <w:rPr>
                <w:szCs w:val="21"/>
              </w:rPr>
            </w:pPr>
            <w:r>
              <w:rPr>
                <w:szCs w:val="21"/>
              </w:rPr>
              <w:t>2</w:t>
            </w:r>
          </w:p>
        </w:tc>
        <w:tc>
          <w:tcPr>
            <w:tcW w:w="6794" w:type="dxa"/>
            <w:vAlign w:val="center"/>
          </w:tcPr>
          <w:p w14:paraId="55C67760">
            <w:pPr>
              <w:adjustRightInd w:val="0"/>
              <w:snapToGrid w:val="0"/>
              <w:spacing w:before="156" w:beforeLines="50" w:line="240" w:lineRule="auto"/>
              <w:ind w:firstLine="0" w:firstLineChars="0"/>
              <w:rPr>
                <w:szCs w:val="21"/>
              </w:rPr>
            </w:pPr>
            <w:r>
              <w:rPr>
                <w:szCs w:val="21"/>
              </w:rPr>
              <w:t>质量管理体系认证证书</w:t>
            </w:r>
          </w:p>
        </w:tc>
      </w:tr>
      <w:tr w14:paraId="39056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76FB79D9">
            <w:pPr>
              <w:adjustRightInd w:val="0"/>
              <w:snapToGrid w:val="0"/>
              <w:spacing w:before="156" w:beforeLines="50" w:line="240" w:lineRule="auto"/>
              <w:ind w:firstLine="0" w:firstLineChars="0"/>
              <w:jc w:val="center"/>
              <w:rPr>
                <w:szCs w:val="21"/>
              </w:rPr>
            </w:pPr>
            <w:r>
              <w:rPr>
                <w:szCs w:val="21"/>
              </w:rPr>
              <w:t>3</w:t>
            </w:r>
          </w:p>
        </w:tc>
        <w:tc>
          <w:tcPr>
            <w:tcW w:w="6794" w:type="dxa"/>
            <w:vAlign w:val="center"/>
          </w:tcPr>
          <w:p w14:paraId="4CD3F4C4">
            <w:pPr>
              <w:adjustRightInd w:val="0"/>
              <w:snapToGrid w:val="0"/>
              <w:spacing w:before="156" w:beforeLines="50" w:line="240" w:lineRule="auto"/>
              <w:ind w:firstLine="0" w:firstLineChars="0"/>
              <w:rPr>
                <w:szCs w:val="21"/>
              </w:rPr>
            </w:pPr>
            <w:r>
              <w:rPr>
                <w:szCs w:val="21"/>
              </w:rPr>
              <w:t>质量相关认证证书等</w:t>
            </w:r>
          </w:p>
        </w:tc>
      </w:tr>
      <w:tr w14:paraId="799E4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75A12FD2">
            <w:pPr>
              <w:adjustRightInd w:val="0"/>
              <w:snapToGrid w:val="0"/>
              <w:spacing w:before="156" w:beforeLines="50" w:line="240" w:lineRule="auto"/>
              <w:ind w:firstLine="0" w:firstLineChars="0"/>
              <w:jc w:val="center"/>
              <w:rPr>
                <w:szCs w:val="21"/>
              </w:rPr>
            </w:pPr>
            <w:r>
              <w:rPr>
                <w:szCs w:val="21"/>
              </w:rPr>
              <w:t>4</w:t>
            </w:r>
          </w:p>
        </w:tc>
        <w:tc>
          <w:tcPr>
            <w:tcW w:w="6794" w:type="dxa"/>
            <w:vAlign w:val="center"/>
          </w:tcPr>
          <w:p w14:paraId="3850E877">
            <w:pPr>
              <w:adjustRightInd w:val="0"/>
              <w:snapToGrid w:val="0"/>
              <w:spacing w:before="156" w:beforeLines="50" w:line="240" w:lineRule="auto"/>
              <w:ind w:firstLine="0" w:firstLineChars="0"/>
              <w:rPr>
                <w:szCs w:val="21"/>
              </w:rPr>
            </w:pPr>
            <w:r>
              <w:rPr>
                <w:szCs w:val="21"/>
              </w:rPr>
              <w:t>包装清单</w:t>
            </w:r>
          </w:p>
        </w:tc>
      </w:tr>
      <w:tr w14:paraId="1974B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14113098">
            <w:pPr>
              <w:pStyle w:val="19"/>
              <w:adjustRightInd w:val="0"/>
              <w:snapToGrid w:val="0"/>
              <w:spacing w:before="156" w:beforeLines="50" w:line="240" w:lineRule="auto"/>
              <w:ind w:firstLine="0" w:firstLineChars="0"/>
              <w:jc w:val="center"/>
              <w:rPr>
                <w:rFonts w:ascii="Times New Roman" w:hAnsi="Times New Roman"/>
                <w:szCs w:val="21"/>
              </w:rPr>
            </w:pPr>
            <w:r>
              <w:rPr>
                <w:rFonts w:ascii="Times New Roman" w:hAnsi="Times New Roman"/>
                <w:szCs w:val="21"/>
              </w:rPr>
              <w:t>5</w:t>
            </w:r>
          </w:p>
        </w:tc>
        <w:tc>
          <w:tcPr>
            <w:tcW w:w="6794" w:type="dxa"/>
            <w:vAlign w:val="center"/>
          </w:tcPr>
          <w:p w14:paraId="62199D17">
            <w:pPr>
              <w:adjustRightInd w:val="0"/>
              <w:snapToGrid w:val="0"/>
              <w:spacing w:before="156" w:beforeLines="50" w:line="240" w:lineRule="auto"/>
              <w:ind w:firstLine="0" w:firstLineChars="0"/>
              <w:rPr>
                <w:szCs w:val="21"/>
              </w:rPr>
            </w:pPr>
            <w:r>
              <w:rPr>
                <w:szCs w:val="21"/>
              </w:rPr>
              <w:t>出厂合格证</w:t>
            </w:r>
          </w:p>
        </w:tc>
      </w:tr>
      <w:tr w14:paraId="17B5D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7F05919A">
            <w:pPr>
              <w:pStyle w:val="19"/>
              <w:adjustRightInd w:val="0"/>
              <w:snapToGrid w:val="0"/>
              <w:spacing w:before="156" w:beforeLines="50" w:line="240" w:lineRule="auto"/>
              <w:ind w:firstLine="0" w:firstLineChars="0"/>
              <w:jc w:val="center"/>
              <w:rPr>
                <w:rFonts w:ascii="Times New Roman" w:hAnsi="Times New Roman"/>
                <w:szCs w:val="21"/>
              </w:rPr>
            </w:pPr>
            <w:r>
              <w:rPr>
                <w:rFonts w:ascii="Times New Roman" w:hAnsi="Times New Roman"/>
                <w:szCs w:val="21"/>
              </w:rPr>
              <w:t>6</w:t>
            </w:r>
          </w:p>
        </w:tc>
        <w:tc>
          <w:tcPr>
            <w:tcW w:w="6794" w:type="dxa"/>
            <w:vAlign w:val="center"/>
          </w:tcPr>
          <w:p w14:paraId="6E32618A">
            <w:pPr>
              <w:adjustRightInd w:val="0"/>
              <w:snapToGrid w:val="0"/>
              <w:spacing w:before="156" w:beforeLines="50" w:line="240" w:lineRule="auto"/>
              <w:ind w:firstLine="0" w:firstLineChars="0"/>
              <w:rPr>
                <w:szCs w:val="21"/>
              </w:rPr>
            </w:pPr>
            <w:r>
              <w:rPr>
                <w:szCs w:val="21"/>
              </w:rPr>
              <w:t>出厂检验报告</w:t>
            </w:r>
          </w:p>
        </w:tc>
      </w:tr>
      <w:tr w14:paraId="30912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15" w:type="dxa"/>
            <w:vAlign w:val="center"/>
          </w:tcPr>
          <w:p w14:paraId="55EE246D">
            <w:pPr>
              <w:pStyle w:val="19"/>
              <w:adjustRightInd w:val="0"/>
              <w:snapToGrid w:val="0"/>
              <w:spacing w:before="156" w:beforeLines="50" w:line="240" w:lineRule="auto"/>
              <w:ind w:firstLine="0" w:firstLineChars="0"/>
              <w:jc w:val="center"/>
              <w:rPr>
                <w:rFonts w:ascii="Times New Roman" w:hAnsi="Times New Roman"/>
                <w:szCs w:val="21"/>
              </w:rPr>
            </w:pPr>
            <w:r>
              <w:rPr>
                <w:rFonts w:ascii="Times New Roman" w:hAnsi="Times New Roman"/>
                <w:szCs w:val="21"/>
              </w:rPr>
              <w:t>7</w:t>
            </w:r>
          </w:p>
        </w:tc>
        <w:tc>
          <w:tcPr>
            <w:tcW w:w="6794" w:type="dxa"/>
            <w:vAlign w:val="center"/>
          </w:tcPr>
          <w:p w14:paraId="39FBE829">
            <w:pPr>
              <w:adjustRightInd w:val="0"/>
              <w:snapToGrid w:val="0"/>
              <w:spacing w:before="156" w:beforeLines="50" w:line="240" w:lineRule="auto"/>
              <w:ind w:firstLine="0" w:firstLineChars="0"/>
              <w:rPr>
                <w:szCs w:val="21"/>
              </w:rPr>
            </w:pPr>
            <w:r>
              <w:rPr>
                <w:szCs w:val="21"/>
              </w:rPr>
              <w:t>产品安装使用说明书</w:t>
            </w:r>
          </w:p>
        </w:tc>
      </w:tr>
    </w:tbl>
    <w:p w14:paraId="7E1A249A">
      <w:pPr>
        <w:numPr>
          <w:ilvl w:val="2"/>
          <w:numId w:val="37"/>
        </w:numPr>
        <w:ind w:firstLineChars="0"/>
      </w:pPr>
      <w:r>
        <w:t>在技术协议签订10天内，投标方向招标方提供包括但不限于下列图纸资料及其AutoCAD格式的电子文档</w:t>
      </w:r>
      <w:r>
        <w:rPr>
          <w:rFonts w:hint="eastAsia"/>
        </w:rPr>
        <w:t>U</w:t>
      </w:r>
      <w:r>
        <w:t>盘2份，纸质版6套。</w:t>
      </w:r>
    </w:p>
    <w:p w14:paraId="51B1E730">
      <w:pPr>
        <w:numPr>
          <w:ilvl w:val="0"/>
          <w:numId w:val="38"/>
        </w:numPr>
        <w:ind w:left="0" w:firstLine="420"/>
      </w:pPr>
      <w:r>
        <w:t>投标方应承诺提供招标方提出的所有所需资料、图纸、文件供工程设计、安装、运维使用。</w:t>
      </w:r>
    </w:p>
    <w:p w14:paraId="54015128">
      <w:pPr>
        <w:numPr>
          <w:ilvl w:val="0"/>
          <w:numId w:val="38"/>
        </w:numPr>
        <w:ind w:left="0" w:firstLine="420"/>
      </w:pPr>
      <w:r>
        <w:t>技术数据表及相关技术资料。</w:t>
      </w:r>
    </w:p>
    <w:p w14:paraId="7C371A4D">
      <w:pPr>
        <w:numPr>
          <w:ilvl w:val="0"/>
          <w:numId w:val="38"/>
        </w:numPr>
        <w:ind w:left="0" w:firstLine="420"/>
      </w:pPr>
      <w:r>
        <w:t>同型产品通过型式试验的最新说明文件。</w:t>
      </w:r>
    </w:p>
    <w:p w14:paraId="1F8A7C23">
      <w:pPr>
        <w:numPr>
          <w:ilvl w:val="0"/>
          <w:numId w:val="38"/>
        </w:numPr>
        <w:ind w:left="0" w:firstLine="420"/>
      </w:pPr>
      <w:r>
        <w:t>具有同类设备安装地点名称、投运时间、运行情况的记录。</w:t>
      </w:r>
    </w:p>
    <w:p w14:paraId="54680DA9">
      <w:pPr>
        <w:numPr>
          <w:ilvl w:val="0"/>
          <w:numId w:val="38"/>
        </w:numPr>
        <w:ind w:left="0" w:firstLine="420"/>
      </w:pPr>
      <w:r>
        <w:t>设备适用的标准说明。</w:t>
      </w:r>
    </w:p>
    <w:p w14:paraId="5B99335E">
      <w:pPr>
        <w:numPr>
          <w:ilvl w:val="0"/>
          <w:numId w:val="38"/>
        </w:numPr>
        <w:ind w:left="0" w:firstLine="420"/>
      </w:pPr>
      <w:r>
        <w:t>提供图纸计划及生产制造、交货进度计划。</w:t>
      </w:r>
    </w:p>
    <w:p w14:paraId="6B1E697D">
      <w:pPr>
        <w:numPr>
          <w:ilvl w:val="0"/>
          <w:numId w:val="38"/>
        </w:numPr>
        <w:ind w:left="0" w:firstLine="420"/>
        <w:rPr>
          <w:szCs w:val="21"/>
        </w:rPr>
      </w:pPr>
      <w:r>
        <w:t>图纸和技术文件，包括安装、运行和维护等说明书及试验报告。</w:t>
      </w:r>
    </w:p>
    <w:p w14:paraId="4DFC102A">
      <w:pPr>
        <w:numPr>
          <w:ilvl w:val="2"/>
          <w:numId w:val="37"/>
        </w:numPr>
        <w:ind w:firstLineChars="0"/>
      </w:pPr>
      <w:r>
        <w:t>设备供货时，开箱资料除了9.2.2条所规定的图纸资料外，还应提供下列资料，均为一式8份：</w:t>
      </w:r>
    </w:p>
    <w:p w14:paraId="5CE3E3C4">
      <w:pPr>
        <w:numPr>
          <w:ilvl w:val="0"/>
          <w:numId w:val="39"/>
        </w:numPr>
        <w:ind w:firstLine="420"/>
      </w:pPr>
      <w:r>
        <w:t>设备安装、运行、维护说明书(中文或中英文对照，并提供电子版)，安装作业指导书，包括一次本体装配作业指导书、二次安装调试作业指导、关键质量控制点、质量管理措施和相关工艺的指导性文件；</w:t>
      </w:r>
    </w:p>
    <w:p w14:paraId="7A6E135D">
      <w:pPr>
        <w:numPr>
          <w:ilvl w:val="0"/>
          <w:numId w:val="39"/>
        </w:numPr>
        <w:ind w:firstLine="420"/>
      </w:pPr>
      <w:r>
        <w:t>部件、易损件、备品备件及专用工器具清单；</w:t>
      </w:r>
    </w:p>
    <w:p w14:paraId="37E87849">
      <w:pPr>
        <w:numPr>
          <w:ilvl w:val="0"/>
          <w:numId w:val="39"/>
        </w:numPr>
        <w:ind w:firstLine="420"/>
      </w:pPr>
      <w:r>
        <w:t>设备出厂试验报告、产品合格证、控制器软件版本号和硬件版本号等；</w:t>
      </w:r>
    </w:p>
    <w:p w14:paraId="665168D7">
      <w:pPr>
        <w:numPr>
          <w:ilvl w:val="0"/>
          <w:numId w:val="39"/>
        </w:numPr>
        <w:ind w:firstLine="420"/>
      </w:pPr>
      <w:r>
        <w:t>装箱清单。</w:t>
      </w:r>
    </w:p>
    <w:p w14:paraId="3382A80E">
      <w:pPr>
        <w:pStyle w:val="3"/>
      </w:pPr>
      <w:bookmarkStart w:id="538" w:name="_Toc8096"/>
      <w:bookmarkStart w:id="539" w:name="_Toc10459"/>
      <w:bookmarkStart w:id="540" w:name="_Toc18353"/>
      <w:bookmarkStart w:id="541" w:name="_Toc1577"/>
      <w:bookmarkStart w:id="542" w:name="_Toc12233"/>
      <w:bookmarkStart w:id="543" w:name="_Toc17501"/>
      <w:bookmarkStart w:id="544" w:name="_Toc5642"/>
      <w:bookmarkStart w:id="545" w:name="_Toc90022999"/>
      <w:bookmarkStart w:id="546" w:name="_Toc6879"/>
      <w:bookmarkStart w:id="547" w:name="_Toc29788"/>
      <w:bookmarkStart w:id="548" w:name="_Toc23750"/>
      <w:bookmarkStart w:id="549" w:name="_Toc14810"/>
      <w:bookmarkStart w:id="550" w:name="_Toc404621468"/>
      <w:bookmarkStart w:id="551" w:name="_Toc13849"/>
      <w:bookmarkStart w:id="552" w:name="_Toc32374"/>
      <w:bookmarkStart w:id="553" w:name="_Toc8952"/>
      <w:bookmarkStart w:id="554" w:name="_Toc18993"/>
      <w:bookmarkStart w:id="555" w:name="_Toc21112"/>
      <w:bookmarkStart w:id="556" w:name="_Toc14082"/>
      <w:bookmarkStart w:id="557" w:name="_Toc24011"/>
      <w:bookmarkStart w:id="558" w:name="_Toc27881"/>
      <w:r>
        <w:t>设计联络</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3A0D9C6D">
      <w:pPr>
        <w:ind w:firstLine="420"/>
      </w:pPr>
      <w:r>
        <w:t>1）投标方应在技术协议签订后的在专用部分要求的时间内向招标方提供正式版的用于设计、设备监造和检验、现场安装和调试以及运行维护方面的图纸、说明书和有关技术资料，同时向招标方设计代表提供拷贝</w:t>
      </w:r>
      <w:r>
        <w:rPr>
          <w:rFonts w:hint="eastAsia"/>
        </w:rPr>
        <w:t>U</w:t>
      </w:r>
      <w:r>
        <w:t xml:space="preserve">盘2份（图纸为AutoCAD 版、文字资料为Word版）。 </w:t>
      </w:r>
    </w:p>
    <w:p w14:paraId="0BB782E5">
      <w:pPr>
        <w:ind w:firstLine="420"/>
      </w:pPr>
      <w:r>
        <w:t>2）投标方应按设计需要随时开展设计联络工作，提供设计所需的相关资料，以保证招标方工期要求。</w:t>
      </w:r>
    </w:p>
    <w:p w14:paraId="55C20643">
      <w:pPr>
        <w:ind w:firstLine="420"/>
      </w:pPr>
      <w:r>
        <w:t>3）投标方提供的图纸必须经招标方代表确认。</w:t>
      </w:r>
    </w:p>
    <w:p w14:paraId="60A1E1D8">
      <w:pPr>
        <w:pStyle w:val="2"/>
      </w:pPr>
      <w:bookmarkStart w:id="559" w:name="_Toc28114"/>
      <w:bookmarkStart w:id="560" w:name="_Toc90023000"/>
      <w:bookmarkStart w:id="561" w:name="_Toc29350"/>
      <w:bookmarkStart w:id="562" w:name="_Toc11533"/>
      <w:bookmarkStart w:id="563" w:name="_Toc19006"/>
      <w:bookmarkStart w:id="564" w:name="_Toc16679"/>
      <w:bookmarkStart w:id="565" w:name="_Toc21593"/>
      <w:bookmarkStart w:id="566" w:name="_Toc3791"/>
      <w:bookmarkStart w:id="567" w:name="_Toc21426"/>
      <w:bookmarkStart w:id="568" w:name="_Toc404621469"/>
      <w:bookmarkStart w:id="569" w:name="_Toc19060"/>
      <w:bookmarkStart w:id="570" w:name="_Toc25388"/>
      <w:bookmarkStart w:id="571" w:name="_Toc28498"/>
      <w:bookmarkStart w:id="572" w:name="_Toc15791"/>
      <w:bookmarkStart w:id="573" w:name="_Toc20847"/>
      <w:bookmarkStart w:id="574" w:name="_Toc11476"/>
      <w:bookmarkStart w:id="575" w:name="_Toc20277"/>
      <w:bookmarkStart w:id="576" w:name="_Toc22758"/>
      <w:bookmarkStart w:id="577" w:name="_Toc4058"/>
      <w:bookmarkStart w:id="578" w:name="_Toc19044"/>
      <w:bookmarkStart w:id="579" w:name="_Toc21366"/>
      <w:r>
        <w:t>监造、包装、运输和贮存及质量保证</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D78B75E">
      <w:pPr>
        <w:pStyle w:val="3"/>
      </w:pPr>
      <w:bookmarkStart w:id="580" w:name="_Toc8658"/>
      <w:bookmarkStart w:id="581" w:name="_Toc13196"/>
      <w:bookmarkStart w:id="582" w:name="_Toc1747"/>
      <w:bookmarkStart w:id="583" w:name="_Toc16418"/>
      <w:bookmarkStart w:id="584" w:name="_Toc8840"/>
      <w:bookmarkStart w:id="585" w:name="_Toc4292"/>
      <w:bookmarkStart w:id="586" w:name="_Toc29028"/>
      <w:bookmarkStart w:id="587" w:name="_Toc11610"/>
      <w:bookmarkStart w:id="588" w:name="_Toc6384"/>
      <w:bookmarkStart w:id="589" w:name="_Toc2882"/>
      <w:bookmarkStart w:id="590" w:name="_Toc16551"/>
      <w:bookmarkStart w:id="591" w:name="_Toc19492"/>
      <w:bookmarkStart w:id="592" w:name="_Toc1843"/>
      <w:bookmarkStart w:id="593" w:name="_Toc24370"/>
      <w:bookmarkStart w:id="594" w:name="_Toc2427"/>
      <w:bookmarkStart w:id="595" w:name="_Toc31624"/>
      <w:bookmarkStart w:id="596" w:name="_Toc17919"/>
      <w:bookmarkStart w:id="597" w:name="_Toc20161"/>
      <w:bookmarkStart w:id="598" w:name="_Toc90023001"/>
      <w:bookmarkStart w:id="599" w:name="_Toc27908"/>
      <w:bookmarkStart w:id="600" w:name="_Toc404621470"/>
      <w:r>
        <w:t>监造</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C973B74">
      <w:pPr>
        <w:pStyle w:val="97"/>
        <w:tabs>
          <w:tab w:val="left" w:pos="567"/>
        </w:tabs>
        <w:snapToGrid w:val="0"/>
        <w:spacing w:line="360" w:lineRule="auto"/>
        <w:ind w:firstLine="420" w:firstLineChars="200"/>
        <w:rPr>
          <w:szCs w:val="21"/>
        </w:rPr>
      </w:pPr>
      <w:r>
        <w:rPr>
          <w:szCs w:val="21"/>
        </w:rPr>
        <w:t>1）投标方必须在签订合同后10天之内以书面形式提供所供设备的制造进度表。根据需要招标方可随时进厂监造。监造和检验人员有权了解生产过程、查询质量记录和参加各种试验。</w:t>
      </w:r>
    </w:p>
    <w:p w14:paraId="481C7A15">
      <w:pPr>
        <w:pStyle w:val="97"/>
        <w:tabs>
          <w:tab w:val="left" w:pos="567"/>
        </w:tabs>
        <w:snapToGrid w:val="0"/>
        <w:spacing w:line="360" w:lineRule="auto"/>
        <w:ind w:firstLine="420" w:firstLineChars="200"/>
        <w:rPr>
          <w:szCs w:val="21"/>
        </w:rPr>
      </w:pPr>
      <w:r>
        <w:rPr>
          <w:szCs w:val="21"/>
        </w:rPr>
        <w:t>2）监造范围包括设备的设计、加工、制造、储运、材料采购、组装和试验等重要过程，关键部件的质量控制，进行见证、检验和审核。</w:t>
      </w:r>
    </w:p>
    <w:p w14:paraId="23DBADAD">
      <w:pPr>
        <w:pStyle w:val="97"/>
        <w:tabs>
          <w:tab w:val="left" w:pos="567"/>
        </w:tabs>
        <w:snapToGrid w:val="0"/>
        <w:spacing w:line="360" w:lineRule="auto"/>
        <w:ind w:firstLine="420" w:firstLineChars="200"/>
        <w:rPr>
          <w:szCs w:val="21"/>
        </w:rPr>
      </w:pPr>
      <w:r>
        <w:rPr>
          <w:szCs w:val="21"/>
        </w:rPr>
        <w:t>3）运行单位的工厂监造和检验工作，不减少投标方对产品的质量责任，监造和检验人员不签署任何质量证明。</w:t>
      </w:r>
    </w:p>
    <w:p w14:paraId="4B92F87D">
      <w:pPr>
        <w:pStyle w:val="97"/>
        <w:tabs>
          <w:tab w:val="left" w:pos="567"/>
        </w:tabs>
        <w:snapToGrid w:val="0"/>
        <w:spacing w:line="360" w:lineRule="auto"/>
        <w:ind w:firstLine="420" w:firstLineChars="200"/>
        <w:rPr>
          <w:szCs w:val="21"/>
        </w:rPr>
      </w:pPr>
      <w:r>
        <w:rPr>
          <w:szCs w:val="21"/>
        </w:rPr>
        <w:t>4）投标方应在出厂前提前至少5个工作日书面通知招标方进行出厂试验监督。</w:t>
      </w:r>
    </w:p>
    <w:p w14:paraId="680698C5">
      <w:pPr>
        <w:pStyle w:val="3"/>
      </w:pPr>
      <w:bookmarkStart w:id="601" w:name="_Toc17054"/>
      <w:bookmarkStart w:id="602" w:name="_Toc22407"/>
      <w:bookmarkStart w:id="603" w:name="_Toc32745"/>
      <w:bookmarkStart w:id="604" w:name="_Toc24943"/>
      <w:bookmarkStart w:id="605" w:name="_Toc7648"/>
      <w:bookmarkStart w:id="606" w:name="_Toc11259"/>
      <w:bookmarkStart w:id="607" w:name="_Toc90023002"/>
      <w:bookmarkStart w:id="608" w:name="_Toc20295"/>
      <w:bookmarkStart w:id="609" w:name="_Toc16544"/>
      <w:bookmarkStart w:id="610" w:name="_Toc29308"/>
      <w:bookmarkStart w:id="611" w:name="_Toc9240"/>
      <w:bookmarkStart w:id="612" w:name="_Toc17246"/>
      <w:bookmarkStart w:id="613" w:name="_Toc29956"/>
      <w:bookmarkStart w:id="614" w:name="_Toc28454"/>
      <w:bookmarkStart w:id="615" w:name="_Toc12429"/>
      <w:bookmarkStart w:id="616" w:name="_Toc1497"/>
      <w:bookmarkStart w:id="617" w:name="_Toc18034"/>
      <w:bookmarkStart w:id="618" w:name="_Toc30059"/>
      <w:bookmarkStart w:id="619" w:name="_Toc30592"/>
      <w:bookmarkStart w:id="620" w:name="_Toc16397"/>
      <w:r>
        <w:t>包装</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82BE9E8">
      <w:pPr>
        <w:pStyle w:val="97"/>
        <w:tabs>
          <w:tab w:val="left" w:pos="567"/>
        </w:tabs>
        <w:snapToGrid w:val="0"/>
        <w:spacing w:line="360" w:lineRule="auto"/>
        <w:ind w:firstLine="420" w:firstLineChars="200"/>
        <w:rPr>
          <w:szCs w:val="21"/>
        </w:rPr>
      </w:pPr>
      <w:r>
        <w:rPr>
          <w:szCs w:val="21"/>
        </w:rPr>
        <w:t>1）要严格按照制造厂给出的说明书对设备进行包装、运输和储存。制造厂应在交货前的适当时间提供设备的运输和储存说明书。</w:t>
      </w:r>
    </w:p>
    <w:p w14:paraId="1C0365D5">
      <w:pPr>
        <w:pStyle w:val="97"/>
        <w:tabs>
          <w:tab w:val="left" w:pos="567"/>
        </w:tabs>
        <w:snapToGrid w:val="0"/>
        <w:spacing w:line="360" w:lineRule="auto"/>
        <w:ind w:firstLine="420" w:firstLineChars="200"/>
        <w:rPr>
          <w:szCs w:val="21"/>
        </w:rPr>
      </w:pPr>
      <w:r>
        <w:rPr>
          <w:szCs w:val="21"/>
        </w:rPr>
        <w:t>2）设备制造完成并通过试验后应及时包装，否则应得到切实的保护。其包装也应符合铁路、公路和海运部门的有关规定。</w:t>
      </w:r>
    </w:p>
    <w:p w14:paraId="1F9FD85F">
      <w:pPr>
        <w:pStyle w:val="97"/>
        <w:tabs>
          <w:tab w:val="left" w:pos="567"/>
        </w:tabs>
        <w:snapToGrid w:val="0"/>
        <w:spacing w:line="360" w:lineRule="auto"/>
        <w:ind w:firstLine="420" w:firstLineChars="200"/>
        <w:rPr>
          <w:szCs w:val="21"/>
        </w:rPr>
      </w:pPr>
      <w:r>
        <w:rPr>
          <w:szCs w:val="21"/>
        </w:rPr>
        <w:t>3）包装箱上应有运输及起吊标志：“向上”、“防潮”、“小心轻放”、“由此吊起”等字样明显的包装储运图示标志，并应标明设备的订货号和发货号。</w:t>
      </w:r>
    </w:p>
    <w:p w14:paraId="31309F3A">
      <w:pPr>
        <w:pStyle w:val="97"/>
        <w:tabs>
          <w:tab w:val="left" w:pos="567"/>
        </w:tabs>
        <w:snapToGrid w:val="0"/>
        <w:spacing w:line="360" w:lineRule="auto"/>
        <w:ind w:firstLine="420" w:firstLineChars="200"/>
        <w:rPr>
          <w:szCs w:val="21"/>
        </w:rPr>
      </w:pPr>
      <w:r>
        <w:rPr>
          <w:szCs w:val="21"/>
        </w:rPr>
        <w:t>4）设备及附件的包装应能保证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14:paraId="5B607886">
      <w:pPr>
        <w:pStyle w:val="3"/>
      </w:pPr>
      <w:bookmarkStart w:id="621" w:name="_Toc22286"/>
      <w:bookmarkStart w:id="622" w:name="_Toc3137"/>
      <w:bookmarkStart w:id="623" w:name="_Toc23842"/>
      <w:bookmarkStart w:id="624" w:name="_Toc23576"/>
      <w:bookmarkStart w:id="625" w:name="_Toc4562"/>
      <w:bookmarkStart w:id="626" w:name="_Toc21290"/>
      <w:bookmarkStart w:id="627" w:name="_Toc15369"/>
      <w:bookmarkStart w:id="628" w:name="_Toc19569"/>
      <w:bookmarkStart w:id="629" w:name="_Toc1099"/>
      <w:bookmarkStart w:id="630" w:name="_Toc23093"/>
      <w:bookmarkStart w:id="631" w:name="_Toc17025"/>
      <w:bookmarkStart w:id="632" w:name="_Toc90023003"/>
      <w:bookmarkStart w:id="633" w:name="_Toc15033"/>
      <w:bookmarkStart w:id="634" w:name="_Toc20445"/>
      <w:bookmarkStart w:id="635" w:name="_Toc30627"/>
      <w:bookmarkStart w:id="636" w:name="_Toc2071"/>
      <w:bookmarkStart w:id="637" w:name="_Toc28856"/>
      <w:bookmarkStart w:id="638" w:name="_Toc1755"/>
      <w:bookmarkStart w:id="639" w:name="_Toc30794"/>
      <w:bookmarkStart w:id="640" w:name="_Toc8566"/>
      <w:r>
        <w:t>运输</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9661451">
      <w:pPr>
        <w:ind w:firstLine="420"/>
      </w:pPr>
      <w:r>
        <w:t>1）整体运输时，设备内部元件应不得移位、损坏和受潮，不得影响安装。</w:t>
      </w:r>
    </w:p>
    <w:p w14:paraId="13A0291D">
      <w:pPr>
        <w:ind w:firstLine="420"/>
      </w:pPr>
      <w:r>
        <w:t>2）单独运输的零部件应有标志，便于用户安装装配。</w:t>
      </w:r>
    </w:p>
    <w:p w14:paraId="4F29666B">
      <w:pPr>
        <w:ind w:firstLine="420"/>
      </w:pPr>
      <w:r>
        <w:t>3）整体产品或分别运输的部件，都要适合于运输及装卸的要求。</w:t>
      </w:r>
    </w:p>
    <w:p w14:paraId="393ACF46">
      <w:pPr>
        <w:ind w:firstLine="420"/>
      </w:pPr>
      <w:r>
        <w:t>4）随同运输的产品应附有装箱清单，产品所需提供的技术资料应完整无缺。</w:t>
      </w:r>
    </w:p>
    <w:p w14:paraId="6FA94139">
      <w:pPr>
        <w:ind w:firstLine="420"/>
      </w:pPr>
      <w:r>
        <w:t>5）设备在运输和装卸时，应按照DL/T 1071《电力大件运输规范》在要求进行。</w:t>
      </w:r>
    </w:p>
    <w:p w14:paraId="3FDF36A4">
      <w:pPr>
        <w:pStyle w:val="3"/>
      </w:pPr>
      <w:bookmarkStart w:id="641" w:name="_Toc26948"/>
      <w:bookmarkStart w:id="642" w:name="_Toc6868"/>
      <w:bookmarkStart w:id="643" w:name="_Toc2157"/>
      <w:bookmarkStart w:id="644" w:name="_Toc2721"/>
      <w:bookmarkStart w:id="645" w:name="_Toc1298"/>
      <w:bookmarkStart w:id="646" w:name="_Toc1797"/>
      <w:bookmarkStart w:id="647" w:name="_Toc25969"/>
      <w:bookmarkStart w:id="648" w:name="_Toc5993"/>
      <w:bookmarkStart w:id="649" w:name="_Toc90023004"/>
      <w:bookmarkStart w:id="650" w:name="_Toc20064"/>
      <w:bookmarkStart w:id="651" w:name="_Toc3691"/>
      <w:bookmarkStart w:id="652" w:name="_Toc386"/>
      <w:bookmarkStart w:id="653" w:name="_Toc22951"/>
      <w:bookmarkStart w:id="654" w:name="_Toc30906"/>
      <w:bookmarkStart w:id="655" w:name="_Toc12087"/>
      <w:bookmarkStart w:id="656" w:name="_Toc30219"/>
      <w:bookmarkStart w:id="657" w:name="_Toc20222"/>
      <w:bookmarkStart w:id="658" w:name="_Toc25366"/>
      <w:bookmarkStart w:id="659" w:name="_Toc27397"/>
      <w:bookmarkStart w:id="660" w:name="_Toc27659"/>
      <w:r>
        <w:t>安装指导</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9A3AA91">
      <w:pPr>
        <w:ind w:firstLine="420"/>
      </w:pPr>
      <w:r>
        <w:t>制造厂在安装和启动时应安排技术人员提供现场安装指导服务，提出技术建议，并有对运行人员提供相关培训的义务。</w:t>
      </w:r>
    </w:p>
    <w:p w14:paraId="2A2BFB08">
      <w:pPr>
        <w:ind w:firstLine="420"/>
      </w:pPr>
      <w:r>
        <w:t>设备在现场搬运、吊装就位和安装时，应按照GB 26164.1-2010《电业安全工作规程 第1部分：热力和机械》的要求进行。</w:t>
      </w:r>
    </w:p>
    <w:p w14:paraId="3B347C0D">
      <w:pPr>
        <w:pStyle w:val="3"/>
      </w:pPr>
      <w:bookmarkStart w:id="661" w:name="_Toc9987"/>
      <w:bookmarkStart w:id="662" w:name="_Toc22039"/>
      <w:bookmarkStart w:id="663" w:name="_Toc13057"/>
      <w:bookmarkStart w:id="664" w:name="_Toc28506"/>
      <w:bookmarkStart w:id="665" w:name="_Toc29455"/>
      <w:bookmarkStart w:id="666" w:name="_Toc685"/>
      <w:bookmarkStart w:id="667" w:name="_Toc8163"/>
      <w:bookmarkStart w:id="668" w:name="_Toc19144"/>
      <w:bookmarkStart w:id="669" w:name="_Toc6236"/>
      <w:bookmarkStart w:id="670" w:name="_Toc16699"/>
      <w:bookmarkStart w:id="671" w:name="_Toc90023005"/>
      <w:bookmarkStart w:id="672" w:name="_Toc21106"/>
      <w:bookmarkStart w:id="673" w:name="_Toc19813"/>
      <w:bookmarkStart w:id="674" w:name="_Toc4167"/>
      <w:bookmarkStart w:id="675" w:name="_Toc8451"/>
      <w:bookmarkStart w:id="676" w:name="_Toc3323"/>
      <w:bookmarkStart w:id="677" w:name="_Toc10053"/>
      <w:bookmarkStart w:id="678" w:name="_Toc32621"/>
      <w:bookmarkStart w:id="679" w:name="_Toc19599"/>
      <w:bookmarkStart w:id="680" w:name="_Toc13873"/>
      <w:r>
        <w:t>质量保证</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44A60A5">
      <w:pPr>
        <w:ind w:firstLine="420"/>
      </w:pPr>
      <w:r>
        <w:t>1）全部设备必须是全新的，持久耐用的，应满足作为一个完整产品所能满足的全部要求。投标方应保证设备在规定的使用条件下运行、并按使用说明书进行安装和维护、预期寿命应不少于10年。</w:t>
      </w:r>
    </w:p>
    <w:p w14:paraId="23C81981">
      <w:pPr>
        <w:ind w:firstLine="420"/>
      </w:pPr>
      <w:r>
        <w:t>2）投标方应对其整组设备在到货后提供不少于十年的“三包”质量保证。质保期后，设备生命周期内，投标方应保证备品备件的供应满足投标服务响应要求。如发生产品损坏，投标方应及时为本组装置提供维修部件，并按最近的投标价提供。</w:t>
      </w:r>
    </w:p>
    <w:p w14:paraId="1836A967">
      <w:pPr>
        <w:ind w:firstLine="420"/>
      </w:pPr>
      <w:r>
        <w:t>3）在现场安装时非对接需要对货物进行开盖处理的，质量保证期应延长二年。在货物质量保证期内，现场开盖处理的间隔的质量保证期重新计算，并延长二年。</w:t>
      </w:r>
    </w:p>
    <w:p w14:paraId="5879A305">
      <w:pPr>
        <w:ind w:firstLine="420"/>
      </w:pPr>
      <w:r>
        <w:t>4）投标方保证其提供的产品是全新的、未使用过的，所有合同货物本体、附件及螺栓、螺帽、阀门等部件必须防腐防锈，质保期内不得出现锈蚀、开裂，否则应无条件更换；质保期后但在投运8年内，出现喷漆脱落、锈蚀等任何影响合同货物外观的损坏，投标方应免费处理。投标方保证其产品在正确安装、正常操作情况下，运行安全、可靠。在合同货物质量保证期内，如发现投标方提供的合同货物有缺陷，不符合合同约定时，招标方可向投标方提出索赔。</w:t>
      </w:r>
    </w:p>
    <w:p w14:paraId="36B332A1">
      <w:pPr>
        <w:ind w:firstLine="420"/>
      </w:pPr>
      <w:r>
        <w:t>5）订购的新型产品除应满足本标准外，投标方还应提供该产品的鉴定证书。</w:t>
      </w:r>
    </w:p>
    <w:p w14:paraId="7519EDDC">
      <w:pPr>
        <w:ind w:firstLine="420"/>
      </w:pPr>
      <w:r>
        <w:t>6）投标方应保证制造过程中的所有工艺、材料试验等（包括投标方的外购件在内）均应符合本标准的规定。若招标方根据运行经验指定投标方提供某种外购零部件，投标方应积极配合。</w:t>
      </w:r>
    </w:p>
    <w:p w14:paraId="52A3EF10">
      <w:pPr>
        <w:ind w:firstLine="420"/>
      </w:pPr>
      <w:r>
        <w:t>7）附属及配套设备必须满足有关行业标准的要求，并提供试验报告和产品合格证。</w:t>
      </w:r>
    </w:p>
    <w:p w14:paraId="38430C41">
      <w:pPr>
        <w:ind w:firstLine="420"/>
      </w:pPr>
      <w:r>
        <w:t>8）投标方应有遵守本标准中各条款和工作项目的ISO9000-GB/T19000质量保证体系，该质量保证体系已经通过国家认证并在正常运转。</w:t>
      </w:r>
      <w:bookmarkEnd w:id="536"/>
      <w:bookmarkEnd w:id="537"/>
    </w:p>
    <w:p w14:paraId="139698F0">
      <w:pPr>
        <w:pStyle w:val="2"/>
        <w:numPr>
          <w:ilvl w:val="0"/>
          <w:numId w:val="0"/>
        </w:numPr>
      </w:pPr>
      <w:r>
        <w:br w:type="page"/>
      </w:r>
      <w:bookmarkStart w:id="681" w:name="_Toc27262"/>
      <w:bookmarkStart w:id="682" w:name="_Toc21234"/>
      <w:bookmarkStart w:id="683" w:name="_Toc16040"/>
      <w:bookmarkStart w:id="684" w:name="_Toc21613"/>
      <w:bookmarkStart w:id="685" w:name="_Toc21037"/>
      <w:bookmarkStart w:id="686" w:name="_Toc15613"/>
      <w:bookmarkStart w:id="687" w:name="_Toc111808723"/>
      <w:bookmarkStart w:id="688" w:name="_Toc1108"/>
      <w:bookmarkStart w:id="689" w:name="_Toc16848"/>
      <w:bookmarkStart w:id="690" w:name="_Toc19843"/>
      <w:bookmarkStart w:id="691" w:name="_Toc2988"/>
      <w:bookmarkStart w:id="692" w:name="_Toc5059"/>
      <w:bookmarkStart w:id="693" w:name="_Toc28834"/>
      <w:bookmarkStart w:id="694" w:name="_Toc27215"/>
      <w:bookmarkStart w:id="695" w:name="_Toc29875"/>
      <w:bookmarkStart w:id="696" w:name="_Toc6686"/>
      <w:bookmarkStart w:id="697" w:name="_Toc3347"/>
      <w:bookmarkStart w:id="698" w:name="_Toc23500"/>
      <w:bookmarkStart w:id="699" w:name="_Toc15592"/>
      <w:r>
        <w:rPr>
          <w:rFonts w:hint="eastAsia"/>
        </w:rPr>
        <w:t>附录A：</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Pr>
          <w:rFonts w:hint="eastAsia"/>
          <w:lang w:eastAsia="zh-CN"/>
        </w:rPr>
        <w:t>电力开源物联版配电物联代理单元</w:t>
      </w:r>
      <w:r>
        <w:rPr>
          <w:rFonts w:hint="eastAsia"/>
        </w:rPr>
        <w:t>结构尺寸要求</w:t>
      </w:r>
      <w:bookmarkEnd w:id="698"/>
      <w:bookmarkEnd w:id="699"/>
    </w:p>
    <w:p w14:paraId="252B1094">
      <w:pPr>
        <w:pStyle w:val="3"/>
        <w:numPr>
          <w:ilvl w:val="1"/>
          <w:numId w:val="0"/>
        </w:numPr>
        <w:ind w:leftChars="0"/>
      </w:pPr>
      <w:bookmarkStart w:id="700" w:name="_Toc18115"/>
      <w:r>
        <w:rPr>
          <w:rFonts w:hint="eastAsia"/>
          <w:lang w:val="en-US" w:eastAsia="zh-CN"/>
        </w:rPr>
        <w:t xml:space="preserve">A.1 </w:t>
      </w:r>
      <w:r>
        <w:rPr>
          <w:rFonts w:hint="eastAsia"/>
          <w:lang w:eastAsia="zh-CN"/>
        </w:rPr>
        <w:t>电力开源物联版配电物联代理单元</w:t>
      </w:r>
      <w:r>
        <w:t>结构尺寸示意图</w:t>
      </w:r>
      <w:bookmarkEnd w:id="700"/>
    </w:p>
    <w:p w14:paraId="0E76CA4E">
      <w:pPr>
        <w:pStyle w:val="16"/>
        <w:ind w:firstLine="420"/>
        <w:jc w:val="center"/>
      </w:pPr>
      <w:r>
        <w:rPr>
          <w:rFonts w:hint="eastAsia"/>
          <w:lang w:eastAsia="zh-CN"/>
        </w:rPr>
        <w:t>电力开源物联版配电物联代理单元</w:t>
      </w:r>
      <w:r>
        <w:rPr>
          <w:rFonts w:hint="eastAsia"/>
        </w:rPr>
        <w:t>外形尺寸(</w:t>
      </w:r>
      <w:r>
        <w:t>不含卡扣)</w:t>
      </w:r>
      <w:r>
        <w:rPr>
          <w:rFonts w:hint="eastAsia"/>
        </w:rPr>
        <w:t>最大</w:t>
      </w:r>
      <w:r>
        <w:rPr>
          <w:rFonts w:hint="eastAsia"/>
          <w:lang w:val="en-US" w:eastAsia="zh-CN"/>
        </w:rPr>
        <w:t>不超过</w:t>
      </w:r>
      <w:r>
        <w:rPr>
          <w:rFonts w:hint="eastAsia"/>
        </w:rPr>
        <w:t>为</w:t>
      </w:r>
      <w:r>
        <w:t>95</w:t>
      </w:r>
      <w:r>
        <w:rPr>
          <w:rFonts w:hint="eastAsia"/>
        </w:rPr>
        <w:t>×</w:t>
      </w:r>
      <w:r>
        <w:t>70</w:t>
      </w:r>
      <w:r>
        <w:rPr>
          <w:rFonts w:hint="eastAsia"/>
        </w:rPr>
        <w:t>×</w:t>
      </w:r>
      <w:r>
        <w:t>7</w:t>
      </w:r>
      <w:r>
        <w:rPr>
          <w:rFonts w:hint="eastAsia"/>
        </w:rPr>
        <w:t>5mm，</w:t>
      </w:r>
      <w:r>
        <w:drawing>
          <wp:inline distT="0" distB="0" distL="114300" distR="114300">
            <wp:extent cx="4806315" cy="5433060"/>
            <wp:effectExtent l="0" t="0" r="8255" b="7620"/>
            <wp:docPr id="3" name="图片 4" descr="1720719379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1720719379987"/>
                    <pic:cNvPicPr>
                      <a:picLocks noChangeAspect="1"/>
                    </pic:cNvPicPr>
                  </pic:nvPicPr>
                  <pic:blipFill>
                    <a:blip r:embed="rId16"/>
                    <a:srcRect l="2203" r="4529"/>
                    <a:stretch>
                      <a:fillRect/>
                    </a:stretch>
                  </pic:blipFill>
                  <pic:spPr>
                    <a:xfrm>
                      <a:off x="0" y="0"/>
                      <a:ext cx="4806315" cy="5433060"/>
                    </a:xfrm>
                    <a:prstGeom prst="rect">
                      <a:avLst/>
                    </a:prstGeom>
                    <a:noFill/>
                    <a:ln>
                      <a:noFill/>
                    </a:ln>
                  </pic:spPr>
                </pic:pic>
              </a:graphicData>
            </a:graphic>
          </wp:inline>
        </w:drawing>
      </w:r>
    </w:p>
    <w:p w14:paraId="7D398149">
      <w:pPr>
        <w:pStyle w:val="16"/>
        <w:ind w:firstLine="420"/>
        <w:jc w:val="center"/>
      </w:pPr>
      <w:r>
        <w:rPr>
          <w:rFonts w:hint="eastAsia"/>
        </w:rPr>
        <w:t>图A.</w:t>
      </w:r>
      <w:r>
        <w:t>1</w:t>
      </w:r>
      <w:r>
        <w:rPr>
          <w:rFonts w:hint="eastAsia"/>
          <w:lang w:eastAsia="zh-CN"/>
        </w:rPr>
        <w:t>电力开源物联版配电物联代理单元</w:t>
      </w:r>
      <w:r>
        <w:rPr>
          <w:rFonts w:hint="eastAsia"/>
        </w:rPr>
        <w:t>尺寸简图</w:t>
      </w:r>
    </w:p>
    <w:p w14:paraId="0DE1C7E3">
      <w:pPr>
        <w:pStyle w:val="3"/>
        <w:numPr>
          <w:ilvl w:val="1"/>
          <w:numId w:val="0"/>
        </w:numPr>
        <w:ind w:leftChars="0"/>
      </w:pPr>
      <w:bookmarkStart w:id="701" w:name="_Toc5517"/>
      <w:bookmarkStart w:id="702" w:name="_Toc111808724"/>
      <w:r>
        <w:br w:type="page"/>
      </w:r>
      <w:bookmarkStart w:id="703" w:name="_Toc13502"/>
      <w:r>
        <w:rPr>
          <w:rFonts w:hint="eastAsia"/>
          <w:lang w:val="en-US" w:eastAsia="zh-CN"/>
        </w:rPr>
        <w:t>A.2 电力开源物联版配电物联代理单元结构端子定义</w:t>
      </w:r>
      <w:bookmarkEnd w:id="703"/>
    </w:p>
    <w:p w14:paraId="13F94980">
      <w:pPr>
        <w:ind w:firstLine="420"/>
      </w:pPr>
      <w:r>
        <w:rPr>
          <w:rFonts w:hint="eastAsia"/>
          <w:lang w:eastAsia="zh-CN"/>
        </w:rPr>
        <w:t>电力开源物联版配电物联代理单元</w:t>
      </w:r>
      <w:r>
        <w:rPr>
          <w:rFonts w:hint="eastAsia"/>
        </w:rPr>
        <w:t>接线端子定义及布局详见图A</w:t>
      </w:r>
      <w:r>
        <w:t>.2、表</w:t>
      </w:r>
      <w:r>
        <w:rPr>
          <w:rFonts w:hint="eastAsia"/>
        </w:rPr>
        <w:t>A</w:t>
      </w:r>
      <w:r>
        <w:t>.</w:t>
      </w:r>
      <w:r>
        <w:rPr>
          <w:rFonts w:hint="eastAsia"/>
          <w:lang w:val="en-US" w:eastAsia="zh-CN"/>
        </w:rPr>
        <w:t>3</w:t>
      </w:r>
      <w:r>
        <w:t>。</w:t>
      </w:r>
    </w:p>
    <w:p w14:paraId="49EC7CB3">
      <w:pPr>
        <w:pStyle w:val="29"/>
        <w:widowControl/>
        <w:ind w:firstLine="360"/>
        <w:rPr>
          <w:rFonts w:hint="eastAsia" w:ascii="宋体" w:hAnsi="宋体" w:cs="宋体"/>
          <w:kern w:val="0"/>
          <w:sz w:val="18"/>
          <w:szCs w:val="18"/>
          <w:lang w:bidi="ar"/>
        </w:rPr>
      </w:pPr>
    </w:p>
    <w:p w14:paraId="2D13BEBA">
      <w:pPr>
        <w:pStyle w:val="29"/>
        <w:widowControl/>
        <w:ind w:firstLine="360"/>
        <w:jc w:val="center"/>
        <w:rPr>
          <w:rFonts w:hint="eastAsia" w:ascii="宋体" w:hAnsi="宋体" w:cs="宋体"/>
          <w:kern w:val="0"/>
          <w:sz w:val="18"/>
          <w:szCs w:val="18"/>
          <w:lang w:bidi="ar"/>
        </w:rPr>
      </w:pPr>
      <w:r>
        <w:rPr>
          <w:rFonts w:ascii="宋体" w:hAnsi="宋体" w:cs="宋体"/>
          <w:kern w:val="0"/>
          <w:sz w:val="18"/>
          <w:szCs w:val="18"/>
          <w:lang w:bidi="ar"/>
        </w:rPr>
        <w:drawing>
          <wp:inline distT="0" distB="0" distL="114300" distR="114300">
            <wp:extent cx="4163060" cy="3639820"/>
            <wp:effectExtent l="0" t="0" r="3810" b="8890"/>
            <wp:docPr id="4" name="图片 5" descr="172071952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720719527291"/>
                    <pic:cNvPicPr>
                      <a:picLocks noChangeAspect="1"/>
                    </pic:cNvPicPr>
                  </pic:nvPicPr>
                  <pic:blipFill>
                    <a:blip r:embed="rId17"/>
                    <a:srcRect t="2462" r="4182" b="6572"/>
                    <a:stretch>
                      <a:fillRect/>
                    </a:stretch>
                  </pic:blipFill>
                  <pic:spPr>
                    <a:xfrm>
                      <a:off x="0" y="0"/>
                      <a:ext cx="4163060" cy="3639820"/>
                    </a:xfrm>
                    <a:prstGeom prst="rect">
                      <a:avLst/>
                    </a:prstGeom>
                    <a:noFill/>
                    <a:ln>
                      <a:noFill/>
                    </a:ln>
                  </pic:spPr>
                </pic:pic>
              </a:graphicData>
            </a:graphic>
          </wp:inline>
        </w:drawing>
      </w:r>
    </w:p>
    <w:p w14:paraId="156DF253">
      <w:pPr>
        <w:pStyle w:val="16"/>
        <w:ind w:firstLine="420"/>
        <w:jc w:val="center"/>
      </w:pPr>
      <w:r>
        <w:rPr>
          <w:rFonts w:hint="eastAsia"/>
        </w:rPr>
        <w:t>图A.</w:t>
      </w:r>
      <w:r>
        <w:t>2</w:t>
      </w:r>
      <w:r>
        <w:rPr>
          <w:rFonts w:hint="eastAsia"/>
          <w:lang w:eastAsia="zh-CN"/>
        </w:rPr>
        <w:t>电力开源物联版配电物联代理单元</w:t>
      </w:r>
      <w:r>
        <w:rPr>
          <w:rFonts w:hint="eastAsia"/>
        </w:rPr>
        <w:t>端子示意图</w:t>
      </w:r>
    </w:p>
    <w:p w14:paraId="7E1A2E4A">
      <w:pPr>
        <w:ind w:firstLine="420"/>
        <w:jc w:val="center"/>
        <w:rPr>
          <w:rFonts w:hint="eastAsia" w:ascii="Times New Roman" w:hAnsi="Times New Roman" w:eastAsia="宋体" w:cs="Times New Roman"/>
        </w:rPr>
      </w:pPr>
      <w:r>
        <w:rPr>
          <w:rFonts w:hint="eastAsia" w:ascii="Times New Roman" w:hAnsi="Times New Roman" w:eastAsia="宋体" w:cs="Times New Roman"/>
        </w:rPr>
        <w:t>表A.</w:t>
      </w:r>
      <w:r>
        <w:rPr>
          <w:rFonts w:hint="eastAsia" w:ascii="Times New Roman" w:hAnsi="Times New Roman" w:eastAsia="宋体" w:cs="Times New Roman"/>
          <w:lang w:val="en-US" w:eastAsia="zh-CN"/>
        </w:rPr>
        <w:t>3</w:t>
      </w:r>
      <w:r>
        <w:rPr>
          <w:rFonts w:hint="eastAsia" w:ascii="Times New Roman" w:hAnsi="Times New Roman" w:eastAsia="宋体" w:cs="Times New Roman"/>
        </w:rPr>
        <w:t xml:space="preserve"> </w:t>
      </w:r>
      <w:r>
        <w:rPr>
          <w:rFonts w:hint="eastAsia" w:cs="Times New Roman"/>
          <w:lang w:eastAsia="zh-CN"/>
        </w:rPr>
        <w:t>电力开源物联版配电物联代理单元</w:t>
      </w:r>
      <w:r>
        <w:rPr>
          <w:rFonts w:hint="eastAsia" w:ascii="Times New Roman" w:hAnsi="Times New Roman" w:eastAsia="宋体" w:cs="Times New Roman"/>
        </w:rPr>
        <w:t>端子接线定义</w:t>
      </w:r>
    </w:p>
    <w:tbl>
      <w:tblPr>
        <w:tblStyle w:val="33"/>
        <w:tblW w:w="76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5670"/>
      </w:tblGrid>
      <w:tr w14:paraId="423A2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964" w:type="dxa"/>
            <w:tcBorders>
              <w:top w:val="single" w:color="auto" w:sz="8" w:space="0"/>
              <w:left w:val="single" w:color="auto" w:sz="8" w:space="0"/>
              <w:bottom w:val="single" w:color="auto" w:sz="4" w:space="0"/>
              <w:right w:val="single" w:color="auto" w:sz="4" w:space="0"/>
            </w:tcBorders>
            <w:vAlign w:val="center"/>
          </w:tcPr>
          <w:p w14:paraId="4FEF235E">
            <w:pPr>
              <w:topLinePunct/>
              <w:snapToGrid w:val="0"/>
              <w:spacing w:before="60" w:after="60" w:line="240" w:lineRule="auto"/>
              <w:ind w:firstLine="0" w:firstLineChars="0"/>
              <w:jc w:val="center"/>
              <w:rPr>
                <w:rFonts w:hint="eastAsia" w:hAnsi="宋体" w:cs="Arial"/>
                <w:szCs w:val="21"/>
              </w:rPr>
            </w:pPr>
            <w:r>
              <w:rPr>
                <w:rFonts w:hint="eastAsia" w:ascii="宋体" w:hAnsi="宋体" w:cs="Arial"/>
                <w:szCs w:val="21"/>
              </w:rPr>
              <w:t>信号名称</w:t>
            </w:r>
          </w:p>
        </w:tc>
        <w:tc>
          <w:tcPr>
            <w:tcW w:w="5670" w:type="dxa"/>
            <w:tcBorders>
              <w:top w:val="single" w:color="auto" w:sz="8" w:space="0"/>
              <w:left w:val="single" w:color="auto" w:sz="4" w:space="0"/>
              <w:bottom w:val="single" w:color="auto" w:sz="4" w:space="0"/>
              <w:right w:val="single" w:color="auto" w:sz="8" w:space="0"/>
            </w:tcBorders>
            <w:vAlign w:val="center"/>
          </w:tcPr>
          <w:p w14:paraId="012BB80A">
            <w:pPr>
              <w:topLinePunct/>
              <w:snapToGrid w:val="0"/>
              <w:spacing w:before="60" w:after="60" w:line="240" w:lineRule="auto"/>
              <w:ind w:firstLine="0" w:firstLineChars="0"/>
              <w:jc w:val="center"/>
              <w:rPr>
                <w:rFonts w:cs="Arial"/>
                <w:szCs w:val="21"/>
              </w:rPr>
            </w:pPr>
            <w:r>
              <w:rPr>
                <w:rFonts w:hint="eastAsia" w:ascii="宋体" w:hAnsi="宋体" w:cs="Arial"/>
                <w:szCs w:val="21"/>
              </w:rPr>
              <w:t>描述</w:t>
            </w:r>
          </w:p>
        </w:tc>
      </w:tr>
      <w:tr w14:paraId="03F75D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46FE82A">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L</w:t>
            </w:r>
          </w:p>
        </w:tc>
        <w:tc>
          <w:tcPr>
            <w:tcW w:w="5670" w:type="dxa"/>
            <w:tcBorders>
              <w:top w:val="single" w:color="auto" w:sz="4" w:space="0"/>
              <w:left w:val="single" w:color="auto" w:sz="4" w:space="0"/>
              <w:bottom w:val="single" w:color="auto" w:sz="4" w:space="0"/>
              <w:right w:val="single" w:color="auto" w:sz="8" w:space="0"/>
            </w:tcBorders>
            <w:vAlign w:val="center"/>
          </w:tcPr>
          <w:p w14:paraId="114C5052">
            <w:pPr>
              <w:topLinePunct/>
              <w:snapToGrid w:val="0"/>
              <w:spacing w:before="60" w:after="60" w:line="240" w:lineRule="auto"/>
              <w:ind w:firstLine="0" w:firstLineChars="0"/>
              <w:jc w:val="center"/>
              <w:rPr>
                <w:rFonts w:cs="Arial"/>
                <w:szCs w:val="21"/>
              </w:rPr>
            </w:pPr>
            <w:r>
              <w:rPr>
                <w:rFonts w:hint="eastAsia" w:ascii="宋体" w:hAnsi="宋体" w:cs="Arial"/>
                <w:szCs w:val="21"/>
              </w:rPr>
              <w:t>交流电源</w:t>
            </w:r>
          </w:p>
        </w:tc>
      </w:tr>
      <w:tr w14:paraId="0A10C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08738985">
            <w:pPr>
              <w:topLinePunct/>
              <w:snapToGrid w:val="0"/>
              <w:spacing w:before="60" w:after="60" w:line="240" w:lineRule="auto"/>
              <w:ind w:firstLine="0" w:firstLineChars="0"/>
              <w:jc w:val="center"/>
              <w:rPr>
                <w:rFonts w:hint="eastAsia" w:hAnsi="宋体" w:cs="Arial"/>
                <w:szCs w:val="21"/>
              </w:rPr>
            </w:pPr>
            <w:r>
              <w:rPr>
                <w:rFonts w:hAnsi="宋体" w:cs="Arial"/>
                <w:szCs w:val="21"/>
              </w:rPr>
              <w:t>N</w:t>
            </w:r>
          </w:p>
        </w:tc>
        <w:tc>
          <w:tcPr>
            <w:tcW w:w="5670" w:type="dxa"/>
            <w:tcBorders>
              <w:top w:val="single" w:color="auto" w:sz="4" w:space="0"/>
              <w:left w:val="single" w:color="auto" w:sz="4" w:space="0"/>
              <w:bottom w:val="single" w:color="auto" w:sz="4" w:space="0"/>
              <w:right w:val="single" w:color="auto" w:sz="8" w:space="0"/>
            </w:tcBorders>
            <w:vAlign w:val="center"/>
          </w:tcPr>
          <w:p w14:paraId="1B655070">
            <w:pPr>
              <w:topLinePunct/>
              <w:snapToGrid w:val="0"/>
              <w:spacing w:before="60" w:after="60" w:line="240" w:lineRule="auto"/>
              <w:ind w:firstLine="0" w:firstLineChars="0"/>
              <w:jc w:val="center"/>
              <w:rPr>
                <w:rFonts w:cs="Arial"/>
                <w:szCs w:val="21"/>
              </w:rPr>
            </w:pPr>
            <w:r>
              <w:rPr>
                <w:rFonts w:hint="eastAsia" w:ascii="宋体" w:hAnsi="宋体" w:cs="Arial"/>
                <w:szCs w:val="21"/>
              </w:rPr>
              <w:t>中性线</w:t>
            </w:r>
          </w:p>
        </w:tc>
      </w:tr>
      <w:tr w14:paraId="4F238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325E3256">
            <w:pPr>
              <w:topLinePunct/>
              <w:snapToGrid w:val="0"/>
              <w:spacing w:before="60" w:after="60" w:line="240" w:lineRule="auto"/>
              <w:ind w:firstLine="0" w:firstLineChars="0"/>
              <w:jc w:val="center"/>
              <w:rPr>
                <w:rFonts w:cs="Arial"/>
                <w:szCs w:val="21"/>
              </w:rPr>
            </w:pPr>
            <w:r>
              <w:rPr>
                <w:szCs w:val="21"/>
              </w:rPr>
              <w:t>RS</w:t>
            </w:r>
            <w:r>
              <w:rPr>
                <w:rFonts w:hint="eastAsia"/>
                <w:szCs w:val="21"/>
              </w:rPr>
              <w:t>485</w:t>
            </w:r>
            <w:r>
              <w:rPr>
                <w:rFonts w:hAnsi="宋体" w:cs="Arial"/>
                <w:szCs w:val="21"/>
              </w:rPr>
              <w:t>-A1</w:t>
            </w:r>
          </w:p>
        </w:tc>
        <w:tc>
          <w:tcPr>
            <w:tcW w:w="5670" w:type="dxa"/>
            <w:tcBorders>
              <w:top w:val="single" w:color="auto" w:sz="4" w:space="0"/>
              <w:left w:val="single" w:color="auto" w:sz="4" w:space="0"/>
              <w:bottom w:val="single" w:color="auto" w:sz="4" w:space="0"/>
              <w:right w:val="single" w:color="auto" w:sz="8" w:space="0"/>
            </w:tcBorders>
            <w:vAlign w:val="center"/>
          </w:tcPr>
          <w:p w14:paraId="5101E1F9">
            <w:pPr>
              <w:topLinePunct/>
              <w:snapToGrid w:val="0"/>
              <w:spacing w:before="60" w:after="60" w:line="240" w:lineRule="auto"/>
              <w:ind w:firstLine="0" w:firstLineChars="0"/>
              <w:jc w:val="center"/>
              <w:rPr>
                <w:rFonts w:cs="Arial"/>
                <w:szCs w:val="21"/>
              </w:rPr>
            </w:pPr>
            <w:r>
              <w:rPr>
                <w:rFonts w:hint="eastAsia"/>
                <w:szCs w:val="21"/>
              </w:rPr>
              <w:t>R</w:t>
            </w:r>
            <w:r>
              <w:rPr>
                <w:rFonts w:cs="Arial"/>
                <w:szCs w:val="21"/>
              </w:rPr>
              <w:t>S485-A</w:t>
            </w:r>
            <w:r>
              <w:rPr>
                <w:rFonts w:hint="eastAsia" w:ascii="宋体" w:hAnsi="宋体" w:cs="Arial"/>
                <w:szCs w:val="21"/>
              </w:rPr>
              <w:t>端子</w:t>
            </w:r>
          </w:p>
        </w:tc>
      </w:tr>
      <w:tr w14:paraId="05F7F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62F607E">
            <w:pPr>
              <w:topLinePunct/>
              <w:snapToGrid w:val="0"/>
              <w:spacing w:before="60" w:after="60" w:line="240" w:lineRule="auto"/>
              <w:ind w:firstLine="0" w:firstLineChars="0"/>
              <w:jc w:val="center"/>
              <w:rPr>
                <w:rFonts w:cs="Arial"/>
                <w:szCs w:val="21"/>
              </w:rPr>
            </w:pPr>
            <w:r>
              <w:rPr>
                <w:szCs w:val="21"/>
              </w:rPr>
              <w:t>RS</w:t>
            </w:r>
            <w:r>
              <w:rPr>
                <w:rFonts w:hint="eastAsia"/>
                <w:szCs w:val="21"/>
              </w:rPr>
              <w:t>485</w:t>
            </w:r>
            <w:r>
              <w:rPr>
                <w:rFonts w:hAnsi="宋体" w:cs="Arial"/>
                <w:szCs w:val="21"/>
              </w:rPr>
              <w:t>-B1</w:t>
            </w:r>
          </w:p>
        </w:tc>
        <w:tc>
          <w:tcPr>
            <w:tcW w:w="5670" w:type="dxa"/>
            <w:tcBorders>
              <w:top w:val="single" w:color="auto" w:sz="4" w:space="0"/>
              <w:left w:val="single" w:color="auto" w:sz="4" w:space="0"/>
              <w:bottom w:val="single" w:color="auto" w:sz="4" w:space="0"/>
              <w:right w:val="single" w:color="auto" w:sz="8" w:space="0"/>
            </w:tcBorders>
            <w:vAlign w:val="center"/>
          </w:tcPr>
          <w:p w14:paraId="252AB039">
            <w:pPr>
              <w:topLinePunct/>
              <w:snapToGrid w:val="0"/>
              <w:spacing w:before="60" w:after="60" w:line="240" w:lineRule="auto"/>
              <w:ind w:firstLine="0" w:firstLineChars="0"/>
              <w:jc w:val="center"/>
              <w:rPr>
                <w:rFonts w:cs="Arial"/>
                <w:szCs w:val="21"/>
              </w:rPr>
            </w:pPr>
            <w:r>
              <w:rPr>
                <w:rFonts w:hint="eastAsia"/>
                <w:szCs w:val="21"/>
              </w:rPr>
              <w:t>R</w:t>
            </w:r>
            <w:r>
              <w:rPr>
                <w:rFonts w:cs="Arial"/>
                <w:szCs w:val="21"/>
              </w:rPr>
              <w:t>S485-B</w:t>
            </w:r>
            <w:r>
              <w:rPr>
                <w:rFonts w:hint="eastAsia" w:ascii="宋体" w:hAnsi="宋体" w:cs="Arial"/>
                <w:szCs w:val="21"/>
              </w:rPr>
              <w:t>端子</w:t>
            </w:r>
          </w:p>
        </w:tc>
      </w:tr>
      <w:tr w14:paraId="5F98C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10FAF48D">
            <w:pPr>
              <w:topLinePunct/>
              <w:snapToGrid w:val="0"/>
              <w:spacing w:before="60" w:after="60" w:line="240" w:lineRule="auto"/>
              <w:ind w:firstLine="0" w:firstLineChars="0"/>
              <w:jc w:val="center"/>
              <w:rPr>
                <w:rFonts w:cs="Arial"/>
                <w:szCs w:val="21"/>
              </w:rPr>
            </w:pPr>
            <w:r>
              <w:rPr>
                <w:szCs w:val="21"/>
              </w:rPr>
              <w:t>RS</w:t>
            </w:r>
            <w:r>
              <w:rPr>
                <w:rFonts w:hint="eastAsia"/>
                <w:szCs w:val="21"/>
              </w:rPr>
              <w:t>485</w:t>
            </w:r>
            <w:r>
              <w:rPr>
                <w:rFonts w:hAnsi="宋体" w:cs="Arial"/>
                <w:szCs w:val="21"/>
              </w:rPr>
              <w:t>-A2</w:t>
            </w:r>
          </w:p>
        </w:tc>
        <w:tc>
          <w:tcPr>
            <w:tcW w:w="5670" w:type="dxa"/>
            <w:tcBorders>
              <w:top w:val="single" w:color="auto" w:sz="4" w:space="0"/>
              <w:left w:val="single" w:color="auto" w:sz="4" w:space="0"/>
              <w:bottom w:val="single" w:color="auto" w:sz="4" w:space="0"/>
              <w:right w:val="single" w:color="auto" w:sz="8" w:space="0"/>
            </w:tcBorders>
            <w:vAlign w:val="center"/>
          </w:tcPr>
          <w:p w14:paraId="53014EF5">
            <w:pPr>
              <w:topLinePunct/>
              <w:snapToGrid w:val="0"/>
              <w:spacing w:before="60" w:after="60" w:line="240" w:lineRule="auto"/>
              <w:ind w:firstLine="0" w:firstLineChars="0"/>
              <w:jc w:val="center"/>
              <w:rPr>
                <w:rFonts w:cs="Arial"/>
                <w:szCs w:val="21"/>
              </w:rPr>
            </w:pPr>
            <w:r>
              <w:rPr>
                <w:rFonts w:hint="eastAsia"/>
                <w:szCs w:val="21"/>
              </w:rPr>
              <w:t>R</w:t>
            </w:r>
            <w:r>
              <w:rPr>
                <w:rFonts w:cs="Arial"/>
                <w:szCs w:val="21"/>
              </w:rPr>
              <w:t>S485-A</w:t>
            </w:r>
            <w:r>
              <w:rPr>
                <w:rFonts w:hint="eastAsia" w:ascii="宋体" w:hAnsi="宋体" w:cs="Arial"/>
                <w:szCs w:val="21"/>
              </w:rPr>
              <w:t>端子</w:t>
            </w:r>
          </w:p>
        </w:tc>
      </w:tr>
      <w:tr w14:paraId="7C9FE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BE8CCD5">
            <w:pPr>
              <w:topLinePunct/>
              <w:snapToGrid w:val="0"/>
              <w:spacing w:before="60" w:after="60" w:line="240" w:lineRule="auto"/>
              <w:ind w:firstLine="0" w:firstLineChars="0"/>
              <w:jc w:val="center"/>
              <w:rPr>
                <w:rFonts w:cs="Arial"/>
                <w:szCs w:val="21"/>
              </w:rPr>
            </w:pPr>
            <w:r>
              <w:rPr>
                <w:szCs w:val="21"/>
              </w:rPr>
              <w:t>RS</w:t>
            </w:r>
            <w:r>
              <w:rPr>
                <w:rFonts w:hint="eastAsia"/>
                <w:szCs w:val="21"/>
              </w:rPr>
              <w:t>485</w:t>
            </w:r>
            <w:r>
              <w:rPr>
                <w:rFonts w:hAnsi="宋体" w:cs="Arial"/>
                <w:szCs w:val="21"/>
              </w:rPr>
              <w:t>-B2</w:t>
            </w:r>
          </w:p>
        </w:tc>
        <w:tc>
          <w:tcPr>
            <w:tcW w:w="5670" w:type="dxa"/>
            <w:tcBorders>
              <w:top w:val="single" w:color="auto" w:sz="4" w:space="0"/>
              <w:left w:val="single" w:color="auto" w:sz="4" w:space="0"/>
              <w:bottom w:val="single" w:color="auto" w:sz="4" w:space="0"/>
              <w:right w:val="single" w:color="auto" w:sz="8" w:space="0"/>
            </w:tcBorders>
            <w:vAlign w:val="center"/>
          </w:tcPr>
          <w:p w14:paraId="781D845C">
            <w:pPr>
              <w:topLinePunct/>
              <w:snapToGrid w:val="0"/>
              <w:spacing w:before="60" w:after="60" w:line="240" w:lineRule="auto"/>
              <w:ind w:firstLine="0" w:firstLineChars="0"/>
              <w:jc w:val="center"/>
              <w:rPr>
                <w:rFonts w:cs="Arial"/>
                <w:szCs w:val="21"/>
              </w:rPr>
            </w:pPr>
            <w:r>
              <w:rPr>
                <w:rFonts w:hint="eastAsia"/>
                <w:szCs w:val="21"/>
              </w:rPr>
              <w:t>R</w:t>
            </w:r>
            <w:r>
              <w:rPr>
                <w:rFonts w:cs="Arial"/>
                <w:szCs w:val="21"/>
              </w:rPr>
              <w:t>S485-B</w:t>
            </w:r>
            <w:r>
              <w:rPr>
                <w:rFonts w:hint="eastAsia" w:ascii="宋体" w:hAnsi="宋体" w:cs="Arial"/>
                <w:szCs w:val="21"/>
              </w:rPr>
              <w:t>端子</w:t>
            </w:r>
          </w:p>
        </w:tc>
      </w:tr>
      <w:tr w14:paraId="2F3B0D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08472AFC">
            <w:pPr>
              <w:topLinePunct/>
              <w:snapToGrid w:val="0"/>
              <w:spacing w:before="60" w:after="60" w:line="240" w:lineRule="auto"/>
              <w:ind w:firstLine="0" w:firstLineChars="0"/>
              <w:jc w:val="center"/>
              <w:rPr>
                <w:szCs w:val="21"/>
              </w:rPr>
            </w:pPr>
            <w:r>
              <w:rPr>
                <w:rFonts w:hint="eastAsia"/>
                <w:szCs w:val="21"/>
              </w:rPr>
              <w:t>C</w:t>
            </w:r>
            <w:r>
              <w:rPr>
                <w:szCs w:val="21"/>
              </w:rPr>
              <w:t>AN-H1</w:t>
            </w:r>
          </w:p>
        </w:tc>
        <w:tc>
          <w:tcPr>
            <w:tcW w:w="5670" w:type="dxa"/>
            <w:tcBorders>
              <w:top w:val="single" w:color="auto" w:sz="4" w:space="0"/>
              <w:left w:val="single" w:color="auto" w:sz="4" w:space="0"/>
              <w:bottom w:val="single" w:color="auto" w:sz="4" w:space="0"/>
              <w:right w:val="single" w:color="auto" w:sz="8" w:space="0"/>
            </w:tcBorders>
            <w:vAlign w:val="center"/>
          </w:tcPr>
          <w:p w14:paraId="7E511757">
            <w:pPr>
              <w:topLinePunct/>
              <w:snapToGrid w:val="0"/>
              <w:spacing w:before="60" w:after="60" w:line="240" w:lineRule="auto"/>
              <w:ind w:firstLine="0" w:firstLineChars="0"/>
              <w:jc w:val="center"/>
              <w:rPr>
                <w:szCs w:val="21"/>
              </w:rPr>
            </w:pPr>
            <w:r>
              <w:rPr>
                <w:rFonts w:hint="eastAsia"/>
                <w:szCs w:val="21"/>
              </w:rPr>
              <w:t>C</w:t>
            </w:r>
            <w:r>
              <w:rPr>
                <w:szCs w:val="21"/>
              </w:rPr>
              <w:t>AN-H端子</w:t>
            </w:r>
          </w:p>
        </w:tc>
      </w:tr>
      <w:tr w14:paraId="4D112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663935F">
            <w:pPr>
              <w:topLinePunct/>
              <w:snapToGrid w:val="0"/>
              <w:spacing w:before="60" w:after="60" w:line="240" w:lineRule="auto"/>
              <w:ind w:firstLine="0" w:firstLineChars="0"/>
              <w:jc w:val="center"/>
              <w:rPr>
                <w:szCs w:val="21"/>
              </w:rPr>
            </w:pPr>
            <w:r>
              <w:rPr>
                <w:rFonts w:hint="eastAsia"/>
                <w:szCs w:val="21"/>
              </w:rPr>
              <w:t>C</w:t>
            </w:r>
            <w:r>
              <w:rPr>
                <w:szCs w:val="21"/>
              </w:rPr>
              <w:t>AN-L1</w:t>
            </w:r>
          </w:p>
        </w:tc>
        <w:tc>
          <w:tcPr>
            <w:tcW w:w="5670" w:type="dxa"/>
            <w:tcBorders>
              <w:top w:val="single" w:color="auto" w:sz="4" w:space="0"/>
              <w:left w:val="single" w:color="auto" w:sz="4" w:space="0"/>
              <w:bottom w:val="single" w:color="auto" w:sz="4" w:space="0"/>
              <w:right w:val="single" w:color="auto" w:sz="8" w:space="0"/>
            </w:tcBorders>
            <w:vAlign w:val="center"/>
          </w:tcPr>
          <w:p w14:paraId="3B1A2CC9">
            <w:pPr>
              <w:topLinePunct/>
              <w:snapToGrid w:val="0"/>
              <w:spacing w:before="60" w:after="60" w:line="240" w:lineRule="auto"/>
              <w:ind w:firstLine="0" w:firstLineChars="0"/>
              <w:jc w:val="center"/>
              <w:rPr>
                <w:szCs w:val="21"/>
              </w:rPr>
            </w:pPr>
            <w:r>
              <w:rPr>
                <w:rFonts w:hint="eastAsia"/>
                <w:szCs w:val="21"/>
              </w:rPr>
              <w:t>C</w:t>
            </w:r>
            <w:r>
              <w:rPr>
                <w:szCs w:val="21"/>
              </w:rPr>
              <w:t>AN-L端子</w:t>
            </w:r>
          </w:p>
        </w:tc>
      </w:tr>
      <w:tr w14:paraId="2BFC8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67174EEB">
            <w:pPr>
              <w:topLinePunct/>
              <w:snapToGrid w:val="0"/>
              <w:spacing w:before="60" w:after="60" w:line="240" w:lineRule="auto"/>
              <w:ind w:firstLine="0" w:firstLineChars="0"/>
              <w:jc w:val="center"/>
              <w:rPr>
                <w:szCs w:val="21"/>
              </w:rPr>
            </w:pPr>
            <w:r>
              <w:rPr>
                <w:rFonts w:hint="eastAsia"/>
                <w:szCs w:val="21"/>
              </w:rPr>
              <w:t>C</w:t>
            </w:r>
            <w:r>
              <w:rPr>
                <w:szCs w:val="21"/>
              </w:rPr>
              <w:t>AN-H2</w:t>
            </w:r>
          </w:p>
        </w:tc>
        <w:tc>
          <w:tcPr>
            <w:tcW w:w="5670" w:type="dxa"/>
            <w:tcBorders>
              <w:top w:val="single" w:color="auto" w:sz="4" w:space="0"/>
              <w:left w:val="single" w:color="auto" w:sz="4" w:space="0"/>
              <w:bottom w:val="single" w:color="auto" w:sz="4" w:space="0"/>
              <w:right w:val="single" w:color="auto" w:sz="8" w:space="0"/>
            </w:tcBorders>
            <w:vAlign w:val="center"/>
          </w:tcPr>
          <w:p w14:paraId="7589641E">
            <w:pPr>
              <w:topLinePunct/>
              <w:snapToGrid w:val="0"/>
              <w:spacing w:before="60" w:after="60" w:line="240" w:lineRule="auto"/>
              <w:ind w:firstLine="0" w:firstLineChars="0"/>
              <w:jc w:val="center"/>
              <w:rPr>
                <w:szCs w:val="21"/>
              </w:rPr>
            </w:pPr>
            <w:r>
              <w:rPr>
                <w:rFonts w:hint="eastAsia"/>
                <w:szCs w:val="21"/>
              </w:rPr>
              <w:t>C</w:t>
            </w:r>
            <w:r>
              <w:rPr>
                <w:szCs w:val="21"/>
              </w:rPr>
              <w:t>AN-H端子</w:t>
            </w:r>
          </w:p>
        </w:tc>
      </w:tr>
      <w:tr w14:paraId="741B1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21E9AE33">
            <w:pPr>
              <w:topLinePunct/>
              <w:snapToGrid w:val="0"/>
              <w:spacing w:before="60" w:after="60" w:line="240" w:lineRule="auto"/>
              <w:ind w:firstLine="0" w:firstLineChars="0"/>
              <w:jc w:val="center"/>
              <w:rPr>
                <w:szCs w:val="21"/>
              </w:rPr>
            </w:pPr>
            <w:r>
              <w:rPr>
                <w:rFonts w:hint="eastAsia"/>
                <w:szCs w:val="21"/>
              </w:rPr>
              <w:t>C</w:t>
            </w:r>
            <w:r>
              <w:rPr>
                <w:szCs w:val="21"/>
              </w:rPr>
              <w:t>AN-L2</w:t>
            </w:r>
          </w:p>
        </w:tc>
        <w:tc>
          <w:tcPr>
            <w:tcW w:w="5670" w:type="dxa"/>
            <w:tcBorders>
              <w:top w:val="single" w:color="auto" w:sz="4" w:space="0"/>
              <w:left w:val="single" w:color="auto" w:sz="4" w:space="0"/>
              <w:bottom w:val="single" w:color="auto" w:sz="4" w:space="0"/>
              <w:right w:val="single" w:color="auto" w:sz="8" w:space="0"/>
            </w:tcBorders>
            <w:vAlign w:val="center"/>
          </w:tcPr>
          <w:p w14:paraId="00AB4CD7">
            <w:pPr>
              <w:topLinePunct/>
              <w:snapToGrid w:val="0"/>
              <w:spacing w:before="60" w:after="60" w:line="240" w:lineRule="auto"/>
              <w:ind w:firstLine="0" w:firstLineChars="0"/>
              <w:jc w:val="center"/>
              <w:rPr>
                <w:szCs w:val="21"/>
              </w:rPr>
            </w:pPr>
            <w:r>
              <w:rPr>
                <w:rFonts w:hint="eastAsia"/>
                <w:szCs w:val="21"/>
              </w:rPr>
              <w:t>C</w:t>
            </w:r>
            <w:r>
              <w:rPr>
                <w:szCs w:val="21"/>
              </w:rPr>
              <w:t>AN-L端子</w:t>
            </w:r>
          </w:p>
        </w:tc>
      </w:tr>
      <w:tr w14:paraId="7522E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1F111381">
            <w:pPr>
              <w:topLinePunct/>
              <w:snapToGrid w:val="0"/>
              <w:spacing w:before="60" w:after="60" w:line="240" w:lineRule="auto"/>
              <w:ind w:firstLine="0" w:firstLineChars="0"/>
              <w:jc w:val="center"/>
              <w:rPr>
                <w:szCs w:val="21"/>
              </w:rPr>
            </w:pPr>
            <w:r>
              <w:rPr>
                <w:szCs w:val="21"/>
              </w:rPr>
              <w:t>YX1</w:t>
            </w:r>
          </w:p>
        </w:tc>
        <w:tc>
          <w:tcPr>
            <w:tcW w:w="5670" w:type="dxa"/>
            <w:tcBorders>
              <w:top w:val="single" w:color="auto" w:sz="4" w:space="0"/>
              <w:left w:val="single" w:color="auto" w:sz="4" w:space="0"/>
              <w:bottom w:val="single" w:color="auto" w:sz="4" w:space="0"/>
              <w:right w:val="single" w:color="auto" w:sz="8" w:space="0"/>
            </w:tcBorders>
            <w:vAlign w:val="center"/>
          </w:tcPr>
          <w:p w14:paraId="1F91CFD7">
            <w:pPr>
              <w:topLinePunct/>
              <w:snapToGrid w:val="0"/>
              <w:spacing w:before="60" w:after="60" w:line="240" w:lineRule="auto"/>
              <w:ind w:firstLine="0" w:firstLineChars="0"/>
              <w:jc w:val="center"/>
              <w:rPr>
                <w:rFonts w:cs="Arial"/>
                <w:szCs w:val="21"/>
              </w:rPr>
            </w:pPr>
            <w:r>
              <w:rPr>
                <w:rFonts w:hint="eastAsia" w:ascii="宋体" w:hAnsi="宋体" w:cs="Arial"/>
                <w:szCs w:val="21"/>
              </w:rPr>
              <w:t>第一路遥信</w:t>
            </w:r>
          </w:p>
        </w:tc>
      </w:tr>
      <w:tr w14:paraId="18684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10078B65">
            <w:pPr>
              <w:topLinePunct/>
              <w:snapToGrid w:val="0"/>
              <w:spacing w:before="60" w:after="60" w:line="240" w:lineRule="auto"/>
              <w:ind w:firstLine="0" w:firstLineChars="0"/>
              <w:jc w:val="center"/>
              <w:rPr>
                <w:szCs w:val="21"/>
              </w:rPr>
            </w:pPr>
            <w:r>
              <w:rPr>
                <w:szCs w:val="21"/>
              </w:rPr>
              <w:t>YX2</w:t>
            </w:r>
          </w:p>
        </w:tc>
        <w:tc>
          <w:tcPr>
            <w:tcW w:w="5670" w:type="dxa"/>
            <w:tcBorders>
              <w:top w:val="single" w:color="auto" w:sz="4" w:space="0"/>
              <w:left w:val="single" w:color="auto" w:sz="4" w:space="0"/>
              <w:bottom w:val="single" w:color="auto" w:sz="4" w:space="0"/>
              <w:right w:val="single" w:color="auto" w:sz="8" w:space="0"/>
            </w:tcBorders>
            <w:vAlign w:val="center"/>
          </w:tcPr>
          <w:p w14:paraId="721B25C3">
            <w:pPr>
              <w:topLinePunct/>
              <w:snapToGrid w:val="0"/>
              <w:spacing w:before="60" w:after="60" w:line="240" w:lineRule="auto"/>
              <w:ind w:firstLine="0" w:firstLineChars="0"/>
              <w:jc w:val="center"/>
              <w:rPr>
                <w:rFonts w:cs="Arial"/>
                <w:szCs w:val="21"/>
              </w:rPr>
            </w:pPr>
            <w:r>
              <w:rPr>
                <w:rFonts w:hint="eastAsia" w:ascii="宋体" w:hAnsi="宋体" w:cs="Arial"/>
                <w:szCs w:val="21"/>
              </w:rPr>
              <w:t>第二路遥信</w:t>
            </w:r>
          </w:p>
        </w:tc>
      </w:tr>
      <w:tr w14:paraId="7CC3A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1F3D7BB2">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C</w:t>
            </w:r>
            <w:r>
              <w:rPr>
                <w:rFonts w:hAnsi="宋体" w:cs="Arial"/>
                <w:szCs w:val="21"/>
              </w:rPr>
              <w:t>OM</w:t>
            </w:r>
          </w:p>
        </w:tc>
        <w:tc>
          <w:tcPr>
            <w:tcW w:w="5670" w:type="dxa"/>
            <w:tcBorders>
              <w:top w:val="single" w:color="auto" w:sz="4" w:space="0"/>
              <w:left w:val="single" w:color="auto" w:sz="4" w:space="0"/>
              <w:bottom w:val="single" w:color="auto" w:sz="4" w:space="0"/>
              <w:right w:val="single" w:color="auto" w:sz="8" w:space="0"/>
            </w:tcBorders>
            <w:vAlign w:val="center"/>
          </w:tcPr>
          <w:p w14:paraId="4B435D57">
            <w:pPr>
              <w:topLinePunct/>
              <w:snapToGrid w:val="0"/>
              <w:spacing w:before="60" w:after="60" w:line="240" w:lineRule="auto"/>
              <w:ind w:firstLine="0" w:firstLineChars="0"/>
              <w:jc w:val="center"/>
              <w:rPr>
                <w:rFonts w:hint="eastAsia" w:cs="Arial"/>
                <w:szCs w:val="21"/>
              </w:rPr>
            </w:pPr>
            <w:r>
              <w:rPr>
                <w:rFonts w:hint="eastAsia" w:ascii="宋体" w:hAnsi="宋体" w:cs="Arial"/>
                <w:szCs w:val="21"/>
              </w:rPr>
              <w:t>遥信公共端+12V</w:t>
            </w:r>
          </w:p>
        </w:tc>
      </w:tr>
      <w:tr w14:paraId="64761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DE96E28">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拓展接口</w:t>
            </w:r>
          </w:p>
        </w:tc>
        <w:tc>
          <w:tcPr>
            <w:tcW w:w="5670" w:type="dxa"/>
            <w:tcBorders>
              <w:top w:val="single" w:color="auto" w:sz="4" w:space="0"/>
              <w:left w:val="single" w:color="auto" w:sz="4" w:space="0"/>
              <w:bottom w:val="single" w:color="auto" w:sz="4" w:space="0"/>
              <w:right w:val="single" w:color="auto" w:sz="8" w:space="0"/>
            </w:tcBorders>
            <w:vAlign w:val="center"/>
          </w:tcPr>
          <w:p w14:paraId="7933296B">
            <w:pPr>
              <w:topLinePunct/>
              <w:snapToGrid w:val="0"/>
              <w:spacing w:before="60" w:after="60" w:line="240" w:lineRule="auto"/>
              <w:ind w:firstLine="0" w:firstLineChars="0"/>
              <w:jc w:val="center"/>
              <w:rPr>
                <w:rFonts w:hint="eastAsia" w:ascii="宋体" w:hAnsi="宋体" w:cs="Arial"/>
                <w:szCs w:val="21"/>
              </w:rPr>
            </w:pPr>
            <w:r>
              <w:rPr>
                <w:rFonts w:hint="eastAsia" w:ascii="宋体" w:hAnsi="宋体" w:cs="Arial"/>
                <w:szCs w:val="21"/>
              </w:rPr>
              <w:t>连接逆变器接口端子定义详见</w:t>
            </w:r>
            <w:r>
              <w:rPr>
                <w:rFonts w:ascii="宋体" w:hAnsi="宋体" w:cs="Arial"/>
                <w:szCs w:val="21"/>
              </w:rPr>
              <w:t>A.3</w:t>
            </w:r>
          </w:p>
        </w:tc>
      </w:tr>
      <w:tr w14:paraId="27E0B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608E1DBF">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通信口</w:t>
            </w:r>
          </w:p>
        </w:tc>
        <w:tc>
          <w:tcPr>
            <w:tcW w:w="5670" w:type="dxa"/>
            <w:tcBorders>
              <w:top w:val="single" w:color="auto" w:sz="4" w:space="0"/>
              <w:left w:val="single" w:color="auto" w:sz="4" w:space="0"/>
              <w:bottom w:val="single" w:color="auto" w:sz="4" w:space="0"/>
              <w:right w:val="single" w:color="auto" w:sz="8" w:space="0"/>
            </w:tcBorders>
            <w:vAlign w:val="center"/>
          </w:tcPr>
          <w:p w14:paraId="6054D14D">
            <w:pPr>
              <w:topLinePunct/>
              <w:snapToGrid w:val="0"/>
              <w:spacing w:before="60" w:after="60" w:line="240" w:lineRule="auto"/>
              <w:ind w:firstLine="0" w:firstLineChars="0"/>
              <w:jc w:val="center"/>
              <w:rPr>
                <w:rFonts w:hint="eastAsia" w:ascii="宋体" w:hAnsi="宋体" w:cs="Arial"/>
                <w:szCs w:val="21"/>
              </w:rPr>
            </w:pPr>
            <w:r>
              <w:rPr>
                <w:rFonts w:hint="eastAsia" w:ascii="宋体" w:hAnsi="宋体" w:cs="Arial"/>
                <w:szCs w:val="21"/>
              </w:rPr>
              <w:t>连接光伏开关接口端子定义详见A</w:t>
            </w:r>
            <w:r>
              <w:rPr>
                <w:rFonts w:ascii="宋体" w:hAnsi="宋体" w:cs="Arial"/>
                <w:szCs w:val="21"/>
              </w:rPr>
              <w:t>.4</w:t>
            </w:r>
          </w:p>
        </w:tc>
      </w:tr>
      <w:tr w14:paraId="294EFC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0F72C602">
            <w:pPr>
              <w:topLinePunct/>
              <w:snapToGrid w:val="0"/>
              <w:spacing w:before="60" w:after="60" w:line="240" w:lineRule="auto"/>
              <w:ind w:firstLine="0" w:firstLineChars="0"/>
              <w:jc w:val="center"/>
              <w:rPr>
                <w:rFonts w:hint="eastAsia" w:hAnsi="宋体" w:cs="Arial"/>
                <w:szCs w:val="21"/>
              </w:rPr>
            </w:pPr>
            <w:r>
              <w:rPr>
                <w:rFonts w:hAnsi="宋体" w:cs="Arial"/>
                <w:szCs w:val="21"/>
              </w:rPr>
              <w:t>C</w:t>
            </w:r>
          </w:p>
        </w:tc>
        <w:tc>
          <w:tcPr>
            <w:tcW w:w="5670" w:type="dxa"/>
            <w:tcBorders>
              <w:top w:val="single" w:color="auto" w:sz="4" w:space="0"/>
              <w:left w:val="single" w:color="auto" w:sz="4" w:space="0"/>
              <w:bottom w:val="single" w:color="auto" w:sz="4" w:space="0"/>
              <w:right w:val="single" w:color="auto" w:sz="8" w:space="0"/>
            </w:tcBorders>
            <w:vAlign w:val="center"/>
          </w:tcPr>
          <w:p w14:paraId="45E59AEE">
            <w:pPr>
              <w:topLinePunct/>
              <w:snapToGrid w:val="0"/>
              <w:spacing w:before="60" w:after="60" w:line="240" w:lineRule="auto"/>
              <w:ind w:firstLine="0" w:firstLineChars="0"/>
              <w:jc w:val="center"/>
              <w:rPr>
                <w:rFonts w:cs="Arial"/>
                <w:szCs w:val="21"/>
              </w:rPr>
            </w:pPr>
            <w:r>
              <w:rPr>
                <w:rFonts w:hint="eastAsia" w:cs="Arial"/>
                <w:szCs w:val="21"/>
              </w:rPr>
              <w:t>开出+</w:t>
            </w:r>
          </w:p>
        </w:tc>
      </w:tr>
      <w:tr w14:paraId="7CA74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5D8CBE1D">
            <w:pPr>
              <w:topLinePunct/>
              <w:snapToGrid w:val="0"/>
              <w:spacing w:before="60" w:after="60" w:line="240" w:lineRule="auto"/>
              <w:ind w:firstLine="0" w:firstLineChars="0"/>
              <w:jc w:val="center"/>
              <w:rPr>
                <w:rFonts w:hint="eastAsia" w:hAnsi="宋体" w:cs="Arial"/>
                <w:szCs w:val="21"/>
              </w:rPr>
            </w:pPr>
            <w:r>
              <w:rPr>
                <w:rFonts w:hint="eastAsia" w:ascii="宋体" w:hAnsi="宋体" w:cs="Arial"/>
                <w:szCs w:val="21"/>
              </w:rPr>
              <w:t>R</w:t>
            </w:r>
          </w:p>
        </w:tc>
        <w:tc>
          <w:tcPr>
            <w:tcW w:w="5670" w:type="dxa"/>
            <w:tcBorders>
              <w:top w:val="single" w:color="auto" w:sz="4" w:space="0"/>
              <w:left w:val="single" w:color="auto" w:sz="4" w:space="0"/>
              <w:bottom w:val="single" w:color="auto" w:sz="4" w:space="0"/>
              <w:right w:val="single" w:color="auto" w:sz="8" w:space="0"/>
            </w:tcBorders>
            <w:vAlign w:val="center"/>
          </w:tcPr>
          <w:p w14:paraId="5A11E95E">
            <w:pPr>
              <w:topLinePunct/>
              <w:snapToGrid w:val="0"/>
              <w:spacing w:before="60" w:after="60" w:line="240" w:lineRule="auto"/>
              <w:ind w:firstLine="0" w:firstLineChars="0"/>
              <w:jc w:val="center"/>
              <w:rPr>
                <w:rFonts w:cs="Arial"/>
                <w:szCs w:val="21"/>
              </w:rPr>
            </w:pPr>
            <w:r>
              <w:rPr>
                <w:rFonts w:hint="eastAsia" w:cs="Arial"/>
                <w:szCs w:val="21"/>
              </w:rPr>
              <w:t>开出</w:t>
            </w:r>
            <w:r>
              <w:rPr>
                <w:rFonts w:cs="Arial"/>
                <w:szCs w:val="21"/>
              </w:rPr>
              <w:t>-</w:t>
            </w:r>
          </w:p>
        </w:tc>
      </w:tr>
    </w:tbl>
    <w:p w14:paraId="2B8B2560">
      <w:pPr>
        <w:pStyle w:val="3"/>
        <w:numPr>
          <w:ilvl w:val="1"/>
          <w:numId w:val="0"/>
        </w:numPr>
        <w:ind w:leftChars="0"/>
        <w:rPr>
          <w:rFonts w:hint="eastAsia"/>
          <w:lang w:val="en-US" w:eastAsia="zh-CN"/>
        </w:rPr>
      </w:pPr>
      <w:bookmarkStart w:id="704" w:name="_Toc26773"/>
      <w:r>
        <w:rPr>
          <w:rFonts w:hint="eastAsia"/>
          <w:lang w:val="en-US" w:eastAsia="zh-CN"/>
        </w:rPr>
        <w:t>A.3 电力开源物联版配电物联代理单元拓展接口端子定义</w:t>
      </w:r>
      <w:bookmarkEnd w:id="704"/>
    </w:p>
    <w:p w14:paraId="3E705BCB">
      <w:pPr>
        <w:pStyle w:val="29"/>
        <w:widowControl/>
        <w:ind w:firstLine="420"/>
        <w:rPr>
          <w:rFonts w:hint="eastAsia" w:ascii="宋体" w:hAnsi="宋体" w:cs="宋体"/>
          <w:kern w:val="0"/>
          <w:sz w:val="21"/>
          <w:szCs w:val="21"/>
          <w:lang w:bidi="ar"/>
        </w:rPr>
      </w:pPr>
      <w:r>
        <w:rPr>
          <w:rFonts w:hint="eastAsia"/>
          <w:sz w:val="21"/>
          <w:szCs w:val="21"/>
          <w:lang w:eastAsia="zh-CN"/>
        </w:rPr>
        <w:t>电力开源物联版配电物联代理单元</w:t>
      </w:r>
      <w:r>
        <w:rPr>
          <w:rFonts w:hint="eastAsia" w:ascii="宋体" w:hAnsi="宋体" w:cs="宋体"/>
          <w:kern w:val="0"/>
          <w:sz w:val="21"/>
          <w:szCs w:val="21"/>
          <w:lang w:val="en-US" w:eastAsia="zh-CN" w:bidi="ar"/>
        </w:rPr>
        <w:t>RJ45</w:t>
      </w:r>
      <w:r>
        <w:rPr>
          <w:rFonts w:hint="eastAsia" w:ascii="宋体" w:hAnsi="宋体" w:cs="宋体"/>
          <w:kern w:val="0"/>
          <w:sz w:val="21"/>
          <w:szCs w:val="21"/>
          <w:lang w:bidi="ar"/>
        </w:rPr>
        <w:t>接口端子定义及布局详见图A</w:t>
      </w:r>
      <w:r>
        <w:rPr>
          <w:rFonts w:ascii="宋体" w:hAnsi="宋体" w:cs="宋体"/>
          <w:kern w:val="0"/>
          <w:sz w:val="21"/>
          <w:szCs w:val="21"/>
          <w:lang w:bidi="ar"/>
        </w:rPr>
        <w:t>.3、表</w:t>
      </w:r>
      <w:r>
        <w:rPr>
          <w:rFonts w:hint="eastAsia" w:ascii="宋体" w:hAnsi="宋体" w:cs="宋体"/>
          <w:kern w:val="0"/>
          <w:sz w:val="21"/>
          <w:szCs w:val="21"/>
          <w:lang w:bidi="ar"/>
        </w:rPr>
        <w:t>A</w:t>
      </w:r>
      <w:r>
        <w:rPr>
          <w:rFonts w:ascii="宋体" w:hAnsi="宋体" w:cs="宋体"/>
          <w:kern w:val="0"/>
          <w:sz w:val="21"/>
          <w:szCs w:val="21"/>
          <w:lang w:bidi="ar"/>
        </w:rPr>
        <w:t>.2。</w:t>
      </w:r>
    </w:p>
    <w:p w14:paraId="23D2468D">
      <w:pPr>
        <w:pStyle w:val="29"/>
        <w:widowControl/>
        <w:ind w:firstLine="420"/>
        <w:rPr>
          <w:rFonts w:hint="eastAsia" w:ascii="宋体" w:hAnsi="宋体" w:cs="宋体"/>
          <w:kern w:val="0"/>
          <w:sz w:val="21"/>
          <w:szCs w:val="21"/>
          <w:lang w:bidi="ar"/>
        </w:rPr>
      </w:pPr>
    </w:p>
    <w:p w14:paraId="3C2B3BC6">
      <w:pPr>
        <w:pStyle w:val="29"/>
        <w:widowControl/>
        <w:jc w:val="center"/>
        <w:rPr>
          <w:rFonts w:hint="eastAsia" w:ascii="宋体" w:hAnsi="宋体" w:cs="宋体"/>
          <w:kern w:val="0"/>
          <w:sz w:val="18"/>
          <w:szCs w:val="18"/>
          <w:lang w:bidi="ar"/>
        </w:rPr>
      </w:pPr>
      <w:r>
        <w:rPr>
          <w:rFonts w:ascii="宋体" w:hAnsi="宋体" w:cs="宋体"/>
          <w:kern w:val="0"/>
          <w:sz w:val="18"/>
          <w:szCs w:val="18"/>
          <w:lang w:bidi="ar"/>
        </w:rPr>
        <w:drawing>
          <wp:inline distT="0" distB="0" distL="114300" distR="114300">
            <wp:extent cx="3639185" cy="3157855"/>
            <wp:effectExtent l="0" t="0" r="9525" b="5080"/>
            <wp:docPr id="12" name="图片 3" descr="172072082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1720720824339"/>
                    <pic:cNvPicPr>
                      <a:picLocks noChangeAspect="1"/>
                    </pic:cNvPicPr>
                  </pic:nvPicPr>
                  <pic:blipFill>
                    <a:blip r:embed="rId18"/>
                    <a:stretch>
                      <a:fillRect/>
                    </a:stretch>
                  </pic:blipFill>
                  <pic:spPr>
                    <a:xfrm>
                      <a:off x="0" y="0"/>
                      <a:ext cx="3639185" cy="3157855"/>
                    </a:xfrm>
                    <a:prstGeom prst="rect">
                      <a:avLst/>
                    </a:prstGeom>
                    <a:noFill/>
                    <a:ln>
                      <a:noFill/>
                    </a:ln>
                  </pic:spPr>
                </pic:pic>
              </a:graphicData>
            </a:graphic>
          </wp:inline>
        </w:drawing>
      </w:r>
    </w:p>
    <w:p w14:paraId="1339F245">
      <w:pPr>
        <w:pStyle w:val="16"/>
        <w:ind w:firstLine="420"/>
        <w:jc w:val="center"/>
      </w:pPr>
      <w:r>
        <w:rPr>
          <w:rFonts w:hint="eastAsia"/>
        </w:rPr>
        <w:t>图A.</w:t>
      </w:r>
      <w:r>
        <w:rPr>
          <w:rFonts w:hint="eastAsia"/>
          <w:lang w:val="en-US" w:eastAsia="zh-CN"/>
        </w:rPr>
        <w:t>3</w:t>
      </w:r>
      <w:r>
        <w:rPr>
          <w:rFonts w:hint="eastAsia"/>
          <w:lang w:eastAsia="zh-CN"/>
        </w:rPr>
        <w:t>电力开源物联版配电物联代理单元</w:t>
      </w:r>
      <w:r>
        <w:rPr>
          <w:rFonts w:hint="eastAsia" w:ascii="宋体" w:hAnsi="宋体" w:cs="宋体"/>
          <w:kern w:val="0"/>
          <w:sz w:val="21"/>
          <w:szCs w:val="21"/>
          <w:lang w:val="en-US" w:eastAsia="zh-CN" w:bidi="ar"/>
        </w:rPr>
        <w:t>RJ45</w:t>
      </w:r>
      <w:r>
        <w:t>接口</w:t>
      </w:r>
      <w:r>
        <w:rPr>
          <w:rFonts w:hint="eastAsia"/>
        </w:rPr>
        <w:t>端子示意图</w:t>
      </w:r>
    </w:p>
    <w:p w14:paraId="09D72C5E">
      <w:pPr>
        <w:ind w:firstLine="420"/>
        <w:jc w:val="center"/>
      </w:pPr>
      <w:r>
        <w:rPr>
          <w:rFonts w:hint="eastAsia" w:ascii="宋体" w:hAnsi="宋体"/>
        </w:rPr>
        <w:t>表</w:t>
      </w:r>
      <w:r>
        <w:t>A.</w:t>
      </w:r>
      <w:r>
        <w:rPr>
          <w:rFonts w:hint="eastAsia"/>
          <w:lang w:val="en-US" w:eastAsia="zh-CN"/>
        </w:rPr>
        <w:t>4</w:t>
      </w:r>
      <w:r>
        <w:t xml:space="preserve"> </w:t>
      </w:r>
      <w:r>
        <w:rPr>
          <w:rFonts w:hint="eastAsia" w:ascii="宋体" w:hAnsi="宋体"/>
          <w:lang w:eastAsia="zh-CN"/>
        </w:rPr>
        <w:t>电力开源物联版配电物联代理单元</w:t>
      </w:r>
      <w:r>
        <w:rPr>
          <w:rFonts w:hint="eastAsia" w:ascii="宋体" w:hAnsi="宋体" w:cs="宋体"/>
          <w:kern w:val="0"/>
          <w:sz w:val="21"/>
          <w:szCs w:val="21"/>
          <w:lang w:val="en-US" w:eastAsia="zh-CN" w:bidi="ar"/>
        </w:rPr>
        <w:t>RJ45</w:t>
      </w:r>
      <w:r>
        <w:rPr>
          <w:rFonts w:hint="eastAsia" w:ascii="宋体" w:hAnsi="宋体"/>
        </w:rPr>
        <w:t>接口端子接线定义</w:t>
      </w:r>
      <w:r>
        <w:t xml:space="preserve">  </w:t>
      </w:r>
    </w:p>
    <w:tbl>
      <w:tblPr>
        <w:tblStyle w:val="33"/>
        <w:tblW w:w="76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5670"/>
      </w:tblGrid>
      <w:tr w14:paraId="546C9C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964" w:type="dxa"/>
            <w:tcBorders>
              <w:top w:val="single" w:color="auto" w:sz="8" w:space="0"/>
              <w:left w:val="single" w:color="auto" w:sz="8" w:space="0"/>
              <w:bottom w:val="single" w:color="auto" w:sz="4" w:space="0"/>
              <w:right w:val="single" w:color="auto" w:sz="4" w:space="0"/>
            </w:tcBorders>
            <w:vAlign w:val="center"/>
          </w:tcPr>
          <w:p w14:paraId="30CDCB5F">
            <w:pPr>
              <w:topLinePunct/>
              <w:snapToGrid w:val="0"/>
              <w:spacing w:before="60" w:after="60" w:line="240" w:lineRule="auto"/>
              <w:ind w:firstLine="0" w:firstLineChars="0"/>
              <w:jc w:val="center"/>
              <w:rPr>
                <w:rFonts w:hint="eastAsia" w:hAnsi="宋体" w:cs="Arial"/>
                <w:szCs w:val="21"/>
              </w:rPr>
            </w:pPr>
            <w:r>
              <w:rPr>
                <w:rFonts w:hint="eastAsia" w:ascii="宋体" w:hAnsi="宋体" w:cs="Arial"/>
                <w:szCs w:val="21"/>
              </w:rPr>
              <w:t>信号名称</w:t>
            </w:r>
          </w:p>
        </w:tc>
        <w:tc>
          <w:tcPr>
            <w:tcW w:w="5670" w:type="dxa"/>
            <w:tcBorders>
              <w:top w:val="single" w:color="auto" w:sz="8" w:space="0"/>
              <w:left w:val="single" w:color="auto" w:sz="4" w:space="0"/>
              <w:bottom w:val="single" w:color="auto" w:sz="4" w:space="0"/>
              <w:right w:val="single" w:color="auto" w:sz="8" w:space="0"/>
            </w:tcBorders>
            <w:vAlign w:val="center"/>
          </w:tcPr>
          <w:p w14:paraId="054A9A89">
            <w:pPr>
              <w:topLinePunct/>
              <w:snapToGrid w:val="0"/>
              <w:spacing w:before="60" w:after="60" w:line="240" w:lineRule="auto"/>
              <w:ind w:firstLine="0" w:firstLineChars="0"/>
              <w:jc w:val="center"/>
              <w:rPr>
                <w:rFonts w:cs="Arial"/>
                <w:szCs w:val="21"/>
              </w:rPr>
            </w:pPr>
            <w:r>
              <w:rPr>
                <w:rFonts w:hint="eastAsia" w:ascii="宋体" w:hAnsi="宋体" w:cs="Arial"/>
                <w:szCs w:val="21"/>
              </w:rPr>
              <w:t>描述</w:t>
            </w:r>
          </w:p>
        </w:tc>
      </w:tr>
      <w:tr w14:paraId="495753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4C5DE99A">
            <w:pPr>
              <w:topLinePunct/>
              <w:snapToGrid w:val="0"/>
              <w:spacing w:before="60" w:after="60" w:line="240" w:lineRule="auto"/>
              <w:ind w:firstLine="0" w:firstLineChars="0"/>
              <w:jc w:val="center"/>
              <w:rPr>
                <w:rFonts w:hint="eastAsia" w:hAnsi="宋体" w:cs="Arial"/>
                <w:szCs w:val="21"/>
              </w:rPr>
            </w:pPr>
            <w:r>
              <w:rPr>
                <w:rFonts w:hAnsi="宋体" w:cs="Arial"/>
                <w:szCs w:val="21"/>
              </w:rPr>
              <w:t>1</w:t>
            </w:r>
          </w:p>
        </w:tc>
        <w:tc>
          <w:tcPr>
            <w:tcW w:w="5670" w:type="dxa"/>
            <w:tcBorders>
              <w:top w:val="single" w:color="auto" w:sz="4" w:space="0"/>
              <w:left w:val="single" w:color="auto" w:sz="4" w:space="0"/>
              <w:bottom w:val="single" w:color="auto" w:sz="4" w:space="0"/>
              <w:right w:val="single" w:color="auto" w:sz="8" w:space="0"/>
            </w:tcBorders>
            <w:vAlign w:val="center"/>
          </w:tcPr>
          <w:p w14:paraId="1F709085">
            <w:pPr>
              <w:topLinePunct/>
              <w:snapToGrid w:val="0"/>
              <w:spacing w:before="60" w:after="60" w:line="240" w:lineRule="auto"/>
              <w:ind w:firstLine="0" w:firstLineChars="0"/>
              <w:jc w:val="center"/>
              <w:rPr>
                <w:rFonts w:cs="Arial"/>
                <w:szCs w:val="21"/>
              </w:rPr>
            </w:pPr>
            <w:r>
              <w:rPr>
                <w:rFonts w:hint="eastAsia"/>
                <w:color w:val="000000"/>
                <w:kern w:val="0"/>
                <w:szCs w:val="21"/>
              </w:rPr>
              <w:t>485A1</w:t>
            </w:r>
            <w:r>
              <w:rPr>
                <w:color w:val="000000"/>
                <w:kern w:val="0"/>
                <w:szCs w:val="21"/>
              </w:rPr>
              <w:t xml:space="preserve"> 连接逆变器</w:t>
            </w:r>
          </w:p>
        </w:tc>
      </w:tr>
      <w:tr w14:paraId="6A821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1A8DF5BB">
            <w:pPr>
              <w:topLinePunct/>
              <w:snapToGrid w:val="0"/>
              <w:spacing w:before="60" w:after="60" w:line="240" w:lineRule="auto"/>
              <w:ind w:firstLine="0" w:firstLineChars="0"/>
              <w:jc w:val="center"/>
              <w:rPr>
                <w:rFonts w:hint="eastAsia" w:hAnsi="宋体" w:cs="Arial"/>
                <w:szCs w:val="21"/>
              </w:rPr>
            </w:pPr>
            <w:r>
              <w:rPr>
                <w:rFonts w:hAnsi="宋体" w:cs="Arial"/>
                <w:szCs w:val="21"/>
              </w:rPr>
              <w:t>2</w:t>
            </w:r>
          </w:p>
        </w:tc>
        <w:tc>
          <w:tcPr>
            <w:tcW w:w="5670" w:type="dxa"/>
            <w:tcBorders>
              <w:top w:val="single" w:color="auto" w:sz="4" w:space="0"/>
              <w:left w:val="single" w:color="auto" w:sz="4" w:space="0"/>
              <w:bottom w:val="single" w:color="auto" w:sz="4" w:space="0"/>
              <w:right w:val="single" w:color="auto" w:sz="8" w:space="0"/>
            </w:tcBorders>
            <w:vAlign w:val="center"/>
          </w:tcPr>
          <w:p w14:paraId="046472CC">
            <w:pPr>
              <w:topLinePunct/>
              <w:snapToGrid w:val="0"/>
              <w:spacing w:before="60" w:after="60" w:line="240" w:lineRule="auto"/>
              <w:ind w:firstLine="0" w:firstLineChars="0"/>
              <w:jc w:val="center"/>
              <w:rPr>
                <w:rFonts w:cs="Arial"/>
                <w:szCs w:val="21"/>
              </w:rPr>
            </w:pPr>
            <w:r>
              <w:rPr>
                <w:rFonts w:hint="eastAsia"/>
                <w:color w:val="000000"/>
                <w:kern w:val="0"/>
                <w:szCs w:val="21"/>
              </w:rPr>
              <w:t>485</w:t>
            </w:r>
            <w:r>
              <w:rPr>
                <w:color w:val="000000"/>
                <w:kern w:val="0"/>
                <w:szCs w:val="21"/>
              </w:rPr>
              <w:t>B</w:t>
            </w:r>
            <w:r>
              <w:rPr>
                <w:rFonts w:hint="eastAsia"/>
                <w:color w:val="000000"/>
                <w:kern w:val="0"/>
                <w:szCs w:val="21"/>
              </w:rPr>
              <w:t>1</w:t>
            </w:r>
            <w:r>
              <w:rPr>
                <w:color w:val="000000"/>
                <w:kern w:val="0"/>
                <w:szCs w:val="21"/>
              </w:rPr>
              <w:t>连接逆变器</w:t>
            </w:r>
          </w:p>
        </w:tc>
      </w:tr>
      <w:tr w14:paraId="300D9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79D55E34">
            <w:pPr>
              <w:topLinePunct/>
              <w:snapToGrid w:val="0"/>
              <w:spacing w:before="60" w:after="60" w:line="240" w:lineRule="auto"/>
              <w:ind w:firstLine="0" w:firstLineChars="0"/>
              <w:jc w:val="center"/>
              <w:rPr>
                <w:rFonts w:cs="Arial"/>
                <w:szCs w:val="21"/>
              </w:rPr>
            </w:pPr>
            <w:r>
              <w:rPr>
                <w:szCs w:val="21"/>
              </w:rPr>
              <w:t>3</w:t>
            </w:r>
          </w:p>
        </w:tc>
        <w:tc>
          <w:tcPr>
            <w:tcW w:w="5670" w:type="dxa"/>
            <w:tcBorders>
              <w:top w:val="single" w:color="auto" w:sz="4" w:space="0"/>
              <w:left w:val="single" w:color="auto" w:sz="4" w:space="0"/>
              <w:bottom w:val="single" w:color="auto" w:sz="4" w:space="0"/>
              <w:right w:val="single" w:color="auto" w:sz="8" w:space="0"/>
            </w:tcBorders>
            <w:vAlign w:val="center"/>
          </w:tcPr>
          <w:p w14:paraId="0A16F84A">
            <w:pPr>
              <w:topLinePunct/>
              <w:snapToGrid w:val="0"/>
              <w:spacing w:before="60" w:after="60" w:line="240" w:lineRule="auto"/>
              <w:ind w:firstLine="0" w:firstLineChars="0"/>
              <w:jc w:val="center"/>
              <w:rPr>
                <w:rFonts w:cs="Arial"/>
                <w:szCs w:val="21"/>
              </w:rPr>
            </w:pPr>
            <w:r>
              <w:rPr>
                <w:rFonts w:hint="eastAsia"/>
                <w:color w:val="000000"/>
                <w:kern w:val="0"/>
                <w:szCs w:val="21"/>
              </w:rPr>
              <w:t>485A</w:t>
            </w:r>
            <w:r>
              <w:rPr>
                <w:color w:val="000000"/>
                <w:kern w:val="0"/>
                <w:szCs w:val="21"/>
              </w:rPr>
              <w:t>2连接逆变器通信棒</w:t>
            </w:r>
          </w:p>
        </w:tc>
      </w:tr>
      <w:tr w14:paraId="205EC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3853B3E0">
            <w:pPr>
              <w:topLinePunct/>
              <w:snapToGrid w:val="0"/>
              <w:spacing w:before="60" w:after="60" w:line="240" w:lineRule="auto"/>
              <w:ind w:firstLine="0" w:firstLineChars="0"/>
              <w:jc w:val="center"/>
              <w:rPr>
                <w:rFonts w:cs="Arial"/>
                <w:szCs w:val="21"/>
              </w:rPr>
            </w:pPr>
            <w:r>
              <w:rPr>
                <w:szCs w:val="21"/>
              </w:rPr>
              <w:t>4</w:t>
            </w:r>
          </w:p>
        </w:tc>
        <w:tc>
          <w:tcPr>
            <w:tcW w:w="5670" w:type="dxa"/>
            <w:tcBorders>
              <w:top w:val="single" w:color="auto" w:sz="4" w:space="0"/>
              <w:left w:val="single" w:color="auto" w:sz="4" w:space="0"/>
              <w:bottom w:val="single" w:color="auto" w:sz="4" w:space="0"/>
              <w:right w:val="single" w:color="auto" w:sz="8" w:space="0"/>
            </w:tcBorders>
            <w:vAlign w:val="center"/>
          </w:tcPr>
          <w:p w14:paraId="332D2238">
            <w:pPr>
              <w:topLinePunct/>
              <w:snapToGrid w:val="0"/>
              <w:spacing w:before="60" w:after="60" w:line="240" w:lineRule="auto"/>
              <w:ind w:firstLine="0" w:firstLineChars="0"/>
              <w:jc w:val="center"/>
              <w:rPr>
                <w:rFonts w:cs="Arial"/>
                <w:szCs w:val="21"/>
              </w:rPr>
            </w:pPr>
            <w:r>
              <w:rPr>
                <w:rFonts w:hint="eastAsia"/>
                <w:color w:val="000000"/>
                <w:kern w:val="0"/>
                <w:szCs w:val="21"/>
              </w:rPr>
              <w:t>485</w:t>
            </w:r>
            <w:r>
              <w:rPr>
                <w:color w:val="000000"/>
                <w:kern w:val="0"/>
                <w:szCs w:val="21"/>
              </w:rPr>
              <w:t>B2连接逆变器通信棒</w:t>
            </w:r>
          </w:p>
        </w:tc>
      </w:tr>
      <w:tr w14:paraId="528A0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396565E9">
            <w:pPr>
              <w:topLinePunct/>
              <w:snapToGrid w:val="0"/>
              <w:spacing w:before="60" w:after="60" w:line="240" w:lineRule="auto"/>
              <w:ind w:firstLine="0" w:firstLineChars="0"/>
              <w:jc w:val="center"/>
              <w:rPr>
                <w:rFonts w:cs="Arial"/>
                <w:szCs w:val="21"/>
              </w:rPr>
            </w:pPr>
            <w:r>
              <w:rPr>
                <w:szCs w:val="21"/>
              </w:rPr>
              <w:t>5、6</w:t>
            </w:r>
          </w:p>
        </w:tc>
        <w:tc>
          <w:tcPr>
            <w:tcW w:w="5670" w:type="dxa"/>
            <w:tcBorders>
              <w:top w:val="single" w:color="auto" w:sz="4" w:space="0"/>
              <w:left w:val="single" w:color="auto" w:sz="4" w:space="0"/>
              <w:bottom w:val="single" w:color="auto" w:sz="4" w:space="0"/>
              <w:right w:val="single" w:color="auto" w:sz="8" w:space="0"/>
            </w:tcBorders>
            <w:vAlign w:val="center"/>
          </w:tcPr>
          <w:p w14:paraId="5B443E5F">
            <w:pPr>
              <w:topLinePunct/>
              <w:snapToGrid w:val="0"/>
              <w:spacing w:before="60" w:after="60" w:line="240" w:lineRule="auto"/>
              <w:ind w:firstLine="0" w:firstLineChars="0"/>
              <w:jc w:val="center"/>
              <w:rPr>
                <w:rFonts w:cs="Arial"/>
                <w:szCs w:val="21"/>
              </w:rPr>
            </w:pPr>
            <w:r>
              <w:rPr>
                <w:rFonts w:hint="eastAsia" w:cs="Arial"/>
                <w:szCs w:val="21"/>
              </w:rPr>
              <w:t>G</w:t>
            </w:r>
            <w:r>
              <w:rPr>
                <w:rFonts w:cs="Arial"/>
                <w:szCs w:val="21"/>
              </w:rPr>
              <w:t>ND（预留）</w:t>
            </w:r>
          </w:p>
        </w:tc>
      </w:tr>
      <w:tr w14:paraId="5E50C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65851D43">
            <w:pPr>
              <w:topLinePunct/>
              <w:snapToGrid w:val="0"/>
              <w:spacing w:before="60" w:after="60" w:line="240" w:lineRule="auto"/>
              <w:ind w:firstLine="0" w:firstLineChars="0"/>
              <w:jc w:val="center"/>
              <w:rPr>
                <w:rFonts w:cs="Arial"/>
                <w:szCs w:val="21"/>
              </w:rPr>
            </w:pPr>
            <w:r>
              <w:rPr>
                <w:szCs w:val="21"/>
              </w:rPr>
              <w:t>7、8</w:t>
            </w:r>
          </w:p>
        </w:tc>
        <w:tc>
          <w:tcPr>
            <w:tcW w:w="5670" w:type="dxa"/>
            <w:tcBorders>
              <w:top w:val="single" w:color="auto" w:sz="4" w:space="0"/>
              <w:left w:val="single" w:color="auto" w:sz="4" w:space="0"/>
              <w:bottom w:val="single" w:color="auto" w:sz="4" w:space="0"/>
              <w:right w:val="single" w:color="auto" w:sz="8" w:space="0"/>
            </w:tcBorders>
            <w:vAlign w:val="center"/>
          </w:tcPr>
          <w:p w14:paraId="5E4DC7E4">
            <w:pPr>
              <w:topLinePunct/>
              <w:snapToGrid w:val="0"/>
              <w:spacing w:before="60" w:after="60" w:line="240" w:lineRule="auto"/>
              <w:ind w:firstLine="0" w:firstLineChars="0"/>
              <w:jc w:val="center"/>
              <w:rPr>
                <w:rFonts w:cs="Arial"/>
                <w:szCs w:val="21"/>
              </w:rPr>
            </w:pPr>
            <w:r>
              <w:rPr>
                <w:szCs w:val="21"/>
              </w:rPr>
              <w:t>VCC（预留）</w:t>
            </w:r>
          </w:p>
        </w:tc>
      </w:tr>
    </w:tbl>
    <w:p w14:paraId="365D19B7">
      <w:pPr>
        <w:pStyle w:val="16"/>
        <w:ind w:firstLine="420"/>
      </w:pPr>
    </w:p>
    <w:p w14:paraId="0471AFB0">
      <w:pPr>
        <w:pStyle w:val="3"/>
        <w:numPr>
          <w:ilvl w:val="1"/>
          <w:numId w:val="0"/>
        </w:numPr>
        <w:ind w:leftChars="0"/>
        <w:rPr>
          <w:rFonts w:hint="eastAsia"/>
          <w:lang w:val="en-US" w:eastAsia="zh-CN"/>
        </w:rPr>
      </w:pPr>
      <w:bookmarkStart w:id="705" w:name="_Toc12905"/>
      <w:r>
        <w:rPr>
          <w:rFonts w:hint="eastAsia"/>
          <w:lang w:val="en-US" w:eastAsia="zh-CN"/>
        </w:rPr>
        <w:t>A.4 代理单元通信口端子定义</w:t>
      </w:r>
      <w:bookmarkEnd w:id="705"/>
    </w:p>
    <w:p w14:paraId="4BA683C6">
      <w:pPr>
        <w:pStyle w:val="29"/>
        <w:widowControl/>
        <w:ind w:firstLine="420"/>
        <w:rPr>
          <w:rFonts w:hint="eastAsia" w:ascii="宋体" w:hAnsi="宋体" w:cs="宋体"/>
          <w:kern w:val="0"/>
          <w:sz w:val="21"/>
          <w:szCs w:val="21"/>
          <w:lang w:bidi="ar"/>
        </w:rPr>
      </w:pPr>
      <w:r>
        <w:rPr>
          <w:rFonts w:hint="eastAsia"/>
          <w:sz w:val="21"/>
          <w:szCs w:val="21"/>
          <w:lang w:eastAsia="zh-CN"/>
        </w:rPr>
        <w:t>配电物联代理单元</w:t>
      </w:r>
      <w:r>
        <w:rPr>
          <w:rFonts w:hint="eastAsia" w:ascii="宋体" w:hAnsi="宋体" w:cs="宋体"/>
          <w:kern w:val="0"/>
          <w:sz w:val="21"/>
          <w:szCs w:val="21"/>
          <w:lang w:val="en-US" w:eastAsia="zh-CN" w:bidi="ar"/>
        </w:rPr>
        <w:t>Type-C通信接口</w:t>
      </w:r>
      <w:r>
        <w:rPr>
          <w:rFonts w:hint="eastAsia" w:ascii="宋体" w:hAnsi="宋体" w:cs="宋体"/>
          <w:kern w:val="0"/>
          <w:sz w:val="21"/>
          <w:szCs w:val="21"/>
          <w:lang w:bidi="ar"/>
        </w:rPr>
        <w:t>定义及布局详见图A</w:t>
      </w:r>
      <w:r>
        <w:rPr>
          <w:rFonts w:ascii="宋体" w:hAnsi="宋体" w:cs="宋体"/>
          <w:kern w:val="0"/>
          <w:sz w:val="21"/>
          <w:szCs w:val="21"/>
          <w:lang w:bidi="ar"/>
        </w:rPr>
        <w:t>.4、表</w:t>
      </w:r>
      <w:r>
        <w:rPr>
          <w:rFonts w:hint="eastAsia" w:ascii="宋体" w:hAnsi="宋体" w:cs="宋体"/>
          <w:kern w:val="0"/>
          <w:sz w:val="21"/>
          <w:szCs w:val="21"/>
          <w:lang w:bidi="ar"/>
        </w:rPr>
        <w:t>A</w:t>
      </w:r>
      <w:r>
        <w:rPr>
          <w:rFonts w:ascii="宋体" w:hAnsi="宋体" w:cs="宋体"/>
          <w:kern w:val="0"/>
          <w:sz w:val="21"/>
          <w:szCs w:val="21"/>
          <w:lang w:bidi="ar"/>
        </w:rPr>
        <w:t>.</w:t>
      </w:r>
      <w:r>
        <w:rPr>
          <w:rFonts w:hint="eastAsia" w:ascii="宋体" w:hAnsi="宋体" w:cs="宋体"/>
          <w:kern w:val="0"/>
          <w:sz w:val="21"/>
          <w:szCs w:val="21"/>
          <w:lang w:val="en-US" w:eastAsia="zh-CN" w:bidi="ar"/>
        </w:rPr>
        <w:t>5</w:t>
      </w:r>
      <w:r>
        <w:rPr>
          <w:rFonts w:ascii="宋体" w:hAnsi="宋体" w:cs="宋体"/>
          <w:kern w:val="0"/>
          <w:sz w:val="21"/>
          <w:szCs w:val="21"/>
          <w:lang w:bidi="ar"/>
        </w:rPr>
        <w:t>。</w:t>
      </w:r>
    </w:p>
    <w:p w14:paraId="287EBF9D">
      <w:pPr>
        <w:pStyle w:val="29"/>
        <w:widowControl/>
        <w:ind w:firstLine="420"/>
        <w:rPr>
          <w:rFonts w:hint="eastAsia" w:ascii="宋体" w:hAnsi="宋体" w:cs="宋体"/>
          <w:kern w:val="0"/>
          <w:sz w:val="21"/>
          <w:szCs w:val="21"/>
          <w:lang w:bidi="ar"/>
        </w:rPr>
      </w:pPr>
    </w:p>
    <w:p w14:paraId="3DA5B801">
      <w:pPr>
        <w:pStyle w:val="16"/>
        <w:ind w:firstLine="630" w:firstLineChars="300"/>
      </w:pPr>
      <w:r>
        <w:drawing>
          <wp:inline distT="0" distB="0" distL="114300" distR="114300">
            <wp:extent cx="4867275" cy="2080260"/>
            <wp:effectExtent l="0" t="0" r="1270" b="3175"/>
            <wp:docPr id="11" name="图片 4" descr="14db57125067871257039a015f994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14db57125067871257039a015f994d6"/>
                    <pic:cNvPicPr>
                      <a:picLocks noChangeAspect="1"/>
                    </pic:cNvPicPr>
                  </pic:nvPicPr>
                  <pic:blipFill>
                    <a:blip r:embed="rId19"/>
                    <a:stretch>
                      <a:fillRect/>
                    </a:stretch>
                  </pic:blipFill>
                  <pic:spPr>
                    <a:xfrm>
                      <a:off x="0" y="0"/>
                      <a:ext cx="4867275" cy="2080260"/>
                    </a:xfrm>
                    <a:prstGeom prst="rect">
                      <a:avLst/>
                    </a:prstGeom>
                    <a:noFill/>
                    <a:ln>
                      <a:noFill/>
                    </a:ln>
                  </pic:spPr>
                </pic:pic>
              </a:graphicData>
            </a:graphic>
          </wp:inline>
        </w:drawing>
      </w:r>
    </w:p>
    <w:p w14:paraId="09598A95">
      <w:pPr>
        <w:pStyle w:val="16"/>
        <w:ind w:firstLine="420"/>
        <w:jc w:val="center"/>
      </w:pPr>
      <w:r>
        <w:rPr>
          <w:rFonts w:hint="eastAsia"/>
        </w:rPr>
        <w:t>图A.</w:t>
      </w:r>
      <w:r>
        <w:t>4</w:t>
      </w:r>
      <w:r>
        <w:rPr>
          <w:rFonts w:hint="eastAsia"/>
          <w:lang w:eastAsia="zh-CN"/>
        </w:rPr>
        <w:t>配电物联代理单元</w:t>
      </w:r>
      <w:r>
        <w:rPr>
          <w:rFonts w:hint="eastAsia"/>
        </w:rPr>
        <w:t>通信</w:t>
      </w:r>
      <w:r>
        <w:t>口</w:t>
      </w:r>
      <w:r>
        <w:rPr>
          <w:rFonts w:hint="eastAsia"/>
        </w:rPr>
        <w:t>端子示意图</w:t>
      </w:r>
    </w:p>
    <w:p w14:paraId="19898DFF">
      <w:pPr>
        <w:ind w:firstLine="420"/>
        <w:jc w:val="center"/>
      </w:pPr>
      <w:r>
        <w:rPr>
          <w:rFonts w:hint="eastAsia" w:ascii="宋体" w:hAnsi="宋体"/>
        </w:rPr>
        <w:t>表</w:t>
      </w:r>
      <w:r>
        <w:t>A.</w:t>
      </w:r>
      <w:r>
        <w:rPr>
          <w:rFonts w:hint="eastAsia"/>
          <w:lang w:val="en-US" w:eastAsia="zh-CN"/>
        </w:rPr>
        <w:t>5</w:t>
      </w:r>
      <w:r>
        <w:t xml:space="preserve"> </w:t>
      </w:r>
      <w:r>
        <w:rPr>
          <w:rFonts w:hint="eastAsia" w:ascii="宋体" w:hAnsi="宋体"/>
          <w:lang w:eastAsia="zh-CN"/>
        </w:rPr>
        <w:t>配电物联代理单元</w:t>
      </w:r>
      <w:r>
        <w:rPr>
          <w:rFonts w:hint="eastAsia" w:ascii="宋体" w:hAnsi="宋体" w:cs="宋体"/>
          <w:kern w:val="0"/>
          <w:sz w:val="21"/>
          <w:szCs w:val="21"/>
          <w:lang w:val="en-US" w:eastAsia="zh-CN" w:bidi="ar"/>
        </w:rPr>
        <w:t>Type-C通信</w:t>
      </w:r>
      <w:r>
        <w:rPr>
          <w:rFonts w:hint="eastAsia" w:ascii="宋体" w:hAnsi="宋体"/>
          <w:lang w:val="en-US" w:eastAsia="zh-CN"/>
        </w:rPr>
        <w:t>接</w:t>
      </w:r>
      <w:r>
        <w:rPr>
          <w:rFonts w:hint="eastAsia" w:ascii="宋体" w:hAnsi="宋体"/>
        </w:rPr>
        <w:t>口端子接线定义</w:t>
      </w:r>
      <w:r>
        <w:t xml:space="preserve">  </w:t>
      </w:r>
    </w:p>
    <w:tbl>
      <w:tblPr>
        <w:tblStyle w:val="33"/>
        <w:tblW w:w="76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5670"/>
      </w:tblGrid>
      <w:tr w14:paraId="6EC07E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964" w:type="dxa"/>
            <w:tcBorders>
              <w:top w:val="single" w:color="auto" w:sz="8" w:space="0"/>
              <w:left w:val="single" w:color="auto" w:sz="8" w:space="0"/>
              <w:bottom w:val="single" w:color="auto" w:sz="4" w:space="0"/>
              <w:right w:val="single" w:color="auto" w:sz="4" w:space="0"/>
            </w:tcBorders>
            <w:vAlign w:val="center"/>
          </w:tcPr>
          <w:p w14:paraId="7CE13C20">
            <w:pPr>
              <w:topLinePunct/>
              <w:snapToGrid w:val="0"/>
              <w:spacing w:before="60" w:after="60" w:line="240" w:lineRule="auto"/>
              <w:ind w:firstLine="0" w:firstLineChars="0"/>
              <w:jc w:val="center"/>
              <w:rPr>
                <w:rFonts w:hint="eastAsia" w:hAnsi="宋体" w:cs="Arial"/>
                <w:szCs w:val="21"/>
              </w:rPr>
            </w:pPr>
            <w:r>
              <w:rPr>
                <w:rFonts w:hint="eastAsia" w:ascii="宋体" w:hAnsi="宋体" w:cs="Arial"/>
                <w:szCs w:val="21"/>
              </w:rPr>
              <w:t>信号名称</w:t>
            </w:r>
          </w:p>
        </w:tc>
        <w:tc>
          <w:tcPr>
            <w:tcW w:w="5670" w:type="dxa"/>
            <w:tcBorders>
              <w:top w:val="single" w:color="auto" w:sz="8" w:space="0"/>
              <w:left w:val="single" w:color="auto" w:sz="4" w:space="0"/>
              <w:bottom w:val="single" w:color="auto" w:sz="4" w:space="0"/>
              <w:right w:val="single" w:color="auto" w:sz="8" w:space="0"/>
            </w:tcBorders>
            <w:vAlign w:val="center"/>
          </w:tcPr>
          <w:p w14:paraId="6ACF40B0">
            <w:pPr>
              <w:topLinePunct/>
              <w:snapToGrid w:val="0"/>
              <w:spacing w:before="60" w:after="60" w:line="240" w:lineRule="auto"/>
              <w:ind w:firstLine="0" w:firstLineChars="0"/>
              <w:jc w:val="center"/>
              <w:rPr>
                <w:rFonts w:cs="Arial"/>
                <w:szCs w:val="21"/>
              </w:rPr>
            </w:pPr>
            <w:r>
              <w:rPr>
                <w:rFonts w:hint="eastAsia" w:ascii="宋体" w:hAnsi="宋体" w:cs="Arial"/>
                <w:szCs w:val="21"/>
              </w:rPr>
              <w:t>描述</w:t>
            </w:r>
          </w:p>
        </w:tc>
      </w:tr>
      <w:tr w14:paraId="47F63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43400DA7">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A</w:t>
            </w:r>
            <w:r>
              <w:rPr>
                <w:rFonts w:hAnsi="宋体" w:cs="Arial"/>
                <w:szCs w:val="21"/>
              </w:rPr>
              <w:t>1、</w:t>
            </w:r>
            <w:r>
              <w:rPr>
                <w:rFonts w:hint="eastAsia" w:hAnsi="宋体" w:cs="Arial"/>
                <w:szCs w:val="21"/>
              </w:rPr>
              <w:t>B</w:t>
            </w:r>
            <w:r>
              <w:rPr>
                <w:rFonts w:hAnsi="宋体" w:cs="Arial"/>
                <w:szCs w:val="21"/>
              </w:rPr>
              <w:t>1、</w:t>
            </w:r>
            <w:r>
              <w:rPr>
                <w:rFonts w:hint="eastAsia" w:hAnsi="宋体" w:cs="Arial"/>
                <w:szCs w:val="21"/>
              </w:rPr>
              <w:t>A</w:t>
            </w:r>
            <w:r>
              <w:rPr>
                <w:rFonts w:hAnsi="宋体" w:cs="Arial"/>
                <w:szCs w:val="21"/>
              </w:rPr>
              <w:t>12、</w:t>
            </w:r>
            <w:r>
              <w:rPr>
                <w:rFonts w:hint="eastAsia" w:hAnsi="宋体" w:cs="Arial"/>
                <w:szCs w:val="21"/>
              </w:rPr>
              <w:t>B</w:t>
            </w:r>
            <w:r>
              <w:rPr>
                <w:rFonts w:hAnsi="宋体" w:cs="Arial"/>
                <w:szCs w:val="21"/>
              </w:rPr>
              <w:t>12</w:t>
            </w:r>
          </w:p>
        </w:tc>
        <w:tc>
          <w:tcPr>
            <w:tcW w:w="5670" w:type="dxa"/>
            <w:tcBorders>
              <w:top w:val="single" w:color="auto" w:sz="4" w:space="0"/>
              <w:left w:val="single" w:color="auto" w:sz="4" w:space="0"/>
              <w:bottom w:val="single" w:color="auto" w:sz="4" w:space="0"/>
              <w:right w:val="single" w:color="auto" w:sz="8" w:space="0"/>
            </w:tcBorders>
            <w:vAlign w:val="center"/>
          </w:tcPr>
          <w:p w14:paraId="6DFB99D4">
            <w:pPr>
              <w:topLinePunct/>
              <w:snapToGrid w:val="0"/>
              <w:spacing w:before="60" w:after="60" w:line="240" w:lineRule="auto"/>
              <w:ind w:firstLine="0" w:firstLineChars="0"/>
              <w:jc w:val="center"/>
              <w:rPr>
                <w:rFonts w:cs="Arial"/>
                <w:szCs w:val="21"/>
              </w:rPr>
            </w:pPr>
            <w:r>
              <w:rPr>
                <w:rFonts w:hint="eastAsia" w:cs="Arial"/>
                <w:szCs w:val="21"/>
              </w:rPr>
              <w:t>G</w:t>
            </w:r>
            <w:r>
              <w:rPr>
                <w:rFonts w:cs="Arial"/>
                <w:szCs w:val="21"/>
              </w:rPr>
              <w:t>ND</w:t>
            </w:r>
          </w:p>
        </w:tc>
      </w:tr>
      <w:tr w14:paraId="1588BC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55A8BB36">
            <w:pPr>
              <w:topLinePunct/>
              <w:snapToGrid w:val="0"/>
              <w:spacing w:before="60" w:after="60" w:line="240" w:lineRule="auto"/>
              <w:ind w:firstLine="0" w:firstLineChars="0"/>
              <w:jc w:val="center"/>
              <w:rPr>
                <w:rFonts w:hint="eastAsia" w:hAnsi="宋体" w:cs="Arial"/>
                <w:szCs w:val="21"/>
              </w:rPr>
            </w:pPr>
            <w:r>
              <w:rPr>
                <w:rFonts w:hint="eastAsia" w:hAnsi="宋体" w:cs="Arial"/>
                <w:szCs w:val="21"/>
              </w:rPr>
              <w:t>A</w:t>
            </w:r>
            <w:r>
              <w:rPr>
                <w:rFonts w:hAnsi="宋体" w:cs="Arial"/>
                <w:szCs w:val="21"/>
              </w:rPr>
              <w:t>6、</w:t>
            </w:r>
            <w:r>
              <w:rPr>
                <w:rFonts w:hint="eastAsia" w:hAnsi="宋体" w:cs="Arial"/>
                <w:szCs w:val="21"/>
              </w:rPr>
              <w:t>B</w:t>
            </w:r>
            <w:r>
              <w:rPr>
                <w:rFonts w:hAnsi="宋体" w:cs="Arial"/>
                <w:szCs w:val="21"/>
              </w:rPr>
              <w:t>6</w:t>
            </w:r>
          </w:p>
        </w:tc>
        <w:tc>
          <w:tcPr>
            <w:tcW w:w="5670" w:type="dxa"/>
            <w:tcBorders>
              <w:top w:val="single" w:color="auto" w:sz="4" w:space="0"/>
              <w:left w:val="single" w:color="auto" w:sz="4" w:space="0"/>
              <w:bottom w:val="single" w:color="auto" w:sz="4" w:space="0"/>
              <w:right w:val="single" w:color="auto" w:sz="8" w:space="0"/>
            </w:tcBorders>
            <w:vAlign w:val="center"/>
          </w:tcPr>
          <w:p w14:paraId="1303549F">
            <w:pPr>
              <w:topLinePunct/>
              <w:snapToGrid w:val="0"/>
              <w:spacing w:before="60" w:after="60" w:line="240" w:lineRule="auto"/>
              <w:ind w:firstLine="0" w:firstLineChars="0"/>
              <w:jc w:val="center"/>
              <w:rPr>
                <w:rFonts w:cs="Arial"/>
                <w:szCs w:val="21"/>
              </w:rPr>
            </w:pPr>
            <w:r>
              <w:rPr>
                <w:color w:val="000000"/>
                <w:kern w:val="0"/>
                <w:szCs w:val="21"/>
              </w:rPr>
              <w:t>RS</w:t>
            </w:r>
            <w:r>
              <w:rPr>
                <w:rFonts w:hint="eastAsia"/>
                <w:color w:val="000000"/>
                <w:kern w:val="0"/>
                <w:szCs w:val="21"/>
              </w:rPr>
              <w:t>485</w:t>
            </w:r>
            <w:r>
              <w:rPr>
                <w:color w:val="000000"/>
                <w:kern w:val="0"/>
                <w:szCs w:val="21"/>
              </w:rPr>
              <w:t>B</w:t>
            </w:r>
          </w:p>
        </w:tc>
      </w:tr>
      <w:tr w14:paraId="5B3F56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25DB1A3B">
            <w:pPr>
              <w:topLinePunct/>
              <w:snapToGrid w:val="0"/>
              <w:spacing w:before="60" w:after="60" w:line="240" w:lineRule="auto"/>
              <w:ind w:firstLine="0" w:firstLineChars="0"/>
              <w:jc w:val="center"/>
              <w:rPr>
                <w:rFonts w:cs="Arial"/>
                <w:szCs w:val="21"/>
              </w:rPr>
            </w:pPr>
            <w:r>
              <w:rPr>
                <w:rFonts w:hint="eastAsia" w:hAnsi="宋体" w:cs="Arial"/>
                <w:szCs w:val="21"/>
              </w:rPr>
              <w:t>A</w:t>
            </w:r>
            <w:r>
              <w:rPr>
                <w:rFonts w:hAnsi="宋体" w:cs="Arial"/>
                <w:szCs w:val="21"/>
              </w:rPr>
              <w:t>7、</w:t>
            </w:r>
            <w:r>
              <w:rPr>
                <w:rFonts w:hint="eastAsia" w:hAnsi="宋体" w:cs="Arial"/>
                <w:szCs w:val="21"/>
              </w:rPr>
              <w:t>B</w:t>
            </w:r>
            <w:r>
              <w:rPr>
                <w:rFonts w:hAnsi="宋体" w:cs="Arial"/>
                <w:szCs w:val="21"/>
              </w:rPr>
              <w:t>7</w:t>
            </w:r>
          </w:p>
        </w:tc>
        <w:tc>
          <w:tcPr>
            <w:tcW w:w="5670" w:type="dxa"/>
            <w:tcBorders>
              <w:top w:val="single" w:color="auto" w:sz="4" w:space="0"/>
              <w:left w:val="single" w:color="auto" w:sz="4" w:space="0"/>
              <w:bottom w:val="single" w:color="auto" w:sz="4" w:space="0"/>
              <w:right w:val="single" w:color="auto" w:sz="8" w:space="0"/>
            </w:tcBorders>
            <w:vAlign w:val="center"/>
          </w:tcPr>
          <w:p w14:paraId="33CED9A4">
            <w:pPr>
              <w:topLinePunct/>
              <w:snapToGrid w:val="0"/>
              <w:spacing w:before="60" w:after="60" w:line="240" w:lineRule="auto"/>
              <w:ind w:firstLine="0" w:firstLineChars="0"/>
              <w:jc w:val="center"/>
              <w:rPr>
                <w:rFonts w:cs="Arial"/>
                <w:szCs w:val="21"/>
              </w:rPr>
            </w:pPr>
            <w:r>
              <w:rPr>
                <w:color w:val="000000"/>
                <w:kern w:val="0"/>
                <w:szCs w:val="21"/>
              </w:rPr>
              <w:t>RS</w:t>
            </w:r>
            <w:r>
              <w:rPr>
                <w:rFonts w:hint="eastAsia"/>
                <w:color w:val="000000"/>
                <w:kern w:val="0"/>
                <w:szCs w:val="21"/>
              </w:rPr>
              <w:t>485A</w:t>
            </w:r>
          </w:p>
        </w:tc>
      </w:tr>
      <w:tr w14:paraId="1A754F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64" w:type="dxa"/>
            <w:tcBorders>
              <w:top w:val="single" w:color="auto" w:sz="4" w:space="0"/>
              <w:left w:val="single" w:color="auto" w:sz="8" w:space="0"/>
              <w:bottom w:val="single" w:color="auto" w:sz="4" w:space="0"/>
              <w:right w:val="single" w:color="auto" w:sz="4" w:space="0"/>
            </w:tcBorders>
            <w:vAlign w:val="center"/>
          </w:tcPr>
          <w:p w14:paraId="638370E7">
            <w:pPr>
              <w:topLinePunct/>
              <w:snapToGrid w:val="0"/>
              <w:spacing w:before="60" w:after="60" w:line="240" w:lineRule="auto"/>
              <w:ind w:firstLine="0" w:firstLineChars="0"/>
              <w:jc w:val="center"/>
              <w:rPr>
                <w:rFonts w:cs="Arial"/>
                <w:szCs w:val="21"/>
              </w:rPr>
            </w:pPr>
            <w:r>
              <w:rPr>
                <w:rFonts w:cs="Arial"/>
                <w:szCs w:val="21"/>
              </w:rPr>
              <w:t>其他</w:t>
            </w:r>
          </w:p>
        </w:tc>
        <w:tc>
          <w:tcPr>
            <w:tcW w:w="5670" w:type="dxa"/>
            <w:tcBorders>
              <w:top w:val="single" w:color="auto" w:sz="4" w:space="0"/>
              <w:left w:val="single" w:color="auto" w:sz="4" w:space="0"/>
              <w:bottom w:val="single" w:color="auto" w:sz="4" w:space="0"/>
              <w:right w:val="single" w:color="auto" w:sz="8" w:space="0"/>
            </w:tcBorders>
            <w:vAlign w:val="center"/>
          </w:tcPr>
          <w:p w14:paraId="7C95763C">
            <w:pPr>
              <w:topLinePunct/>
              <w:snapToGrid w:val="0"/>
              <w:spacing w:before="60" w:after="60" w:line="240" w:lineRule="auto"/>
              <w:ind w:firstLine="0" w:firstLineChars="0"/>
              <w:jc w:val="center"/>
              <w:rPr>
                <w:rFonts w:cs="Arial"/>
                <w:szCs w:val="21"/>
              </w:rPr>
            </w:pPr>
            <w:r>
              <w:rPr>
                <w:rFonts w:cs="Arial"/>
                <w:szCs w:val="21"/>
              </w:rPr>
              <w:t>功能预留</w:t>
            </w:r>
          </w:p>
        </w:tc>
      </w:tr>
    </w:tbl>
    <w:p w14:paraId="0ABB065B">
      <w:pPr>
        <w:pStyle w:val="16"/>
        <w:ind w:firstLine="420"/>
      </w:pPr>
    </w:p>
    <w:p w14:paraId="32E71E01">
      <w:pPr>
        <w:pStyle w:val="16"/>
        <w:ind w:firstLine="420"/>
      </w:pPr>
    </w:p>
    <w:bookmarkEnd w:id="701"/>
    <w:bookmarkEnd w:id="702"/>
    <w:p w14:paraId="2726B9C5">
      <w:pPr>
        <w:pStyle w:val="2"/>
        <w:numPr>
          <w:ilvl w:val="0"/>
          <w:numId w:val="0"/>
        </w:numPr>
        <w:rPr>
          <w:rStyle w:val="45"/>
          <w:b w:val="0"/>
          <w:bCs w:val="0"/>
          <w:szCs w:val="32"/>
        </w:rPr>
      </w:pPr>
      <w:r>
        <w:br w:type="page"/>
      </w:r>
      <w:bookmarkStart w:id="706" w:name="_Toc3958"/>
      <w:bookmarkStart w:id="707" w:name="_Toc18644"/>
      <w:r>
        <w:rPr>
          <w:rFonts w:hint="eastAsia"/>
        </w:rPr>
        <w:t>附录B：光伏逆变器通信转接线</w:t>
      </w:r>
      <w:bookmarkEnd w:id="706"/>
      <w:bookmarkEnd w:id="707"/>
    </w:p>
    <w:p w14:paraId="6E3C299B">
      <w:pPr>
        <w:pStyle w:val="113"/>
        <w:ind w:firstLine="420"/>
        <w:rPr>
          <w:rFonts w:hint="eastAsia" w:ascii="宋体" w:hAnsi="宋体" w:eastAsia="宋体" w:cs="宋体"/>
          <w:sz w:val="21"/>
          <w:szCs w:val="21"/>
        </w:rPr>
      </w:pPr>
      <w:r>
        <w:rPr>
          <w:rFonts w:hint="eastAsia" w:ascii="宋体" w:hAnsi="宋体" w:eastAsia="宋体" w:cs="宋体"/>
          <w:sz w:val="21"/>
          <w:szCs w:val="21"/>
        </w:rPr>
        <w:t>光伏逆变器通信转接线是配合</w:t>
      </w:r>
      <w:r>
        <w:rPr>
          <w:rFonts w:hint="eastAsia" w:ascii="宋体" w:hAnsi="宋体" w:eastAsia="宋体" w:cs="宋体"/>
          <w:sz w:val="21"/>
          <w:szCs w:val="21"/>
          <w:lang w:eastAsia="zh-CN"/>
        </w:rPr>
        <w:t>电力开源物联版配电物联代理单元</w:t>
      </w:r>
      <w:r>
        <w:rPr>
          <w:rFonts w:hint="eastAsia" w:ascii="宋体" w:hAnsi="宋体" w:eastAsia="宋体" w:cs="宋体"/>
          <w:sz w:val="21"/>
          <w:szCs w:val="21"/>
        </w:rPr>
        <w:t>，实现逆变器发电、用电信息采集的设备。用于单个逆变器生产运行支持系统、厂家云平台双主站登录切换。将逆变器原1路端口扩展成2路，在其中一路保证厂家</w:t>
      </w:r>
      <w:r>
        <w:rPr>
          <w:rFonts w:hint="eastAsia" w:ascii="宋体" w:hAnsi="宋体" w:eastAsia="宋体" w:cs="宋体"/>
          <w:sz w:val="21"/>
          <w:szCs w:val="21"/>
          <w:lang w:val="en-US" w:eastAsia="zh-CN"/>
        </w:rPr>
        <w:t>第三方</w:t>
      </w:r>
      <w:r>
        <w:rPr>
          <w:rFonts w:hint="eastAsia" w:ascii="宋体" w:hAnsi="宋体" w:eastAsia="宋体" w:cs="宋体"/>
          <w:sz w:val="21"/>
          <w:szCs w:val="21"/>
        </w:rPr>
        <w:t>平台通信不受影响的情况下，另一路端口连接到</w:t>
      </w:r>
      <w:r>
        <w:rPr>
          <w:rFonts w:hint="eastAsia" w:ascii="宋体" w:hAnsi="宋体" w:eastAsia="宋体" w:cs="宋体"/>
          <w:sz w:val="21"/>
          <w:szCs w:val="21"/>
          <w:lang w:eastAsia="zh-CN"/>
        </w:rPr>
        <w:t>电力开源物联版配电物联代理单元</w:t>
      </w:r>
      <w:r>
        <w:rPr>
          <w:rFonts w:hint="eastAsia" w:ascii="宋体" w:hAnsi="宋体" w:eastAsia="宋体" w:cs="宋体"/>
          <w:sz w:val="21"/>
          <w:szCs w:val="21"/>
        </w:rPr>
        <w:t>，实现两个主站均可正常采集、下发控制指令。转接线应具备不同型号，支持锦浪、禾望、古瑞瓦特、固德威、华为、奥太、爱士惟、阳光电源、正泰、天合、三晶、首航、创维、茂硕、上能、迈格瑞能、英威腾、科士达、特变电工、力诺电力等南方电网区域所有存量及新增光伏逆变器厂家全部型号设备。</w:t>
      </w:r>
    </w:p>
    <w:p w14:paraId="0807956F">
      <w:pPr>
        <w:pStyle w:val="113"/>
        <w:ind w:firstLine="420"/>
        <w:rPr>
          <w:rFonts w:hint="eastAsia" w:ascii="宋体" w:hAnsi="宋体" w:eastAsia="宋体" w:cs="宋体"/>
          <w:sz w:val="21"/>
          <w:szCs w:val="21"/>
        </w:rPr>
      </w:pPr>
      <w:r>
        <w:rPr>
          <w:rFonts w:hint="eastAsia" w:ascii="宋体" w:hAnsi="宋体" w:eastAsia="宋体" w:cs="宋体"/>
          <w:sz w:val="21"/>
          <w:szCs w:val="21"/>
        </w:rPr>
        <w:t>转接线与逆变器接口应能适合各种形式的逆变器通信棒接口并支持通信棒的接入，不影响现有逆变器通信棒的正常使用与防水性能。光伏逆变器通信转接线应配合</w:t>
      </w:r>
      <w:r>
        <w:rPr>
          <w:rFonts w:hint="eastAsia" w:ascii="宋体" w:hAnsi="宋体" w:eastAsia="宋体" w:cs="宋体"/>
          <w:sz w:val="21"/>
          <w:szCs w:val="21"/>
          <w:lang w:eastAsia="zh-CN"/>
        </w:rPr>
        <w:t>电力开源物联版配电物联代理单元</w:t>
      </w:r>
      <w:r>
        <w:rPr>
          <w:rFonts w:hint="eastAsia" w:ascii="宋体" w:hAnsi="宋体" w:eastAsia="宋体" w:cs="宋体"/>
          <w:sz w:val="21"/>
          <w:szCs w:val="21"/>
        </w:rPr>
        <w:t>使用，转接线与</w:t>
      </w:r>
      <w:r>
        <w:rPr>
          <w:rFonts w:hint="eastAsia" w:ascii="宋体" w:hAnsi="宋体" w:eastAsia="宋体" w:cs="宋体"/>
          <w:sz w:val="21"/>
          <w:szCs w:val="21"/>
          <w:lang w:eastAsia="zh-CN"/>
        </w:rPr>
        <w:t>电力开源物联版配电物联代理单元</w:t>
      </w:r>
      <w:r>
        <w:rPr>
          <w:rFonts w:hint="eastAsia" w:ascii="宋体" w:hAnsi="宋体" w:eastAsia="宋体" w:cs="宋体"/>
          <w:sz w:val="21"/>
          <w:szCs w:val="21"/>
        </w:rPr>
        <w:t>接口为RJ-45接口形式，端子定义详见图</w:t>
      </w:r>
      <w:r>
        <w:rPr>
          <w:rFonts w:hint="eastAsia" w:ascii="宋体" w:hAnsi="宋体" w:eastAsia="宋体" w:cs="宋体"/>
          <w:sz w:val="21"/>
          <w:szCs w:val="21"/>
          <w:lang w:val="en-US" w:eastAsia="zh-CN"/>
        </w:rPr>
        <w:t>8，</w:t>
      </w:r>
      <w:r>
        <w:rPr>
          <w:rFonts w:hint="eastAsia" w:ascii="宋体" w:hAnsi="宋体" w:eastAsia="宋体" w:cs="宋体"/>
          <w:sz w:val="21"/>
          <w:szCs w:val="21"/>
        </w:rPr>
        <w:t>（由供货厂家根据现场需求匹配）。</w:t>
      </w:r>
    </w:p>
    <w:p w14:paraId="12E86304">
      <w:pPr>
        <w:pStyle w:val="62"/>
        <w:tabs>
          <w:tab w:val="center" w:pos="4201"/>
          <w:tab w:val="right" w:leader="dot" w:pos="9298"/>
        </w:tabs>
        <w:spacing w:line="360" w:lineRule="auto"/>
        <w:ind w:firstLine="420"/>
        <w:rPr>
          <w:rFonts w:hint="eastAsia" w:ascii="宋体" w:hAnsi="宋体" w:cs="宋体"/>
          <w:color w:val="0000FF"/>
          <w:kern w:val="2"/>
          <w:szCs w:val="21"/>
        </w:rPr>
      </w:pPr>
      <w:r>
        <w:rPr>
          <w:rFonts w:hint="eastAsia" w:ascii="宋体" w:hAnsi="宋体" w:cs="宋体"/>
          <w:color w:val="0000FF"/>
          <w:kern w:val="2"/>
          <w:szCs w:val="21"/>
        </w:rPr>
        <w:drawing>
          <wp:inline distT="0" distB="0" distL="114300" distR="114300">
            <wp:extent cx="5149850" cy="1337945"/>
            <wp:effectExtent l="0" t="0" r="12700" b="14605"/>
            <wp:docPr id="7" name="图片 12" descr="4ece38f1c8e0cd824ab3e2db5c4a79b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4ece38f1c8e0cd824ab3e2db5c4a79ba_"/>
                    <pic:cNvPicPr>
                      <a:picLocks noChangeAspect="1"/>
                    </pic:cNvPicPr>
                  </pic:nvPicPr>
                  <pic:blipFill>
                    <a:blip r:embed="rId20"/>
                    <a:stretch>
                      <a:fillRect/>
                    </a:stretch>
                  </pic:blipFill>
                  <pic:spPr>
                    <a:xfrm>
                      <a:off x="0" y="0"/>
                      <a:ext cx="5149850" cy="1337945"/>
                    </a:xfrm>
                    <a:prstGeom prst="rect">
                      <a:avLst/>
                    </a:prstGeom>
                    <a:noFill/>
                    <a:ln>
                      <a:noFill/>
                    </a:ln>
                  </pic:spPr>
                </pic:pic>
              </a:graphicData>
            </a:graphic>
          </wp:inline>
        </w:drawing>
      </w:r>
    </w:p>
    <w:p w14:paraId="330F04AD">
      <w:pPr>
        <w:ind w:firstLine="0" w:firstLineChars="0"/>
        <w:jc w:val="center"/>
        <w:rPr>
          <w:rFonts w:hint="eastAsia" w:ascii="宋体" w:hAnsi="宋体" w:eastAsia="宋体" w:cs="宋体"/>
          <w:sz w:val="21"/>
          <w:szCs w:val="21"/>
        </w:rPr>
      </w:pPr>
      <w:r>
        <w:rPr>
          <w:rFonts w:hint="eastAsia"/>
        </w:rPr>
        <w:t>图8 光伏逆变器通信转接线示意图</w:t>
      </w:r>
    </w:p>
    <w:p w14:paraId="07DDE3DA">
      <w:pPr>
        <w:pStyle w:val="2"/>
        <w:numPr>
          <w:ilvl w:val="0"/>
          <w:numId w:val="0"/>
        </w:numPr>
        <w:rPr>
          <w:rFonts w:hint="eastAsia" w:eastAsia="黑体"/>
          <w:lang w:eastAsia="zh-CN"/>
        </w:rPr>
      </w:pPr>
      <w:bookmarkStart w:id="708" w:name="_Toc6535"/>
      <w:bookmarkStart w:id="709" w:name="_Toc32271"/>
      <w:r>
        <w:rPr>
          <w:rFonts w:hint="eastAsia"/>
        </w:rPr>
        <w:t>附录C：光伏通信棒</w:t>
      </w:r>
      <w:bookmarkEnd w:id="708"/>
      <w:bookmarkEnd w:id="709"/>
      <w:r>
        <w:rPr>
          <w:rFonts w:hint="eastAsia"/>
          <w:lang w:eastAsia="zh-CN"/>
        </w:rPr>
        <w:t>无线扩展模块</w:t>
      </w:r>
    </w:p>
    <w:p w14:paraId="4CDB0418">
      <w:pPr>
        <w:pStyle w:val="113"/>
        <w:ind w:firstLine="420"/>
        <w:rPr>
          <w:rFonts w:hint="eastAsia" w:ascii="宋体" w:hAnsi="宋体" w:eastAsia="宋体" w:cs="宋体"/>
          <w:sz w:val="21"/>
          <w:szCs w:val="21"/>
        </w:rPr>
      </w:pPr>
      <w:r>
        <w:rPr>
          <w:rFonts w:hint="eastAsia" w:ascii="宋体" w:hAnsi="宋体" w:eastAsia="宋体" w:cs="宋体"/>
          <w:sz w:val="21"/>
          <w:szCs w:val="21"/>
        </w:rPr>
        <w:t>光伏通信棒</w:t>
      </w:r>
      <w:r>
        <w:rPr>
          <w:rFonts w:hint="eastAsia" w:ascii="宋体" w:hAnsi="宋体" w:eastAsia="宋体" w:cs="宋体"/>
          <w:sz w:val="21"/>
          <w:szCs w:val="21"/>
          <w:lang w:eastAsia="zh-CN"/>
        </w:rPr>
        <w:t>无线扩展模块</w:t>
      </w:r>
      <w:r>
        <w:rPr>
          <w:rFonts w:hint="eastAsia" w:ascii="宋体" w:hAnsi="宋体" w:eastAsia="宋体" w:cs="宋体"/>
          <w:sz w:val="21"/>
          <w:szCs w:val="21"/>
        </w:rPr>
        <w:t>外观型式应匹配各型号光伏逆变器通信接口，采用非侵入式接口设计，在不改变现有逆变器与通信棒的正常使用与防水性能、不拦截或干扰原有通信棒数据流、不影响逆变器与通信棒的透明传输，维持原有数据通信通道不变的前提下，智能识别逆变器厂家、型号，通过安全鉴权和加密的无线通信通道，实现与代理单元的数据安全传输。</w:t>
      </w:r>
    </w:p>
    <w:p w14:paraId="6C751631">
      <w:pPr>
        <w:pStyle w:val="113"/>
        <w:ind w:firstLine="420"/>
        <w:rPr>
          <w:rFonts w:hint="eastAsia" w:ascii="宋体" w:hAnsi="宋体" w:eastAsia="宋体" w:cs="宋体"/>
          <w:sz w:val="21"/>
          <w:szCs w:val="21"/>
        </w:rPr>
      </w:pPr>
      <w:r>
        <w:rPr>
          <w:rFonts w:hint="eastAsia" w:ascii="宋体" w:hAnsi="宋体" w:eastAsia="宋体" w:cs="宋体"/>
          <w:sz w:val="21"/>
          <w:szCs w:val="21"/>
        </w:rPr>
        <w:t>光伏通信棒</w:t>
      </w:r>
      <w:r>
        <w:rPr>
          <w:rFonts w:hint="eastAsia" w:ascii="宋体" w:hAnsi="宋体" w:eastAsia="宋体" w:cs="宋体"/>
          <w:sz w:val="21"/>
          <w:szCs w:val="21"/>
          <w:lang w:eastAsia="zh-CN"/>
        </w:rPr>
        <w:t>无线扩展模块</w:t>
      </w:r>
      <w:r>
        <w:rPr>
          <w:rFonts w:hint="eastAsia" w:ascii="宋体" w:hAnsi="宋体" w:eastAsia="宋体" w:cs="宋体"/>
          <w:sz w:val="21"/>
          <w:szCs w:val="21"/>
        </w:rPr>
        <w:t>应配合代理单元使用，与代理单元采用微功率无线通信，光伏通信棒</w:t>
      </w:r>
      <w:r>
        <w:rPr>
          <w:rFonts w:hint="eastAsia" w:ascii="宋体" w:hAnsi="宋体" w:eastAsia="宋体" w:cs="宋体"/>
          <w:sz w:val="21"/>
          <w:szCs w:val="21"/>
          <w:lang w:eastAsia="zh-CN"/>
        </w:rPr>
        <w:t>无线扩展模块</w:t>
      </w:r>
      <w:r>
        <w:rPr>
          <w:rFonts w:hint="eastAsia" w:ascii="宋体" w:hAnsi="宋体" w:eastAsia="宋体" w:cs="宋体"/>
          <w:sz w:val="21"/>
          <w:szCs w:val="21"/>
        </w:rPr>
        <w:t>与逆变器接口应能适合各种形式的逆变器通信棒接口并支持通信棒的接入，可根据不同的逆变器，适配对应的硬件接口，完成逆变器品牌、型号的自动识别。</w:t>
      </w:r>
    </w:p>
    <w:p w14:paraId="64862E2F">
      <w:pPr>
        <w:pStyle w:val="113"/>
        <w:ind w:firstLine="420"/>
      </w:pPr>
      <w:r>
        <w:rPr>
          <w:rFonts w:hint="eastAsia" w:ascii="宋体" w:hAnsi="宋体" w:eastAsia="宋体" w:cs="宋体"/>
          <w:sz w:val="21"/>
          <w:szCs w:val="21"/>
        </w:rPr>
        <w:t>光伏通信棒</w:t>
      </w:r>
      <w:r>
        <w:rPr>
          <w:rFonts w:hint="eastAsia" w:ascii="宋体" w:hAnsi="宋体" w:eastAsia="宋体" w:cs="宋体"/>
          <w:sz w:val="21"/>
          <w:szCs w:val="21"/>
          <w:lang w:eastAsia="zh-CN"/>
        </w:rPr>
        <w:t>无线扩展模块</w:t>
      </w:r>
      <w:r>
        <w:rPr>
          <w:rFonts w:hint="eastAsia" w:ascii="宋体" w:hAnsi="宋体" w:eastAsia="宋体" w:cs="宋体"/>
          <w:sz w:val="21"/>
          <w:szCs w:val="21"/>
        </w:rPr>
        <w:t>应设置状态指示灯和多功能按钮，方便维护。产品示意图如图</w:t>
      </w:r>
      <w:r>
        <w:rPr>
          <w:rFonts w:hint="eastAsia" w:ascii="宋体" w:hAnsi="宋体" w:eastAsia="宋体" w:cs="宋体"/>
          <w:sz w:val="21"/>
          <w:szCs w:val="21"/>
          <w:lang w:val="en-US" w:eastAsia="zh-CN"/>
        </w:rPr>
        <w:t>9</w:t>
      </w:r>
      <w:r>
        <w:rPr>
          <w:rFonts w:hint="eastAsia" w:ascii="宋体" w:hAnsi="宋体" w:eastAsia="宋体" w:cs="宋体"/>
          <w:sz w:val="21"/>
          <w:szCs w:val="21"/>
        </w:rPr>
        <w:t>所示</w:t>
      </w:r>
      <w:r>
        <w:rPr>
          <w:rFonts w:hint="eastAsia" w:ascii="宋体" w:hAnsi="宋体" w:eastAsia="宋体" w:cs="宋体"/>
          <w:sz w:val="21"/>
          <w:szCs w:val="21"/>
          <w:lang w:eastAsia="zh-CN"/>
        </w:rPr>
        <w:t>，</w:t>
      </w:r>
      <w:r>
        <w:rPr>
          <w:rFonts w:hint="eastAsia" w:ascii="宋体" w:hAnsi="宋体" w:eastAsia="宋体" w:cs="宋体"/>
          <w:sz w:val="21"/>
          <w:szCs w:val="21"/>
        </w:rPr>
        <w:t>（由供货厂家根据现场需求匹配）。</w:t>
      </w:r>
    </w:p>
    <w:p w14:paraId="2E70F654">
      <w:pPr>
        <w:pStyle w:val="113"/>
        <w:ind w:firstLine="420"/>
        <w:rPr>
          <w:rFonts w:hint="eastAsia" w:ascii="宋体" w:hAnsi="宋体" w:eastAsia="宋体" w:cs="宋体"/>
          <w:sz w:val="21"/>
          <w:szCs w:val="21"/>
        </w:rPr>
      </w:pPr>
    </w:p>
    <w:p w14:paraId="1CA8B492">
      <w:pPr>
        <w:pStyle w:val="113"/>
        <w:ind w:firstLine="420"/>
        <w:rPr>
          <w:rFonts w:hint="eastAsia" w:ascii="宋体" w:hAnsi="宋体" w:eastAsia="宋体" w:cs="宋体"/>
          <w:sz w:val="21"/>
          <w:szCs w:val="21"/>
        </w:rPr>
      </w:pPr>
    </w:p>
    <w:p w14:paraId="285AB8AC">
      <w:pPr>
        <w:ind w:firstLine="420"/>
      </w:pPr>
      <w:r>
        <w:rPr>
          <w:rFonts w:hint="eastAsia"/>
        </w:rPr>
        <w:drawing>
          <wp:inline distT="0" distB="0" distL="114300" distR="114300">
            <wp:extent cx="4566920" cy="3533775"/>
            <wp:effectExtent l="0" t="0" r="5080" b="9525"/>
            <wp:docPr id="8" name="图片 11" descr="A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A_01"/>
                    <pic:cNvPicPr>
                      <a:picLocks noChangeAspect="1"/>
                    </pic:cNvPicPr>
                  </pic:nvPicPr>
                  <pic:blipFill>
                    <a:blip r:embed="rId21"/>
                    <a:srcRect t="17468" r="28226" b="4004"/>
                    <a:stretch>
                      <a:fillRect/>
                    </a:stretch>
                  </pic:blipFill>
                  <pic:spPr>
                    <a:xfrm>
                      <a:off x="0" y="0"/>
                      <a:ext cx="4566920" cy="3533775"/>
                    </a:xfrm>
                    <a:prstGeom prst="rect">
                      <a:avLst/>
                    </a:prstGeom>
                    <a:noFill/>
                    <a:ln>
                      <a:noFill/>
                    </a:ln>
                  </pic:spPr>
                </pic:pic>
              </a:graphicData>
            </a:graphic>
          </wp:inline>
        </w:drawing>
      </w:r>
    </w:p>
    <w:p w14:paraId="2D326FF2">
      <w:pPr>
        <w:ind w:firstLine="0" w:firstLineChars="0"/>
        <w:jc w:val="center"/>
      </w:pPr>
      <w:r>
        <w:rPr>
          <w:rFonts w:hint="eastAsia"/>
        </w:rPr>
        <w:t>图9 光伏通信棒</w:t>
      </w:r>
      <w:r>
        <w:rPr>
          <w:rFonts w:hint="eastAsia"/>
          <w:lang w:eastAsia="zh-CN"/>
        </w:rPr>
        <w:t>无线扩展模块</w:t>
      </w:r>
      <w:r>
        <w:rPr>
          <w:rFonts w:hint="eastAsia"/>
        </w:rPr>
        <w:t>产品示意图</w:t>
      </w:r>
    </w:p>
    <w:p w14:paraId="2D3D9647">
      <w:pPr>
        <w:ind w:firstLine="420"/>
      </w:pPr>
    </w:p>
    <w:sectPr>
      <w:headerReference r:id="rId11" w:type="default"/>
      <w:footerReference r:id="rId12" w:type="default"/>
      <w:pgSz w:w="11906" w:h="16838"/>
      <w:pgMar w:top="1440" w:right="1486" w:bottom="1440" w:left="1600"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EU-F1">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874CC">
    <w:pPr>
      <w:pStyle w:val="22"/>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2C64">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8422D">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6375E">
    <w:pPr>
      <w:pStyle w:val="22"/>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9003D84">
                          <w:pPr>
                            <w:pStyle w:val="22"/>
                            <w:ind w:firstLine="360"/>
                          </w:pPr>
                          <w:r>
                            <w:fldChar w:fldCharType="begin"/>
                          </w:r>
                          <w:r>
                            <w:instrText xml:space="preserve"> PAGE  \* MERGEFORMAT </w:instrText>
                          </w:r>
                          <w:r>
                            <w:fldChar w:fldCharType="separate"/>
                          </w:r>
                          <w:r>
                            <w:t>31</w:t>
                          </w:r>
                          <w: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1zxLm8wBAACXAwAADgAAAAAAAAABACAAAAAiAQAAZHJz&#10;L2Uyb0RvYy54bWxQSwUGAAAAAAYABgBZAQAAYAUAAAAA&#10;">
              <v:fill on="f" focussize="0,0"/>
              <v:stroke on="f" weight="1.25pt"/>
              <v:imagedata o:title=""/>
              <o:lock v:ext="edit" aspectratio="f"/>
              <v:textbox inset="0mm,0mm,0mm,0mm" style="mso-fit-shape-to-text:t;">
                <w:txbxContent>
                  <w:p w14:paraId="49003D84">
                    <w:pPr>
                      <w:pStyle w:val="22"/>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3CFC3">
    <w:pPr>
      <w:pStyle w:val="24"/>
      <w:ind w:firstLine="360"/>
    </w:pPr>
    <w:r>
      <w:rPr>
        <w:rFonts w:hint="eastAsia"/>
        <w:lang w:eastAsia="zh-CN"/>
      </w:rPr>
      <w:t>电力开源物联版配电物联代理单元</w:t>
    </w:r>
    <w:r>
      <w:rPr>
        <w:rFonts w:hint="eastAsia"/>
      </w:rPr>
      <w:t>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20527">
    <w:pPr>
      <w:pStyle w:val="2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07994">
    <w:pPr>
      <w:pStyle w:val="2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169F7">
    <w:pPr>
      <w:pStyle w:val="24"/>
      <w:ind w:firstLine="360"/>
    </w:pPr>
    <w:r>
      <w:rPr>
        <w:rFonts w:hint="eastAsia"/>
        <w:lang w:eastAsia="zh-CN"/>
      </w:rPr>
      <w:t>电力开源物联版配电物联代理单元</w:t>
    </w:r>
    <w:r>
      <w:rPr>
        <w:rFonts w:hint="eastAsia"/>
      </w:rPr>
      <w:t>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5921F"/>
    <w:multiLevelType w:val="multilevel"/>
    <w:tmpl w:val="8995921F"/>
    <w:lvl w:ilvl="0" w:tentative="0">
      <w:start w:val="10"/>
      <w:numFmt w:val="decimal"/>
      <w:lvlText w:val="%1"/>
      <w:lvlJc w:val="left"/>
      <w:pPr>
        <w:ind w:left="0" w:firstLine="0"/>
      </w:pPr>
      <w:rPr>
        <w:rFonts w:hint="default"/>
      </w:rPr>
    </w:lvl>
    <w:lvl w:ilvl="1" w:tentative="0">
      <w:start w:val="2"/>
      <w:numFmt w:val="decimal"/>
      <w:lvlText w:val="%1.%2"/>
      <w:lvlJc w:val="left"/>
      <w:pPr>
        <w:ind w:left="0" w:firstLine="0"/>
      </w:pPr>
      <w:rPr>
        <w:rFonts w:hint="default"/>
      </w:rPr>
    </w:lvl>
    <w:lvl w:ilvl="2" w:tentative="0">
      <w:start w:val="1"/>
      <w:numFmt w:val="decimal"/>
      <w:lvlText w:val="%1.%2.%3"/>
      <w:lvlJc w:val="left"/>
      <w:pPr>
        <w:tabs>
          <w:tab w:val="left" w:pos="420"/>
        </w:tabs>
        <w:ind w:left="0" w:firstLine="0"/>
      </w:pPr>
      <w:rPr>
        <w:rFonts w:hint="default"/>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89D7F16F"/>
    <w:multiLevelType w:val="singleLevel"/>
    <w:tmpl w:val="89D7F16F"/>
    <w:lvl w:ilvl="0" w:tentative="0">
      <w:start w:val="1"/>
      <w:numFmt w:val="lowerLetter"/>
      <w:lvlText w:val="%1）"/>
      <w:lvlJc w:val="left"/>
      <w:pPr>
        <w:tabs>
          <w:tab w:val="left" w:pos="420"/>
        </w:tabs>
        <w:ind w:left="425" w:hanging="425"/>
      </w:pPr>
      <w:rPr>
        <w:rFonts w:hint="default"/>
      </w:rPr>
    </w:lvl>
  </w:abstractNum>
  <w:abstractNum w:abstractNumId="2">
    <w:nsid w:val="95A63C0B"/>
    <w:multiLevelType w:val="multilevel"/>
    <w:tmpl w:val="95A63C0B"/>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058063A"/>
    <w:multiLevelType w:val="singleLevel"/>
    <w:tmpl w:val="A058063A"/>
    <w:lvl w:ilvl="0" w:tentative="0">
      <w:start w:val="1"/>
      <w:numFmt w:val="decimal"/>
      <w:lvlText w:val="%1)"/>
      <w:lvlJc w:val="left"/>
      <w:pPr>
        <w:ind w:left="425" w:hanging="425"/>
      </w:pPr>
      <w:rPr>
        <w:rFonts w:hint="default"/>
      </w:rPr>
    </w:lvl>
  </w:abstractNum>
  <w:abstractNum w:abstractNumId="4">
    <w:nsid w:val="C3B6BE5C"/>
    <w:multiLevelType w:val="singleLevel"/>
    <w:tmpl w:val="C3B6BE5C"/>
    <w:lvl w:ilvl="0" w:tentative="0">
      <w:start w:val="1"/>
      <w:numFmt w:val="decimal"/>
      <w:lvlText w:val="%1）"/>
      <w:lvlJc w:val="left"/>
    </w:lvl>
  </w:abstractNum>
  <w:abstractNum w:abstractNumId="5">
    <w:nsid w:val="C910A517"/>
    <w:multiLevelType w:val="singleLevel"/>
    <w:tmpl w:val="C910A517"/>
    <w:lvl w:ilvl="0" w:tentative="0">
      <w:start w:val="1"/>
      <w:numFmt w:val="lowerLetter"/>
      <w:lvlText w:val="%1）"/>
      <w:lvlJc w:val="left"/>
      <w:pPr>
        <w:tabs>
          <w:tab w:val="left" w:pos="420"/>
        </w:tabs>
        <w:ind w:left="425" w:hanging="425"/>
      </w:pPr>
      <w:rPr>
        <w:rFonts w:hint="default"/>
      </w:rPr>
    </w:lvl>
  </w:abstractNum>
  <w:abstractNum w:abstractNumId="6">
    <w:nsid w:val="D3A8E644"/>
    <w:multiLevelType w:val="singleLevel"/>
    <w:tmpl w:val="D3A8E644"/>
    <w:lvl w:ilvl="0" w:tentative="0">
      <w:start w:val="1"/>
      <w:numFmt w:val="decimal"/>
      <w:lvlText w:val="%1)"/>
      <w:lvlJc w:val="left"/>
      <w:pPr>
        <w:ind w:left="425" w:hanging="425"/>
      </w:pPr>
      <w:rPr>
        <w:rFonts w:hint="default"/>
      </w:rPr>
    </w:lvl>
  </w:abstractNum>
  <w:abstractNum w:abstractNumId="7">
    <w:nsid w:val="DB5447D9"/>
    <w:multiLevelType w:val="singleLevel"/>
    <w:tmpl w:val="DB5447D9"/>
    <w:lvl w:ilvl="0" w:tentative="0">
      <w:start w:val="1"/>
      <w:numFmt w:val="lowerLetter"/>
      <w:lvlText w:val="%1）"/>
      <w:lvlJc w:val="left"/>
      <w:pPr>
        <w:tabs>
          <w:tab w:val="left" w:pos="420"/>
        </w:tabs>
        <w:ind w:left="425" w:hanging="425"/>
      </w:pPr>
      <w:rPr>
        <w:rFonts w:hint="default"/>
      </w:rPr>
    </w:lvl>
  </w:abstractNum>
  <w:abstractNum w:abstractNumId="8">
    <w:nsid w:val="DD6F9964"/>
    <w:multiLevelType w:val="singleLevel"/>
    <w:tmpl w:val="DD6F9964"/>
    <w:lvl w:ilvl="0" w:tentative="0">
      <w:start w:val="1"/>
      <w:numFmt w:val="lowerLetter"/>
      <w:lvlText w:val="%1）"/>
      <w:lvlJc w:val="left"/>
      <w:pPr>
        <w:tabs>
          <w:tab w:val="left" w:pos="840"/>
        </w:tabs>
        <w:ind w:left="845" w:hanging="425"/>
      </w:pPr>
      <w:rPr>
        <w:rFonts w:hint="default"/>
      </w:rPr>
    </w:lvl>
  </w:abstractNum>
  <w:abstractNum w:abstractNumId="9">
    <w:nsid w:val="EE6CFF56"/>
    <w:multiLevelType w:val="singleLevel"/>
    <w:tmpl w:val="EE6CFF56"/>
    <w:lvl w:ilvl="0" w:tentative="0">
      <w:start w:val="1"/>
      <w:numFmt w:val="decimal"/>
      <w:lvlText w:val="%1）"/>
      <w:lvlJc w:val="left"/>
    </w:lvl>
  </w:abstractNum>
  <w:abstractNum w:abstractNumId="10">
    <w:nsid w:val="0060BEE8"/>
    <w:multiLevelType w:val="singleLevel"/>
    <w:tmpl w:val="0060BEE8"/>
    <w:lvl w:ilvl="0" w:tentative="0">
      <w:start w:val="1"/>
      <w:numFmt w:val="lowerLetter"/>
      <w:lvlText w:val="%1）"/>
      <w:lvlJc w:val="left"/>
      <w:pPr>
        <w:tabs>
          <w:tab w:val="left" w:pos="420"/>
        </w:tabs>
        <w:ind w:left="425" w:hanging="425"/>
      </w:pPr>
      <w:rPr>
        <w:rFonts w:hint="default"/>
      </w:rPr>
    </w:lvl>
  </w:abstractNum>
  <w:abstractNum w:abstractNumId="11">
    <w:nsid w:val="0407A73F"/>
    <w:multiLevelType w:val="singleLevel"/>
    <w:tmpl w:val="0407A73F"/>
    <w:lvl w:ilvl="0" w:tentative="0">
      <w:start w:val="1"/>
      <w:numFmt w:val="decimal"/>
      <w:lvlText w:val="%1）"/>
      <w:lvlJc w:val="left"/>
    </w:lvl>
  </w:abstractNum>
  <w:abstractNum w:abstractNumId="12">
    <w:nsid w:val="079102AD"/>
    <w:multiLevelType w:val="multilevel"/>
    <w:tmpl w:val="079102AD"/>
    <w:lvl w:ilvl="0" w:tentative="0">
      <w:start w:val="1"/>
      <w:numFmt w:val="decimal"/>
      <w:pStyle w:val="10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C8E27C5"/>
    <w:multiLevelType w:val="singleLevel"/>
    <w:tmpl w:val="0C8E27C5"/>
    <w:lvl w:ilvl="0" w:tentative="0">
      <w:start w:val="1"/>
      <w:numFmt w:val="lowerLetter"/>
      <w:lvlText w:val="%1）"/>
      <w:lvlJc w:val="left"/>
      <w:pPr>
        <w:tabs>
          <w:tab w:val="left" w:pos="420"/>
        </w:tabs>
        <w:ind w:left="425" w:hanging="425"/>
      </w:pPr>
      <w:rPr>
        <w:rFonts w:hint="default"/>
      </w:rPr>
    </w:lvl>
  </w:abstractNum>
  <w:abstractNum w:abstractNumId="14">
    <w:nsid w:val="1C166305"/>
    <w:multiLevelType w:val="singleLevel"/>
    <w:tmpl w:val="1C166305"/>
    <w:lvl w:ilvl="0" w:tentative="0">
      <w:start w:val="1"/>
      <w:numFmt w:val="decimal"/>
      <w:lvlText w:val="%1）"/>
      <w:lvlJc w:val="left"/>
    </w:lvl>
  </w:abstractNum>
  <w:abstractNum w:abstractNumId="15">
    <w:nsid w:val="1E013549"/>
    <w:multiLevelType w:val="multilevel"/>
    <w:tmpl w:val="1E013549"/>
    <w:lvl w:ilvl="0" w:tentative="0">
      <w:start w:val="1"/>
      <w:numFmt w:val="decimal"/>
      <w:lvlText w:val="%1)"/>
      <w:lvlJc w:val="left"/>
      <w:pPr>
        <w:ind w:left="1155" w:hanging="420"/>
      </w:p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16">
    <w:nsid w:val="2349A250"/>
    <w:multiLevelType w:val="singleLevel"/>
    <w:tmpl w:val="2349A250"/>
    <w:lvl w:ilvl="0" w:tentative="0">
      <w:start w:val="1"/>
      <w:numFmt w:val="lowerLetter"/>
      <w:lvlText w:val="%1）"/>
      <w:lvlJc w:val="left"/>
      <w:pPr>
        <w:tabs>
          <w:tab w:val="left" w:pos="420"/>
        </w:tabs>
        <w:ind w:left="425" w:hanging="425"/>
      </w:pPr>
      <w:rPr>
        <w:rFonts w:hint="default"/>
      </w:rPr>
    </w:lvl>
  </w:abstractNum>
  <w:abstractNum w:abstractNumId="17">
    <w:nsid w:val="268F79E5"/>
    <w:multiLevelType w:val="multilevel"/>
    <w:tmpl w:val="268F79E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270709B9"/>
    <w:multiLevelType w:val="singleLevel"/>
    <w:tmpl w:val="270709B9"/>
    <w:lvl w:ilvl="0" w:tentative="0">
      <w:start w:val="1"/>
      <w:numFmt w:val="lowerLetter"/>
      <w:lvlText w:val="%1）"/>
      <w:lvlJc w:val="left"/>
      <w:pPr>
        <w:tabs>
          <w:tab w:val="left" w:pos="420"/>
        </w:tabs>
        <w:ind w:left="425" w:hanging="425"/>
      </w:pPr>
      <w:rPr>
        <w:rFonts w:hint="default"/>
      </w:rPr>
    </w:lvl>
  </w:abstractNum>
  <w:abstractNum w:abstractNumId="19">
    <w:nsid w:val="2B17A1BA"/>
    <w:multiLevelType w:val="singleLevel"/>
    <w:tmpl w:val="2B17A1BA"/>
    <w:lvl w:ilvl="0" w:tentative="0">
      <w:start w:val="1"/>
      <w:numFmt w:val="decimal"/>
      <w:lvlText w:val="%1）"/>
      <w:lvlJc w:val="left"/>
    </w:lvl>
  </w:abstractNum>
  <w:abstractNum w:abstractNumId="20">
    <w:nsid w:val="2E3EF83E"/>
    <w:multiLevelType w:val="multilevel"/>
    <w:tmpl w:val="2E3EF83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30B5124A"/>
    <w:multiLevelType w:val="singleLevel"/>
    <w:tmpl w:val="30B5124A"/>
    <w:lvl w:ilvl="0" w:tentative="0">
      <w:start w:val="1"/>
      <w:numFmt w:val="decimal"/>
      <w:lvlText w:val="%1）"/>
      <w:lvlJc w:val="left"/>
    </w:lvl>
  </w:abstractNum>
  <w:abstractNum w:abstractNumId="22">
    <w:nsid w:val="3D4E7FB1"/>
    <w:multiLevelType w:val="singleLevel"/>
    <w:tmpl w:val="3D4E7FB1"/>
    <w:lvl w:ilvl="0" w:tentative="0">
      <w:start w:val="1"/>
      <w:numFmt w:val="lowerLetter"/>
      <w:suff w:val="space"/>
      <w:lvlText w:val="%1)"/>
      <w:lvlJc w:val="left"/>
    </w:lvl>
  </w:abstractNum>
  <w:abstractNum w:abstractNumId="23">
    <w:nsid w:val="40C917F8"/>
    <w:multiLevelType w:val="multilevel"/>
    <w:tmpl w:val="40C917F8"/>
    <w:lvl w:ilvl="0" w:tentative="0">
      <w:start w:val="1"/>
      <w:numFmt w:val="decimal"/>
      <w:lvlText w:val="%1)"/>
      <w:lvlJc w:val="left"/>
      <w:pPr>
        <w:ind w:left="1155" w:hanging="420"/>
      </w:p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24">
    <w:nsid w:val="44C50F90"/>
    <w:multiLevelType w:val="multilevel"/>
    <w:tmpl w:val="44C50F90"/>
    <w:lvl w:ilvl="0" w:tentative="0">
      <w:start w:val="1"/>
      <w:numFmt w:val="lowerLetter"/>
      <w:pStyle w:val="112"/>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5">
    <w:nsid w:val="49B15EC5"/>
    <w:multiLevelType w:val="multilevel"/>
    <w:tmpl w:val="49B15EC5"/>
    <w:lvl w:ilvl="0" w:tentative="0">
      <w:start w:val="1"/>
      <w:numFmt w:val="decimal"/>
      <w:lvlText w:val="%1)"/>
      <w:lvlJc w:val="left"/>
      <w:pPr>
        <w:ind w:left="1155" w:hanging="420"/>
      </w:p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26">
    <w:nsid w:val="4E0451DB"/>
    <w:multiLevelType w:val="singleLevel"/>
    <w:tmpl w:val="4E0451DB"/>
    <w:lvl w:ilvl="0" w:tentative="0">
      <w:start w:val="1"/>
      <w:numFmt w:val="decimal"/>
      <w:lvlText w:val="%1)"/>
      <w:lvlJc w:val="left"/>
      <w:pPr>
        <w:ind w:left="425" w:hanging="425"/>
      </w:pPr>
      <w:rPr>
        <w:rFonts w:hint="default"/>
      </w:rPr>
    </w:lvl>
  </w:abstractNum>
  <w:abstractNum w:abstractNumId="27">
    <w:nsid w:val="5854B692"/>
    <w:multiLevelType w:val="singleLevel"/>
    <w:tmpl w:val="5854B692"/>
    <w:lvl w:ilvl="0" w:tentative="0">
      <w:start w:val="1"/>
      <w:numFmt w:val="lowerLetter"/>
      <w:lvlText w:val="%1）"/>
      <w:lvlJc w:val="left"/>
      <w:pPr>
        <w:tabs>
          <w:tab w:val="left" w:pos="840"/>
        </w:tabs>
        <w:ind w:left="845" w:hanging="425"/>
      </w:pPr>
      <w:rPr>
        <w:rFonts w:hint="default"/>
      </w:rPr>
    </w:lvl>
  </w:abstractNum>
  <w:abstractNum w:abstractNumId="28">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center"/>
      <w:pPr>
        <w:ind w:left="0" w:firstLine="288"/>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70F7F10"/>
    <w:multiLevelType w:val="singleLevel"/>
    <w:tmpl w:val="670F7F10"/>
    <w:lvl w:ilvl="0" w:tentative="0">
      <w:start w:val="1"/>
      <w:numFmt w:val="decimal"/>
      <w:pStyle w:val="11"/>
      <w:lvlText w:val="%1）"/>
      <w:lvlJc w:val="left"/>
    </w:lvl>
  </w:abstractNum>
  <w:abstractNum w:abstractNumId="3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1050" w:firstLine="0"/>
      </w:pPr>
      <w:rPr>
        <w:rFonts w:hint="eastAsia" w:ascii="黑体" w:hAnsi="Times New Roman" w:eastAsia="黑体"/>
        <w:b w:val="0"/>
        <w:i w:val="0"/>
        <w:sz w:val="21"/>
      </w:rPr>
    </w:lvl>
    <w:lvl w:ilvl="3" w:tentative="0">
      <w:start w:val="1"/>
      <w:numFmt w:val="decimal"/>
      <w:suff w:val="nothing"/>
      <w:lvlText w:val="%1%2.%3.%4　"/>
      <w:lvlJc w:val="left"/>
      <w:pPr>
        <w:ind w:left="993" w:firstLine="0"/>
      </w:pPr>
      <w:rPr>
        <w:rFonts w:hint="eastAsia" w:ascii="黑体" w:hAnsi="Times New Roman" w:eastAsia="黑体"/>
        <w:b w:val="0"/>
        <w:i w:val="0"/>
        <w:sz w:val="21"/>
      </w:rPr>
    </w:lvl>
    <w:lvl w:ilvl="4" w:tentative="0">
      <w:start w:val="1"/>
      <w:numFmt w:val="decimal"/>
      <w:pStyle w:val="102"/>
      <w:suff w:val="nothing"/>
      <w:lvlText w:val="%1%2.%3.%4.%5　"/>
      <w:lvlJc w:val="left"/>
      <w:pPr>
        <w:ind w:left="735"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EE92E15"/>
    <w:multiLevelType w:val="multilevel"/>
    <w:tmpl w:val="6EE92E1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70979495"/>
    <w:multiLevelType w:val="singleLevel"/>
    <w:tmpl w:val="70979495"/>
    <w:lvl w:ilvl="0" w:tentative="0">
      <w:start w:val="1"/>
      <w:numFmt w:val="lowerLetter"/>
      <w:lvlText w:val="%1）"/>
      <w:lvlJc w:val="left"/>
      <w:pPr>
        <w:tabs>
          <w:tab w:val="left" w:pos="420"/>
        </w:tabs>
        <w:ind w:left="425" w:hanging="425"/>
      </w:pPr>
      <w:rPr>
        <w:rFonts w:hint="default"/>
      </w:rPr>
    </w:lvl>
  </w:abstractNum>
  <w:abstractNum w:abstractNumId="33">
    <w:nsid w:val="758ACF6E"/>
    <w:multiLevelType w:val="singleLevel"/>
    <w:tmpl w:val="758ACF6E"/>
    <w:lvl w:ilvl="0" w:tentative="0">
      <w:start w:val="1"/>
      <w:numFmt w:val="decimal"/>
      <w:lvlText w:val="%1）"/>
      <w:lvlJc w:val="left"/>
    </w:lvl>
  </w:abstractNum>
  <w:abstractNum w:abstractNumId="34">
    <w:nsid w:val="7C92332E"/>
    <w:multiLevelType w:val="multilevel"/>
    <w:tmpl w:val="7C92332E"/>
    <w:lvl w:ilvl="0" w:tentative="0">
      <w:start w:val="1"/>
      <w:numFmt w:val="lowerLetter"/>
      <w:lvlText w:val="%1)"/>
      <w:lvlJc w:val="left"/>
      <w:pPr>
        <w:tabs>
          <w:tab w:val="left" w:pos="840"/>
        </w:tabs>
        <w:ind w:left="839" w:hanging="419"/>
      </w:pPr>
      <w:rPr>
        <w:rFonts w:hint="eastAsia" w:ascii="宋体" w:hAnsi="宋体" w:eastAsia="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rPr>
    </w:lvl>
    <w:lvl w:ilvl="2" w:tentative="0">
      <w:start w:val="1"/>
      <w:numFmt w:val="decimal"/>
      <w:lvlText w:val="(%3)"/>
      <w:lvlJc w:val="left"/>
      <w:pPr>
        <w:tabs>
          <w:tab w:val="left" w:pos="0"/>
        </w:tabs>
        <w:ind w:left="1679" w:hanging="420"/>
      </w:pPr>
      <w:rPr>
        <w:rFonts w:hint="eastAsia" w:ascii="宋体" w:hAnsi="宋体" w:eastAsia="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rPr>
    </w:lvl>
    <w:lvl w:ilvl="4" w:tentative="0">
      <w:start w:val="1"/>
      <w:numFmt w:val="lowerLetter"/>
      <w:lvlText w:val="%5)"/>
      <w:lvlJc w:val="left"/>
      <w:pPr>
        <w:tabs>
          <w:tab w:val="left" w:pos="2520"/>
        </w:tabs>
        <w:ind w:left="2519" w:hanging="419"/>
      </w:pPr>
      <w:rPr>
        <w:rFonts w:hint="eastAsia" w:ascii="宋体" w:hAnsi="宋体" w:eastAsia="宋体"/>
      </w:rPr>
    </w:lvl>
    <w:lvl w:ilvl="5" w:tentative="0">
      <w:start w:val="1"/>
      <w:numFmt w:val="lowerRoman"/>
      <w:lvlText w:val="%6."/>
      <w:lvlJc w:val="right"/>
      <w:pPr>
        <w:tabs>
          <w:tab w:val="left" w:pos="2940"/>
        </w:tabs>
        <w:ind w:left="2939" w:hanging="419"/>
      </w:pPr>
      <w:rPr>
        <w:rFonts w:hint="eastAsia" w:ascii="宋体" w:hAnsi="宋体" w:eastAsia="宋体"/>
      </w:rPr>
    </w:lvl>
    <w:lvl w:ilvl="6" w:tentative="0">
      <w:start w:val="1"/>
      <w:numFmt w:val="decimal"/>
      <w:lvlText w:val="%7."/>
      <w:lvlJc w:val="left"/>
      <w:pPr>
        <w:tabs>
          <w:tab w:val="left" w:pos="3360"/>
        </w:tabs>
        <w:ind w:left="3359" w:hanging="419"/>
      </w:pPr>
      <w:rPr>
        <w:rFonts w:hint="eastAsia" w:ascii="宋体" w:hAnsi="宋体" w:eastAsia="宋体"/>
      </w:rPr>
    </w:lvl>
    <w:lvl w:ilvl="7" w:tentative="0">
      <w:start w:val="1"/>
      <w:numFmt w:val="lowerLetter"/>
      <w:lvlText w:val="%8)"/>
      <w:lvlJc w:val="left"/>
      <w:pPr>
        <w:tabs>
          <w:tab w:val="left" w:pos="3780"/>
        </w:tabs>
        <w:ind w:left="3779" w:hanging="419"/>
      </w:pPr>
      <w:rPr>
        <w:rFonts w:hint="eastAsia" w:ascii="宋体" w:hAnsi="宋体" w:eastAsia="宋体"/>
      </w:rPr>
    </w:lvl>
    <w:lvl w:ilvl="8" w:tentative="0">
      <w:start w:val="1"/>
      <w:numFmt w:val="lowerRoman"/>
      <w:lvlText w:val="%9."/>
      <w:lvlJc w:val="right"/>
      <w:pPr>
        <w:tabs>
          <w:tab w:val="left" w:pos="4200"/>
        </w:tabs>
        <w:ind w:left="4199" w:hanging="419"/>
      </w:pPr>
      <w:rPr>
        <w:rFonts w:hint="eastAsia" w:ascii="宋体" w:hAnsi="宋体" w:eastAsia="宋体"/>
      </w:rPr>
    </w:lvl>
  </w:abstractNum>
  <w:abstractNum w:abstractNumId="35">
    <w:nsid w:val="7D4E627A"/>
    <w:multiLevelType w:val="singleLevel"/>
    <w:tmpl w:val="7D4E627A"/>
    <w:lvl w:ilvl="0" w:tentative="0">
      <w:start w:val="1"/>
      <w:numFmt w:val="decimal"/>
      <w:lvlText w:val="%1）"/>
      <w:lvlJc w:val="left"/>
    </w:lvl>
  </w:abstractNum>
  <w:abstractNum w:abstractNumId="36">
    <w:nsid w:val="7DB4238E"/>
    <w:multiLevelType w:val="multilevel"/>
    <w:tmpl w:val="7DB4238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29"/>
  </w:num>
  <w:num w:numId="3">
    <w:abstractNumId w:val="30"/>
  </w:num>
  <w:num w:numId="4">
    <w:abstractNumId w:val="12"/>
  </w:num>
  <w:num w:numId="5">
    <w:abstractNumId w:val="28"/>
  </w:num>
  <w:num w:numId="6">
    <w:abstractNumId w:val="24"/>
  </w:num>
  <w:num w:numId="7">
    <w:abstractNumId w:val="20"/>
  </w:num>
  <w:num w:numId="8">
    <w:abstractNumId w:val="23"/>
  </w:num>
  <w:num w:numId="9">
    <w:abstractNumId w:val="25"/>
  </w:num>
  <w:num w:numId="10">
    <w:abstractNumId w:val="15"/>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3"/>
  </w:num>
  <w:num w:numId="15">
    <w:abstractNumId w:val="16"/>
  </w:num>
  <w:num w:numId="16">
    <w:abstractNumId w:val="10"/>
  </w:num>
  <w:num w:numId="17">
    <w:abstractNumId w:val="18"/>
  </w:num>
  <w:num w:numId="18">
    <w:abstractNumId w:val="1"/>
  </w:num>
  <w:num w:numId="19">
    <w:abstractNumId w:val="7"/>
  </w:num>
  <w:num w:numId="20">
    <w:abstractNumId w:val="32"/>
  </w:num>
  <w:num w:numId="21">
    <w:abstractNumId w:val="5"/>
  </w:num>
  <w:num w:numId="22">
    <w:abstractNumId w:val="11"/>
  </w:num>
  <w:num w:numId="23">
    <w:abstractNumId w:val="14"/>
  </w:num>
  <w:num w:numId="24">
    <w:abstractNumId w:val="22"/>
  </w:num>
  <w:num w:numId="25">
    <w:abstractNumId w:val="9"/>
  </w:num>
  <w:num w:numId="26">
    <w:abstractNumId w:val="19"/>
  </w:num>
  <w:num w:numId="27">
    <w:abstractNumId w:val="21"/>
  </w:num>
  <w:num w:numId="28">
    <w:abstractNumId w:val="8"/>
  </w:num>
  <w:num w:numId="29">
    <w:abstractNumId w:val="27"/>
  </w:num>
  <w:num w:numId="30">
    <w:abstractNumId w:val="35"/>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26"/>
  </w:num>
  <w:num w:numId="35">
    <w:abstractNumId w:val="31"/>
  </w:num>
  <w:num w:numId="36">
    <w:abstractNumId w:val="17"/>
  </w:num>
  <w:num w:numId="37">
    <w:abstractNumId w:val="0"/>
  </w:num>
  <w:num w:numId="38">
    <w:abstractNumId w:val="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yODk4YTVjNDM5ZWY4YWMxMjQyMDNjNTVmNGRiNTkifQ=="/>
  </w:docVars>
  <w:rsids>
    <w:rsidRoot w:val="00172A27"/>
    <w:rsid w:val="000001E0"/>
    <w:rsid w:val="00000B38"/>
    <w:rsid w:val="00002909"/>
    <w:rsid w:val="00007AAB"/>
    <w:rsid w:val="00007F79"/>
    <w:rsid w:val="00011290"/>
    <w:rsid w:val="00016258"/>
    <w:rsid w:val="00020B24"/>
    <w:rsid w:val="00021A1B"/>
    <w:rsid w:val="00022215"/>
    <w:rsid w:val="00027B73"/>
    <w:rsid w:val="00027E5F"/>
    <w:rsid w:val="00033120"/>
    <w:rsid w:val="00033523"/>
    <w:rsid w:val="0004193A"/>
    <w:rsid w:val="0004319D"/>
    <w:rsid w:val="00043C8B"/>
    <w:rsid w:val="00051818"/>
    <w:rsid w:val="00053902"/>
    <w:rsid w:val="0005391C"/>
    <w:rsid w:val="000576FF"/>
    <w:rsid w:val="00057BC0"/>
    <w:rsid w:val="0006512D"/>
    <w:rsid w:val="000665BD"/>
    <w:rsid w:val="00072E24"/>
    <w:rsid w:val="00074893"/>
    <w:rsid w:val="00076251"/>
    <w:rsid w:val="000778EC"/>
    <w:rsid w:val="00080747"/>
    <w:rsid w:val="0008411E"/>
    <w:rsid w:val="00084ABE"/>
    <w:rsid w:val="00084B15"/>
    <w:rsid w:val="0008575A"/>
    <w:rsid w:val="00085BCD"/>
    <w:rsid w:val="0008655D"/>
    <w:rsid w:val="00086923"/>
    <w:rsid w:val="0008736C"/>
    <w:rsid w:val="0008740F"/>
    <w:rsid w:val="00091747"/>
    <w:rsid w:val="0009403D"/>
    <w:rsid w:val="000967E6"/>
    <w:rsid w:val="000A6D34"/>
    <w:rsid w:val="000B2EDC"/>
    <w:rsid w:val="000C3E0D"/>
    <w:rsid w:val="000C7F7E"/>
    <w:rsid w:val="000D2613"/>
    <w:rsid w:val="000E0C0A"/>
    <w:rsid w:val="000E190E"/>
    <w:rsid w:val="000E1F6E"/>
    <w:rsid w:val="000E330E"/>
    <w:rsid w:val="000E4C02"/>
    <w:rsid w:val="000F1711"/>
    <w:rsid w:val="000F28E4"/>
    <w:rsid w:val="000F29DA"/>
    <w:rsid w:val="000F62E4"/>
    <w:rsid w:val="0010401C"/>
    <w:rsid w:val="00105EF1"/>
    <w:rsid w:val="001077B5"/>
    <w:rsid w:val="00111D84"/>
    <w:rsid w:val="00113233"/>
    <w:rsid w:val="00115FFF"/>
    <w:rsid w:val="001178BA"/>
    <w:rsid w:val="00120A2C"/>
    <w:rsid w:val="00123604"/>
    <w:rsid w:val="001248E6"/>
    <w:rsid w:val="00127980"/>
    <w:rsid w:val="00131182"/>
    <w:rsid w:val="00131B60"/>
    <w:rsid w:val="00133531"/>
    <w:rsid w:val="00134EE9"/>
    <w:rsid w:val="00136AC3"/>
    <w:rsid w:val="001372C3"/>
    <w:rsid w:val="00142173"/>
    <w:rsid w:val="00143617"/>
    <w:rsid w:val="00145133"/>
    <w:rsid w:val="00146C35"/>
    <w:rsid w:val="00147964"/>
    <w:rsid w:val="001644B5"/>
    <w:rsid w:val="00165BFA"/>
    <w:rsid w:val="001722FA"/>
    <w:rsid w:val="00172A27"/>
    <w:rsid w:val="00173B88"/>
    <w:rsid w:val="00174740"/>
    <w:rsid w:val="0017564F"/>
    <w:rsid w:val="00182270"/>
    <w:rsid w:val="00185CEB"/>
    <w:rsid w:val="00186853"/>
    <w:rsid w:val="00187A87"/>
    <w:rsid w:val="001918E1"/>
    <w:rsid w:val="001A1FAD"/>
    <w:rsid w:val="001A2F61"/>
    <w:rsid w:val="001A3AB4"/>
    <w:rsid w:val="001A65BE"/>
    <w:rsid w:val="001A6803"/>
    <w:rsid w:val="001B18A8"/>
    <w:rsid w:val="001B2D0A"/>
    <w:rsid w:val="001B589F"/>
    <w:rsid w:val="001B5F58"/>
    <w:rsid w:val="001B7A31"/>
    <w:rsid w:val="001C172F"/>
    <w:rsid w:val="001C4DFC"/>
    <w:rsid w:val="001D57F4"/>
    <w:rsid w:val="001D5FFC"/>
    <w:rsid w:val="001D6AB4"/>
    <w:rsid w:val="001E01E6"/>
    <w:rsid w:val="001E04BA"/>
    <w:rsid w:val="001E0855"/>
    <w:rsid w:val="001E0F54"/>
    <w:rsid w:val="001E6692"/>
    <w:rsid w:val="001F73DB"/>
    <w:rsid w:val="00200A3F"/>
    <w:rsid w:val="0020309A"/>
    <w:rsid w:val="00203235"/>
    <w:rsid w:val="00205D95"/>
    <w:rsid w:val="0020638B"/>
    <w:rsid w:val="002077BC"/>
    <w:rsid w:val="00207E78"/>
    <w:rsid w:val="0021084B"/>
    <w:rsid w:val="00211AC4"/>
    <w:rsid w:val="002125D9"/>
    <w:rsid w:val="0021666F"/>
    <w:rsid w:val="002170F0"/>
    <w:rsid w:val="00217CD4"/>
    <w:rsid w:val="0022322F"/>
    <w:rsid w:val="00225155"/>
    <w:rsid w:val="00230EA1"/>
    <w:rsid w:val="00232148"/>
    <w:rsid w:val="0023578E"/>
    <w:rsid w:val="0023746D"/>
    <w:rsid w:val="00240181"/>
    <w:rsid w:val="00245029"/>
    <w:rsid w:val="002512A0"/>
    <w:rsid w:val="00257026"/>
    <w:rsid w:val="00260027"/>
    <w:rsid w:val="00261F96"/>
    <w:rsid w:val="0026398D"/>
    <w:rsid w:val="0026524A"/>
    <w:rsid w:val="00265B4A"/>
    <w:rsid w:val="00267EE2"/>
    <w:rsid w:val="00277904"/>
    <w:rsid w:val="0028083F"/>
    <w:rsid w:val="00284DC8"/>
    <w:rsid w:val="0028716A"/>
    <w:rsid w:val="00290027"/>
    <w:rsid w:val="00291462"/>
    <w:rsid w:val="00293EC3"/>
    <w:rsid w:val="002969EE"/>
    <w:rsid w:val="00297BC0"/>
    <w:rsid w:val="00297F98"/>
    <w:rsid w:val="002A0274"/>
    <w:rsid w:val="002A0D86"/>
    <w:rsid w:val="002A2301"/>
    <w:rsid w:val="002A3DB8"/>
    <w:rsid w:val="002A593C"/>
    <w:rsid w:val="002A687E"/>
    <w:rsid w:val="002B1627"/>
    <w:rsid w:val="002B6189"/>
    <w:rsid w:val="002C4F33"/>
    <w:rsid w:val="002C6F16"/>
    <w:rsid w:val="002C7176"/>
    <w:rsid w:val="002D2E07"/>
    <w:rsid w:val="002E22A6"/>
    <w:rsid w:val="002E3136"/>
    <w:rsid w:val="002E48BF"/>
    <w:rsid w:val="002E6EB3"/>
    <w:rsid w:val="002F1088"/>
    <w:rsid w:val="002F1D30"/>
    <w:rsid w:val="002F1DD4"/>
    <w:rsid w:val="002F25BD"/>
    <w:rsid w:val="002F3BAD"/>
    <w:rsid w:val="002F5CED"/>
    <w:rsid w:val="00302CB4"/>
    <w:rsid w:val="003036A2"/>
    <w:rsid w:val="0030490E"/>
    <w:rsid w:val="00305E05"/>
    <w:rsid w:val="0031011C"/>
    <w:rsid w:val="0031127C"/>
    <w:rsid w:val="00311285"/>
    <w:rsid w:val="00313FAD"/>
    <w:rsid w:val="00314D8F"/>
    <w:rsid w:val="00322B0A"/>
    <w:rsid w:val="00324D1F"/>
    <w:rsid w:val="00325102"/>
    <w:rsid w:val="0032516E"/>
    <w:rsid w:val="0032560D"/>
    <w:rsid w:val="00327461"/>
    <w:rsid w:val="003336C7"/>
    <w:rsid w:val="00335F13"/>
    <w:rsid w:val="00336D84"/>
    <w:rsid w:val="003429D0"/>
    <w:rsid w:val="003441F0"/>
    <w:rsid w:val="003442B3"/>
    <w:rsid w:val="00345DEE"/>
    <w:rsid w:val="00352BEC"/>
    <w:rsid w:val="00352E75"/>
    <w:rsid w:val="00354084"/>
    <w:rsid w:val="00354F11"/>
    <w:rsid w:val="00355E41"/>
    <w:rsid w:val="003572D2"/>
    <w:rsid w:val="00365114"/>
    <w:rsid w:val="003652AC"/>
    <w:rsid w:val="003656E9"/>
    <w:rsid w:val="00365B15"/>
    <w:rsid w:val="00371CB0"/>
    <w:rsid w:val="00371FE5"/>
    <w:rsid w:val="0037737F"/>
    <w:rsid w:val="0037773C"/>
    <w:rsid w:val="0037784B"/>
    <w:rsid w:val="0038048D"/>
    <w:rsid w:val="00382B7D"/>
    <w:rsid w:val="00382FED"/>
    <w:rsid w:val="003840FC"/>
    <w:rsid w:val="00385008"/>
    <w:rsid w:val="00385544"/>
    <w:rsid w:val="00387AB5"/>
    <w:rsid w:val="00397046"/>
    <w:rsid w:val="003A23DF"/>
    <w:rsid w:val="003A7B5C"/>
    <w:rsid w:val="003B08AA"/>
    <w:rsid w:val="003B2214"/>
    <w:rsid w:val="003B23D7"/>
    <w:rsid w:val="003B3F51"/>
    <w:rsid w:val="003B72B7"/>
    <w:rsid w:val="003C08F5"/>
    <w:rsid w:val="003C1BC4"/>
    <w:rsid w:val="003C44B0"/>
    <w:rsid w:val="003C5470"/>
    <w:rsid w:val="003C6A80"/>
    <w:rsid w:val="003D1F1A"/>
    <w:rsid w:val="003D2372"/>
    <w:rsid w:val="003D2738"/>
    <w:rsid w:val="003D477B"/>
    <w:rsid w:val="003D4852"/>
    <w:rsid w:val="003E1B2F"/>
    <w:rsid w:val="003E3278"/>
    <w:rsid w:val="003E37DC"/>
    <w:rsid w:val="003E3C5A"/>
    <w:rsid w:val="003E501D"/>
    <w:rsid w:val="003E756E"/>
    <w:rsid w:val="003F5C55"/>
    <w:rsid w:val="003F7A68"/>
    <w:rsid w:val="00400FCE"/>
    <w:rsid w:val="0040111F"/>
    <w:rsid w:val="00401CEF"/>
    <w:rsid w:val="004052C8"/>
    <w:rsid w:val="004052F0"/>
    <w:rsid w:val="004055AF"/>
    <w:rsid w:val="0040678B"/>
    <w:rsid w:val="0040687B"/>
    <w:rsid w:val="00407AEA"/>
    <w:rsid w:val="0041409C"/>
    <w:rsid w:val="00416312"/>
    <w:rsid w:val="00424C1F"/>
    <w:rsid w:val="0043572F"/>
    <w:rsid w:val="00436284"/>
    <w:rsid w:val="00445423"/>
    <w:rsid w:val="004459CB"/>
    <w:rsid w:val="00452CBE"/>
    <w:rsid w:val="00454C09"/>
    <w:rsid w:val="004550B8"/>
    <w:rsid w:val="004675F5"/>
    <w:rsid w:val="0047136C"/>
    <w:rsid w:val="00474B6D"/>
    <w:rsid w:val="0047754C"/>
    <w:rsid w:val="004809DE"/>
    <w:rsid w:val="004820F4"/>
    <w:rsid w:val="004827CA"/>
    <w:rsid w:val="0048776F"/>
    <w:rsid w:val="00491465"/>
    <w:rsid w:val="00492D6D"/>
    <w:rsid w:val="00493951"/>
    <w:rsid w:val="00495AF3"/>
    <w:rsid w:val="004B0A02"/>
    <w:rsid w:val="004B6802"/>
    <w:rsid w:val="004B7AA8"/>
    <w:rsid w:val="004C20FB"/>
    <w:rsid w:val="004C58F4"/>
    <w:rsid w:val="004D02E5"/>
    <w:rsid w:val="004D434D"/>
    <w:rsid w:val="004E09B4"/>
    <w:rsid w:val="004E33B7"/>
    <w:rsid w:val="004E5511"/>
    <w:rsid w:val="004E695C"/>
    <w:rsid w:val="004F05F3"/>
    <w:rsid w:val="004F1633"/>
    <w:rsid w:val="004F3C5C"/>
    <w:rsid w:val="004F410F"/>
    <w:rsid w:val="004F4DEB"/>
    <w:rsid w:val="004F70D8"/>
    <w:rsid w:val="005023F7"/>
    <w:rsid w:val="00502463"/>
    <w:rsid w:val="005028E4"/>
    <w:rsid w:val="005041F1"/>
    <w:rsid w:val="00505D33"/>
    <w:rsid w:val="005077FC"/>
    <w:rsid w:val="0051059E"/>
    <w:rsid w:val="00511A01"/>
    <w:rsid w:val="005122C6"/>
    <w:rsid w:val="005126D6"/>
    <w:rsid w:val="00515E53"/>
    <w:rsid w:val="005165BC"/>
    <w:rsid w:val="0052718F"/>
    <w:rsid w:val="00531747"/>
    <w:rsid w:val="005359D2"/>
    <w:rsid w:val="005404E4"/>
    <w:rsid w:val="005425E3"/>
    <w:rsid w:val="00542679"/>
    <w:rsid w:val="00544408"/>
    <w:rsid w:val="00544625"/>
    <w:rsid w:val="00546388"/>
    <w:rsid w:val="0055129B"/>
    <w:rsid w:val="00553277"/>
    <w:rsid w:val="00553568"/>
    <w:rsid w:val="00557232"/>
    <w:rsid w:val="005628C6"/>
    <w:rsid w:val="0056471F"/>
    <w:rsid w:val="00566732"/>
    <w:rsid w:val="005677FF"/>
    <w:rsid w:val="00571BBA"/>
    <w:rsid w:val="00573CD4"/>
    <w:rsid w:val="00577549"/>
    <w:rsid w:val="0058039A"/>
    <w:rsid w:val="00581078"/>
    <w:rsid w:val="005828B7"/>
    <w:rsid w:val="005843E4"/>
    <w:rsid w:val="005868A6"/>
    <w:rsid w:val="00593A66"/>
    <w:rsid w:val="0059578B"/>
    <w:rsid w:val="00596AEC"/>
    <w:rsid w:val="005A0CDA"/>
    <w:rsid w:val="005A1245"/>
    <w:rsid w:val="005A6918"/>
    <w:rsid w:val="005A77B7"/>
    <w:rsid w:val="005B0766"/>
    <w:rsid w:val="005B3753"/>
    <w:rsid w:val="005C21F0"/>
    <w:rsid w:val="005C36EB"/>
    <w:rsid w:val="005C6C8F"/>
    <w:rsid w:val="005D1948"/>
    <w:rsid w:val="005D1C28"/>
    <w:rsid w:val="005D27F4"/>
    <w:rsid w:val="005D5311"/>
    <w:rsid w:val="005D6CB1"/>
    <w:rsid w:val="005E20C8"/>
    <w:rsid w:val="005E2180"/>
    <w:rsid w:val="005E33ED"/>
    <w:rsid w:val="005E3EAB"/>
    <w:rsid w:val="005F48CB"/>
    <w:rsid w:val="006004A5"/>
    <w:rsid w:val="00606931"/>
    <w:rsid w:val="0060756E"/>
    <w:rsid w:val="0061350E"/>
    <w:rsid w:val="006148DF"/>
    <w:rsid w:val="0061617F"/>
    <w:rsid w:val="006168ED"/>
    <w:rsid w:val="00620947"/>
    <w:rsid w:val="00620C84"/>
    <w:rsid w:val="006233EE"/>
    <w:rsid w:val="006249E1"/>
    <w:rsid w:val="00624B0A"/>
    <w:rsid w:val="00626951"/>
    <w:rsid w:val="00627DB1"/>
    <w:rsid w:val="00630611"/>
    <w:rsid w:val="0063193A"/>
    <w:rsid w:val="006326D0"/>
    <w:rsid w:val="00633ACD"/>
    <w:rsid w:val="00635BA8"/>
    <w:rsid w:val="00641952"/>
    <w:rsid w:val="00645F6D"/>
    <w:rsid w:val="006478DD"/>
    <w:rsid w:val="00650181"/>
    <w:rsid w:val="0065200B"/>
    <w:rsid w:val="0065611C"/>
    <w:rsid w:val="00657933"/>
    <w:rsid w:val="00660D42"/>
    <w:rsid w:val="00660F61"/>
    <w:rsid w:val="00666359"/>
    <w:rsid w:val="00674094"/>
    <w:rsid w:val="00676249"/>
    <w:rsid w:val="0068094C"/>
    <w:rsid w:val="00681A43"/>
    <w:rsid w:val="006840A1"/>
    <w:rsid w:val="00684B3A"/>
    <w:rsid w:val="006850E5"/>
    <w:rsid w:val="00685641"/>
    <w:rsid w:val="0068621D"/>
    <w:rsid w:val="00687ECD"/>
    <w:rsid w:val="00691FF5"/>
    <w:rsid w:val="00694BDA"/>
    <w:rsid w:val="006A4814"/>
    <w:rsid w:val="006A6CDF"/>
    <w:rsid w:val="006A771C"/>
    <w:rsid w:val="006B3EC5"/>
    <w:rsid w:val="006B4F56"/>
    <w:rsid w:val="006B68E1"/>
    <w:rsid w:val="006B6F6D"/>
    <w:rsid w:val="006B7862"/>
    <w:rsid w:val="006C0C77"/>
    <w:rsid w:val="006C2079"/>
    <w:rsid w:val="006C2292"/>
    <w:rsid w:val="006C4BE2"/>
    <w:rsid w:val="006C7E88"/>
    <w:rsid w:val="006D34B7"/>
    <w:rsid w:val="006D6279"/>
    <w:rsid w:val="006E0C33"/>
    <w:rsid w:val="006E231A"/>
    <w:rsid w:val="006E2FD2"/>
    <w:rsid w:val="006E4490"/>
    <w:rsid w:val="006E498C"/>
    <w:rsid w:val="006E4BB0"/>
    <w:rsid w:val="006E5F80"/>
    <w:rsid w:val="006E6B68"/>
    <w:rsid w:val="006F070A"/>
    <w:rsid w:val="006F210E"/>
    <w:rsid w:val="006F2891"/>
    <w:rsid w:val="006F742B"/>
    <w:rsid w:val="00703699"/>
    <w:rsid w:val="00707691"/>
    <w:rsid w:val="00710548"/>
    <w:rsid w:val="00710B0D"/>
    <w:rsid w:val="007110BA"/>
    <w:rsid w:val="00717413"/>
    <w:rsid w:val="00720AFA"/>
    <w:rsid w:val="007228C5"/>
    <w:rsid w:val="00722DFC"/>
    <w:rsid w:val="007251CE"/>
    <w:rsid w:val="00726446"/>
    <w:rsid w:val="007304F9"/>
    <w:rsid w:val="00730D22"/>
    <w:rsid w:val="007330A9"/>
    <w:rsid w:val="007365BA"/>
    <w:rsid w:val="00736D97"/>
    <w:rsid w:val="00742AC0"/>
    <w:rsid w:val="00745650"/>
    <w:rsid w:val="007471B3"/>
    <w:rsid w:val="0075125C"/>
    <w:rsid w:val="00753726"/>
    <w:rsid w:val="00760067"/>
    <w:rsid w:val="00760A1A"/>
    <w:rsid w:val="007622F1"/>
    <w:rsid w:val="00765223"/>
    <w:rsid w:val="00773129"/>
    <w:rsid w:val="007733F5"/>
    <w:rsid w:val="00775441"/>
    <w:rsid w:val="007800CB"/>
    <w:rsid w:val="00781400"/>
    <w:rsid w:val="00784C49"/>
    <w:rsid w:val="00785C60"/>
    <w:rsid w:val="00786C9A"/>
    <w:rsid w:val="00787359"/>
    <w:rsid w:val="007916B7"/>
    <w:rsid w:val="0079510C"/>
    <w:rsid w:val="007A3AFE"/>
    <w:rsid w:val="007A5359"/>
    <w:rsid w:val="007A597A"/>
    <w:rsid w:val="007A5BF4"/>
    <w:rsid w:val="007A686F"/>
    <w:rsid w:val="007A7462"/>
    <w:rsid w:val="007A7EB5"/>
    <w:rsid w:val="007B191D"/>
    <w:rsid w:val="007B1DE0"/>
    <w:rsid w:val="007B3185"/>
    <w:rsid w:val="007B48B0"/>
    <w:rsid w:val="007B52D9"/>
    <w:rsid w:val="007B5B99"/>
    <w:rsid w:val="007B5C67"/>
    <w:rsid w:val="007C4F67"/>
    <w:rsid w:val="007C6624"/>
    <w:rsid w:val="007D0348"/>
    <w:rsid w:val="007D09DE"/>
    <w:rsid w:val="007D1FEB"/>
    <w:rsid w:val="007D20A6"/>
    <w:rsid w:val="007D542C"/>
    <w:rsid w:val="007D5C9D"/>
    <w:rsid w:val="007D6975"/>
    <w:rsid w:val="007D7E53"/>
    <w:rsid w:val="007E2DA8"/>
    <w:rsid w:val="007E4B38"/>
    <w:rsid w:val="007E4D3E"/>
    <w:rsid w:val="007F0E62"/>
    <w:rsid w:val="00800437"/>
    <w:rsid w:val="00800AFB"/>
    <w:rsid w:val="00800F0D"/>
    <w:rsid w:val="008039DF"/>
    <w:rsid w:val="008041A7"/>
    <w:rsid w:val="0080449E"/>
    <w:rsid w:val="00810C04"/>
    <w:rsid w:val="00822CCC"/>
    <w:rsid w:val="00823218"/>
    <w:rsid w:val="0082737F"/>
    <w:rsid w:val="008334E5"/>
    <w:rsid w:val="00834BEF"/>
    <w:rsid w:val="008433BF"/>
    <w:rsid w:val="00844821"/>
    <w:rsid w:val="0084573D"/>
    <w:rsid w:val="00846E13"/>
    <w:rsid w:val="00846EEC"/>
    <w:rsid w:val="0085008E"/>
    <w:rsid w:val="00850686"/>
    <w:rsid w:val="00851222"/>
    <w:rsid w:val="0085152B"/>
    <w:rsid w:val="00852927"/>
    <w:rsid w:val="008544D8"/>
    <w:rsid w:val="00860A25"/>
    <w:rsid w:val="008632D1"/>
    <w:rsid w:val="008636B8"/>
    <w:rsid w:val="00863A02"/>
    <w:rsid w:val="00864480"/>
    <w:rsid w:val="008649EA"/>
    <w:rsid w:val="00875830"/>
    <w:rsid w:val="00881084"/>
    <w:rsid w:val="00881E5B"/>
    <w:rsid w:val="00882103"/>
    <w:rsid w:val="008829C9"/>
    <w:rsid w:val="00883086"/>
    <w:rsid w:val="008875F5"/>
    <w:rsid w:val="00887641"/>
    <w:rsid w:val="008901A2"/>
    <w:rsid w:val="00891EA1"/>
    <w:rsid w:val="008956FA"/>
    <w:rsid w:val="008A102A"/>
    <w:rsid w:val="008A7637"/>
    <w:rsid w:val="008B316B"/>
    <w:rsid w:val="008B77E6"/>
    <w:rsid w:val="008C1145"/>
    <w:rsid w:val="008C2089"/>
    <w:rsid w:val="008C2FFB"/>
    <w:rsid w:val="008C6D72"/>
    <w:rsid w:val="008C7922"/>
    <w:rsid w:val="008D2ACC"/>
    <w:rsid w:val="008D4EA1"/>
    <w:rsid w:val="008D572B"/>
    <w:rsid w:val="008E43FE"/>
    <w:rsid w:val="008E4991"/>
    <w:rsid w:val="008E51E8"/>
    <w:rsid w:val="008F5D88"/>
    <w:rsid w:val="008F7C16"/>
    <w:rsid w:val="009002B3"/>
    <w:rsid w:val="00900538"/>
    <w:rsid w:val="00901BE1"/>
    <w:rsid w:val="00903171"/>
    <w:rsid w:val="009039BD"/>
    <w:rsid w:val="009045DF"/>
    <w:rsid w:val="00905F8D"/>
    <w:rsid w:val="00913E34"/>
    <w:rsid w:val="009155DB"/>
    <w:rsid w:val="009164E6"/>
    <w:rsid w:val="0091712E"/>
    <w:rsid w:val="00917AA8"/>
    <w:rsid w:val="0092006D"/>
    <w:rsid w:val="00920960"/>
    <w:rsid w:val="00920A15"/>
    <w:rsid w:val="00920CD1"/>
    <w:rsid w:val="00923114"/>
    <w:rsid w:val="00924741"/>
    <w:rsid w:val="00930D09"/>
    <w:rsid w:val="00932DA0"/>
    <w:rsid w:val="00933876"/>
    <w:rsid w:val="009343A8"/>
    <w:rsid w:val="0093502C"/>
    <w:rsid w:val="00937FB3"/>
    <w:rsid w:val="009413C2"/>
    <w:rsid w:val="009436F1"/>
    <w:rsid w:val="00950F38"/>
    <w:rsid w:val="0096115B"/>
    <w:rsid w:val="0096205A"/>
    <w:rsid w:val="00963E04"/>
    <w:rsid w:val="009646E5"/>
    <w:rsid w:val="00965F31"/>
    <w:rsid w:val="009667A2"/>
    <w:rsid w:val="00975F56"/>
    <w:rsid w:val="0098495B"/>
    <w:rsid w:val="00986917"/>
    <w:rsid w:val="00990E5F"/>
    <w:rsid w:val="009A3001"/>
    <w:rsid w:val="009A6365"/>
    <w:rsid w:val="009A6E6F"/>
    <w:rsid w:val="009B0CDA"/>
    <w:rsid w:val="009B1DC3"/>
    <w:rsid w:val="009B1E49"/>
    <w:rsid w:val="009B31D4"/>
    <w:rsid w:val="009B34C3"/>
    <w:rsid w:val="009B5193"/>
    <w:rsid w:val="009B6DDF"/>
    <w:rsid w:val="009C1F50"/>
    <w:rsid w:val="009C2237"/>
    <w:rsid w:val="009D092C"/>
    <w:rsid w:val="009D32AE"/>
    <w:rsid w:val="009D470E"/>
    <w:rsid w:val="009D63FE"/>
    <w:rsid w:val="009D6A97"/>
    <w:rsid w:val="009E070A"/>
    <w:rsid w:val="009E41C4"/>
    <w:rsid w:val="009E7E19"/>
    <w:rsid w:val="009F0A6C"/>
    <w:rsid w:val="009F6AC6"/>
    <w:rsid w:val="009F7AF9"/>
    <w:rsid w:val="00A017A6"/>
    <w:rsid w:val="00A0229F"/>
    <w:rsid w:val="00A0489B"/>
    <w:rsid w:val="00A11D72"/>
    <w:rsid w:val="00A1222F"/>
    <w:rsid w:val="00A15B0D"/>
    <w:rsid w:val="00A17A4D"/>
    <w:rsid w:val="00A20AD5"/>
    <w:rsid w:val="00A22276"/>
    <w:rsid w:val="00A2246D"/>
    <w:rsid w:val="00A2755D"/>
    <w:rsid w:val="00A324D4"/>
    <w:rsid w:val="00A34657"/>
    <w:rsid w:val="00A3530F"/>
    <w:rsid w:val="00A35846"/>
    <w:rsid w:val="00A35960"/>
    <w:rsid w:val="00A36447"/>
    <w:rsid w:val="00A4229A"/>
    <w:rsid w:val="00A42A71"/>
    <w:rsid w:val="00A42C71"/>
    <w:rsid w:val="00A43845"/>
    <w:rsid w:val="00A46D35"/>
    <w:rsid w:val="00A51CAA"/>
    <w:rsid w:val="00A52AFD"/>
    <w:rsid w:val="00A5524A"/>
    <w:rsid w:val="00A56B45"/>
    <w:rsid w:val="00A57ED8"/>
    <w:rsid w:val="00A6147F"/>
    <w:rsid w:val="00A61EC3"/>
    <w:rsid w:val="00A65D69"/>
    <w:rsid w:val="00A66F4E"/>
    <w:rsid w:val="00A67756"/>
    <w:rsid w:val="00A70486"/>
    <w:rsid w:val="00A74E7E"/>
    <w:rsid w:val="00A74ED6"/>
    <w:rsid w:val="00A768C8"/>
    <w:rsid w:val="00A82998"/>
    <w:rsid w:val="00A83B39"/>
    <w:rsid w:val="00A87329"/>
    <w:rsid w:val="00A9107B"/>
    <w:rsid w:val="00A92928"/>
    <w:rsid w:val="00A92C9D"/>
    <w:rsid w:val="00A9405F"/>
    <w:rsid w:val="00A96D3B"/>
    <w:rsid w:val="00AA1B9A"/>
    <w:rsid w:val="00AA28C8"/>
    <w:rsid w:val="00AA373A"/>
    <w:rsid w:val="00AA4398"/>
    <w:rsid w:val="00AA4A9E"/>
    <w:rsid w:val="00AB0F4F"/>
    <w:rsid w:val="00AB13E5"/>
    <w:rsid w:val="00AB382D"/>
    <w:rsid w:val="00AB38E0"/>
    <w:rsid w:val="00AC002E"/>
    <w:rsid w:val="00AC16E2"/>
    <w:rsid w:val="00AC248D"/>
    <w:rsid w:val="00AC3C6D"/>
    <w:rsid w:val="00AC5BD6"/>
    <w:rsid w:val="00AC74C7"/>
    <w:rsid w:val="00AD01CA"/>
    <w:rsid w:val="00AD0E35"/>
    <w:rsid w:val="00AD1ADF"/>
    <w:rsid w:val="00AD1D76"/>
    <w:rsid w:val="00AD1E0F"/>
    <w:rsid w:val="00AD4F47"/>
    <w:rsid w:val="00AE0424"/>
    <w:rsid w:val="00AE3DD1"/>
    <w:rsid w:val="00AE68B4"/>
    <w:rsid w:val="00AF0BBC"/>
    <w:rsid w:val="00AF1590"/>
    <w:rsid w:val="00AF25D0"/>
    <w:rsid w:val="00AF76A6"/>
    <w:rsid w:val="00AF7E44"/>
    <w:rsid w:val="00B001FD"/>
    <w:rsid w:val="00B01B86"/>
    <w:rsid w:val="00B05EF7"/>
    <w:rsid w:val="00B07927"/>
    <w:rsid w:val="00B142B5"/>
    <w:rsid w:val="00B16FD6"/>
    <w:rsid w:val="00B30690"/>
    <w:rsid w:val="00B321E1"/>
    <w:rsid w:val="00B333B2"/>
    <w:rsid w:val="00B333EF"/>
    <w:rsid w:val="00B36700"/>
    <w:rsid w:val="00B40A7D"/>
    <w:rsid w:val="00B468F8"/>
    <w:rsid w:val="00B507D7"/>
    <w:rsid w:val="00B51408"/>
    <w:rsid w:val="00B5305D"/>
    <w:rsid w:val="00B5530C"/>
    <w:rsid w:val="00B60CA4"/>
    <w:rsid w:val="00B60F94"/>
    <w:rsid w:val="00B62A94"/>
    <w:rsid w:val="00B65DD0"/>
    <w:rsid w:val="00B704AB"/>
    <w:rsid w:val="00B719EB"/>
    <w:rsid w:val="00B80B5E"/>
    <w:rsid w:val="00B81EE6"/>
    <w:rsid w:val="00B835EA"/>
    <w:rsid w:val="00B87265"/>
    <w:rsid w:val="00B87A15"/>
    <w:rsid w:val="00B90767"/>
    <w:rsid w:val="00B911C3"/>
    <w:rsid w:val="00B931FC"/>
    <w:rsid w:val="00B93263"/>
    <w:rsid w:val="00BC0F9E"/>
    <w:rsid w:val="00BC1147"/>
    <w:rsid w:val="00BC27AF"/>
    <w:rsid w:val="00BC2D94"/>
    <w:rsid w:val="00BC5368"/>
    <w:rsid w:val="00BC6C27"/>
    <w:rsid w:val="00BC7192"/>
    <w:rsid w:val="00BC7932"/>
    <w:rsid w:val="00BD11AB"/>
    <w:rsid w:val="00BD3BC9"/>
    <w:rsid w:val="00BD66D4"/>
    <w:rsid w:val="00BE0037"/>
    <w:rsid w:val="00BE307D"/>
    <w:rsid w:val="00BE3FFD"/>
    <w:rsid w:val="00BE437D"/>
    <w:rsid w:val="00BF1FB2"/>
    <w:rsid w:val="00BF3969"/>
    <w:rsid w:val="00BF5C75"/>
    <w:rsid w:val="00BF6BE9"/>
    <w:rsid w:val="00C00FD3"/>
    <w:rsid w:val="00C01904"/>
    <w:rsid w:val="00C01E9F"/>
    <w:rsid w:val="00C02164"/>
    <w:rsid w:val="00C030FC"/>
    <w:rsid w:val="00C060A8"/>
    <w:rsid w:val="00C0695F"/>
    <w:rsid w:val="00C10CE7"/>
    <w:rsid w:val="00C14B0E"/>
    <w:rsid w:val="00C179E4"/>
    <w:rsid w:val="00C17D49"/>
    <w:rsid w:val="00C204A3"/>
    <w:rsid w:val="00C20A2F"/>
    <w:rsid w:val="00C255D2"/>
    <w:rsid w:val="00C30369"/>
    <w:rsid w:val="00C31192"/>
    <w:rsid w:val="00C4091B"/>
    <w:rsid w:val="00C40B3C"/>
    <w:rsid w:val="00C412AC"/>
    <w:rsid w:val="00C42C65"/>
    <w:rsid w:val="00C475F5"/>
    <w:rsid w:val="00C650D5"/>
    <w:rsid w:val="00C73C85"/>
    <w:rsid w:val="00C743AA"/>
    <w:rsid w:val="00C7779F"/>
    <w:rsid w:val="00C802CD"/>
    <w:rsid w:val="00C823A1"/>
    <w:rsid w:val="00C86386"/>
    <w:rsid w:val="00C90048"/>
    <w:rsid w:val="00C93597"/>
    <w:rsid w:val="00C93A71"/>
    <w:rsid w:val="00CA18DC"/>
    <w:rsid w:val="00CA45C4"/>
    <w:rsid w:val="00CA4B08"/>
    <w:rsid w:val="00CB2960"/>
    <w:rsid w:val="00CB5E73"/>
    <w:rsid w:val="00CC226F"/>
    <w:rsid w:val="00CD503E"/>
    <w:rsid w:val="00CD55C3"/>
    <w:rsid w:val="00CD6632"/>
    <w:rsid w:val="00CE0B8C"/>
    <w:rsid w:val="00CE2023"/>
    <w:rsid w:val="00CE2DA8"/>
    <w:rsid w:val="00CE5B4E"/>
    <w:rsid w:val="00CF0AFA"/>
    <w:rsid w:val="00CF0B8B"/>
    <w:rsid w:val="00CF17D5"/>
    <w:rsid w:val="00CF2ADF"/>
    <w:rsid w:val="00CF609A"/>
    <w:rsid w:val="00CF67D3"/>
    <w:rsid w:val="00CF76E2"/>
    <w:rsid w:val="00D0185A"/>
    <w:rsid w:val="00D02CAF"/>
    <w:rsid w:val="00D03504"/>
    <w:rsid w:val="00D07E5F"/>
    <w:rsid w:val="00D11034"/>
    <w:rsid w:val="00D11295"/>
    <w:rsid w:val="00D13AD2"/>
    <w:rsid w:val="00D14ABD"/>
    <w:rsid w:val="00D15298"/>
    <w:rsid w:val="00D175AF"/>
    <w:rsid w:val="00D17AFA"/>
    <w:rsid w:val="00D20B6C"/>
    <w:rsid w:val="00D21153"/>
    <w:rsid w:val="00D21B0E"/>
    <w:rsid w:val="00D22A94"/>
    <w:rsid w:val="00D23F0F"/>
    <w:rsid w:val="00D24661"/>
    <w:rsid w:val="00D24E5F"/>
    <w:rsid w:val="00D319DE"/>
    <w:rsid w:val="00D31BCF"/>
    <w:rsid w:val="00D3222F"/>
    <w:rsid w:val="00D32346"/>
    <w:rsid w:val="00D33267"/>
    <w:rsid w:val="00D33584"/>
    <w:rsid w:val="00D33FFB"/>
    <w:rsid w:val="00D41F35"/>
    <w:rsid w:val="00D5729C"/>
    <w:rsid w:val="00D578DF"/>
    <w:rsid w:val="00D608A4"/>
    <w:rsid w:val="00D61213"/>
    <w:rsid w:val="00D62758"/>
    <w:rsid w:val="00D63C44"/>
    <w:rsid w:val="00D71ACA"/>
    <w:rsid w:val="00D71C50"/>
    <w:rsid w:val="00D71E44"/>
    <w:rsid w:val="00D83CD4"/>
    <w:rsid w:val="00D94211"/>
    <w:rsid w:val="00D96FFA"/>
    <w:rsid w:val="00DB18DD"/>
    <w:rsid w:val="00DB3FFC"/>
    <w:rsid w:val="00DB4565"/>
    <w:rsid w:val="00DB502F"/>
    <w:rsid w:val="00DB5B04"/>
    <w:rsid w:val="00DB67E5"/>
    <w:rsid w:val="00DB73F9"/>
    <w:rsid w:val="00DC3AE0"/>
    <w:rsid w:val="00DC4073"/>
    <w:rsid w:val="00DD2282"/>
    <w:rsid w:val="00DD3118"/>
    <w:rsid w:val="00DD346E"/>
    <w:rsid w:val="00DD51C2"/>
    <w:rsid w:val="00DD7667"/>
    <w:rsid w:val="00DE2EA4"/>
    <w:rsid w:val="00DE41F0"/>
    <w:rsid w:val="00DE6D4A"/>
    <w:rsid w:val="00DF5A02"/>
    <w:rsid w:val="00DF6E6E"/>
    <w:rsid w:val="00E0143E"/>
    <w:rsid w:val="00E02613"/>
    <w:rsid w:val="00E047C0"/>
    <w:rsid w:val="00E072B0"/>
    <w:rsid w:val="00E07936"/>
    <w:rsid w:val="00E103DA"/>
    <w:rsid w:val="00E11FF9"/>
    <w:rsid w:val="00E173AF"/>
    <w:rsid w:val="00E17EC8"/>
    <w:rsid w:val="00E23F1A"/>
    <w:rsid w:val="00E24333"/>
    <w:rsid w:val="00E26863"/>
    <w:rsid w:val="00E273DE"/>
    <w:rsid w:val="00E31234"/>
    <w:rsid w:val="00E31C70"/>
    <w:rsid w:val="00E328B0"/>
    <w:rsid w:val="00E37546"/>
    <w:rsid w:val="00E41DE4"/>
    <w:rsid w:val="00E42708"/>
    <w:rsid w:val="00E43845"/>
    <w:rsid w:val="00E51A2D"/>
    <w:rsid w:val="00E53E36"/>
    <w:rsid w:val="00E56D5C"/>
    <w:rsid w:val="00E607E9"/>
    <w:rsid w:val="00E60808"/>
    <w:rsid w:val="00E651D9"/>
    <w:rsid w:val="00E7043D"/>
    <w:rsid w:val="00E70B76"/>
    <w:rsid w:val="00E71B7C"/>
    <w:rsid w:val="00E73371"/>
    <w:rsid w:val="00E74D37"/>
    <w:rsid w:val="00E762CA"/>
    <w:rsid w:val="00E86828"/>
    <w:rsid w:val="00E8742C"/>
    <w:rsid w:val="00E930FD"/>
    <w:rsid w:val="00E9483C"/>
    <w:rsid w:val="00E94D5B"/>
    <w:rsid w:val="00E9585B"/>
    <w:rsid w:val="00E96BBE"/>
    <w:rsid w:val="00EA0B7D"/>
    <w:rsid w:val="00EA2841"/>
    <w:rsid w:val="00EA2856"/>
    <w:rsid w:val="00EA4879"/>
    <w:rsid w:val="00EA51F8"/>
    <w:rsid w:val="00EA621E"/>
    <w:rsid w:val="00EA68AF"/>
    <w:rsid w:val="00EB0993"/>
    <w:rsid w:val="00EB1C4B"/>
    <w:rsid w:val="00EB2B08"/>
    <w:rsid w:val="00EB6141"/>
    <w:rsid w:val="00EC364F"/>
    <w:rsid w:val="00EC3D8F"/>
    <w:rsid w:val="00EC4F9B"/>
    <w:rsid w:val="00EC5086"/>
    <w:rsid w:val="00ED1B8B"/>
    <w:rsid w:val="00ED2B5D"/>
    <w:rsid w:val="00ED3D19"/>
    <w:rsid w:val="00ED63A2"/>
    <w:rsid w:val="00ED732F"/>
    <w:rsid w:val="00EE38D2"/>
    <w:rsid w:val="00EE45BD"/>
    <w:rsid w:val="00EE72BF"/>
    <w:rsid w:val="00EF3814"/>
    <w:rsid w:val="00EF3959"/>
    <w:rsid w:val="00EF41A5"/>
    <w:rsid w:val="00EF62BC"/>
    <w:rsid w:val="00EF786E"/>
    <w:rsid w:val="00F0200B"/>
    <w:rsid w:val="00F06471"/>
    <w:rsid w:val="00F06E05"/>
    <w:rsid w:val="00F128AE"/>
    <w:rsid w:val="00F211A8"/>
    <w:rsid w:val="00F225CB"/>
    <w:rsid w:val="00F22A1C"/>
    <w:rsid w:val="00F22BA9"/>
    <w:rsid w:val="00F2317C"/>
    <w:rsid w:val="00F26440"/>
    <w:rsid w:val="00F27A45"/>
    <w:rsid w:val="00F35CA2"/>
    <w:rsid w:val="00F368DB"/>
    <w:rsid w:val="00F368F8"/>
    <w:rsid w:val="00F46F13"/>
    <w:rsid w:val="00F474E5"/>
    <w:rsid w:val="00F5057C"/>
    <w:rsid w:val="00F51A7A"/>
    <w:rsid w:val="00F5297C"/>
    <w:rsid w:val="00F52A2D"/>
    <w:rsid w:val="00F54514"/>
    <w:rsid w:val="00F54569"/>
    <w:rsid w:val="00F57911"/>
    <w:rsid w:val="00F606F3"/>
    <w:rsid w:val="00F6234D"/>
    <w:rsid w:val="00F64A69"/>
    <w:rsid w:val="00F655CB"/>
    <w:rsid w:val="00F67458"/>
    <w:rsid w:val="00F74AD1"/>
    <w:rsid w:val="00F8000E"/>
    <w:rsid w:val="00F82AE6"/>
    <w:rsid w:val="00F83CD4"/>
    <w:rsid w:val="00F8489B"/>
    <w:rsid w:val="00F85B6E"/>
    <w:rsid w:val="00F87679"/>
    <w:rsid w:val="00F92E97"/>
    <w:rsid w:val="00F94992"/>
    <w:rsid w:val="00FA1B23"/>
    <w:rsid w:val="00FA229C"/>
    <w:rsid w:val="00FA68A8"/>
    <w:rsid w:val="00FA6EFD"/>
    <w:rsid w:val="00FB0B8B"/>
    <w:rsid w:val="00FB1779"/>
    <w:rsid w:val="00FB596F"/>
    <w:rsid w:val="00FB5C2D"/>
    <w:rsid w:val="00FC1678"/>
    <w:rsid w:val="00FC4177"/>
    <w:rsid w:val="00FC44BD"/>
    <w:rsid w:val="00FC540D"/>
    <w:rsid w:val="00FC5D4A"/>
    <w:rsid w:val="00FC636B"/>
    <w:rsid w:val="00FC7267"/>
    <w:rsid w:val="00FD264F"/>
    <w:rsid w:val="00FD2816"/>
    <w:rsid w:val="00FD56AA"/>
    <w:rsid w:val="00FE0BDA"/>
    <w:rsid w:val="00FE30F8"/>
    <w:rsid w:val="00FE3321"/>
    <w:rsid w:val="00FE74B9"/>
    <w:rsid w:val="00FF0100"/>
    <w:rsid w:val="00FF06B1"/>
    <w:rsid w:val="00FF2C7A"/>
    <w:rsid w:val="00FF6249"/>
    <w:rsid w:val="019E6254"/>
    <w:rsid w:val="025C55D9"/>
    <w:rsid w:val="027245E4"/>
    <w:rsid w:val="032766A0"/>
    <w:rsid w:val="035A2D65"/>
    <w:rsid w:val="03726794"/>
    <w:rsid w:val="03904204"/>
    <w:rsid w:val="03967AAE"/>
    <w:rsid w:val="03A164C8"/>
    <w:rsid w:val="03A36B2D"/>
    <w:rsid w:val="041751C3"/>
    <w:rsid w:val="04221969"/>
    <w:rsid w:val="04AC7907"/>
    <w:rsid w:val="0616597F"/>
    <w:rsid w:val="064E336B"/>
    <w:rsid w:val="06871BB3"/>
    <w:rsid w:val="06AD62E4"/>
    <w:rsid w:val="06CA00DD"/>
    <w:rsid w:val="072A2EE1"/>
    <w:rsid w:val="079F3E99"/>
    <w:rsid w:val="07C61EE0"/>
    <w:rsid w:val="088072A7"/>
    <w:rsid w:val="0899011C"/>
    <w:rsid w:val="09056F8C"/>
    <w:rsid w:val="090A111F"/>
    <w:rsid w:val="09120BA9"/>
    <w:rsid w:val="0913786F"/>
    <w:rsid w:val="091D5F76"/>
    <w:rsid w:val="096047C3"/>
    <w:rsid w:val="096F4A31"/>
    <w:rsid w:val="0994083A"/>
    <w:rsid w:val="0A4538EE"/>
    <w:rsid w:val="0A786C09"/>
    <w:rsid w:val="0AA83C7A"/>
    <w:rsid w:val="0AF2368C"/>
    <w:rsid w:val="0B136B8A"/>
    <w:rsid w:val="0BF70001"/>
    <w:rsid w:val="0C13267B"/>
    <w:rsid w:val="0C160589"/>
    <w:rsid w:val="0C231436"/>
    <w:rsid w:val="0C537EA0"/>
    <w:rsid w:val="0CAF4F13"/>
    <w:rsid w:val="0CD7124C"/>
    <w:rsid w:val="0CFD3B60"/>
    <w:rsid w:val="0DC639D6"/>
    <w:rsid w:val="0DC91529"/>
    <w:rsid w:val="0E156645"/>
    <w:rsid w:val="0E527771"/>
    <w:rsid w:val="0E7B63A3"/>
    <w:rsid w:val="0E966E1C"/>
    <w:rsid w:val="0EA81212"/>
    <w:rsid w:val="0EB8303A"/>
    <w:rsid w:val="0FD2649D"/>
    <w:rsid w:val="10117223"/>
    <w:rsid w:val="1023612A"/>
    <w:rsid w:val="10294501"/>
    <w:rsid w:val="10507CE0"/>
    <w:rsid w:val="1113216F"/>
    <w:rsid w:val="111331E7"/>
    <w:rsid w:val="1165069E"/>
    <w:rsid w:val="11A1250B"/>
    <w:rsid w:val="12922224"/>
    <w:rsid w:val="12B2066F"/>
    <w:rsid w:val="12D15D4F"/>
    <w:rsid w:val="131C6CB2"/>
    <w:rsid w:val="139A3060"/>
    <w:rsid w:val="13A8392C"/>
    <w:rsid w:val="14326BBF"/>
    <w:rsid w:val="145347D5"/>
    <w:rsid w:val="146E6A3F"/>
    <w:rsid w:val="14727587"/>
    <w:rsid w:val="14D401B7"/>
    <w:rsid w:val="14F75DA4"/>
    <w:rsid w:val="14FF2768"/>
    <w:rsid w:val="14FF2D57"/>
    <w:rsid w:val="160448BE"/>
    <w:rsid w:val="16337E88"/>
    <w:rsid w:val="163F3E40"/>
    <w:rsid w:val="165628A2"/>
    <w:rsid w:val="1664220C"/>
    <w:rsid w:val="16790BA2"/>
    <w:rsid w:val="16967799"/>
    <w:rsid w:val="16AB2114"/>
    <w:rsid w:val="17AE16F0"/>
    <w:rsid w:val="17FC772F"/>
    <w:rsid w:val="18552337"/>
    <w:rsid w:val="18585984"/>
    <w:rsid w:val="188B09D6"/>
    <w:rsid w:val="193261D5"/>
    <w:rsid w:val="1A147FD0"/>
    <w:rsid w:val="1A254208"/>
    <w:rsid w:val="1A565B51"/>
    <w:rsid w:val="1A802E3C"/>
    <w:rsid w:val="1AA84A01"/>
    <w:rsid w:val="1AB3113E"/>
    <w:rsid w:val="1AE554AD"/>
    <w:rsid w:val="1B1A7EB9"/>
    <w:rsid w:val="1BF65BDF"/>
    <w:rsid w:val="1C056937"/>
    <w:rsid w:val="1C320BD6"/>
    <w:rsid w:val="1C5C5312"/>
    <w:rsid w:val="1C7007FC"/>
    <w:rsid w:val="1C80432C"/>
    <w:rsid w:val="1C9A0D09"/>
    <w:rsid w:val="1D073264"/>
    <w:rsid w:val="1D3A39A4"/>
    <w:rsid w:val="1D5A4EAF"/>
    <w:rsid w:val="1DEE7F6D"/>
    <w:rsid w:val="1E0329B2"/>
    <w:rsid w:val="1E4474D9"/>
    <w:rsid w:val="1F3507CD"/>
    <w:rsid w:val="1F553537"/>
    <w:rsid w:val="1FC61D6D"/>
    <w:rsid w:val="1FD72A4C"/>
    <w:rsid w:val="2005587B"/>
    <w:rsid w:val="200F2620"/>
    <w:rsid w:val="2090779A"/>
    <w:rsid w:val="20A27743"/>
    <w:rsid w:val="20B6728A"/>
    <w:rsid w:val="20DA5ACF"/>
    <w:rsid w:val="20F54C8F"/>
    <w:rsid w:val="21A42A25"/>
    <w:rsid w:val="21AB6F28"/>
    <w:rsid w:val="2241392C"/>
    <w:rsid w:val="23334809"/>
    <w:rsid w:val="24324423"/>
    <w:rsid w:val="24AD4795"/>
    <w:rsid w:val="24B47649"/>
    <w:rsid w:val="24D6592C"/>
    <w:rsid w:val="24DE00BB"/>
    <w:rsid w:val="25451805"/>
    <w:rsid w:val="259E5788"/>
    <w:rsid w:val="264D6D44"/>
    <w:rsid w:val="266C60C0"/>
    <w:rsid w:val="26915BC3"/>
    <w:rsid w:val="26924756"/>
    <w:rsid w:val="26DA2D7E"/>
    <w:rsid w:val="27030DD3"/>
    <w:rsid w:val="27121655"/>
    <w:rsid w:val="27690A76"/>
    <w:rsid w:val="27A6495D"/>
    <w:rsid w:val="2829733C"/>
    <w:rsid w:val="283E3AD6"/>
    <w:rsid w:val="28792631"/>
    <w:rsid w:val="28940C5A"/>
    <w:rsid w:val="28EF5E90"/>
    <w:rsid w:val="29054904"/>
    <w:rsid w:val="290851A4"/>
    <w:rsid w:val="29FB2613"/>
    <w:rsid w:val="29FB3878"/>
    <w:rsid w:val="2A5F0DF4"/>
    <w:rsid w:val="2B2A2D16"/>
    <w:rsid w:val="2B5B5A5F"/>
    <w:rsid w:val="2B853849"/>
    <w:rsid w:val="2B8744C9"/>
    <w:rsid w:val="2BA04947"/>
    <w:rsid w:val="2BF0495C"/>
    <w:rsid w:val="2C233F8A"/>
    <w:rsid w:val="2C32018C"/>
    <w:rsid w:val="2C572D94"/>
    <w:rsid w:val="2D405C23"/>
    <w:rsid w:val="2D5905AC"/>
    <w:rsid w:val="2E3F3416"/>
    <w:rsid w:val="2E925033"/>
    <w:rsid w:val="2EB26310"/>
    <w:rsid w:val="2FBC2844"/>
    <w:rsid w:val="30252240"/>
    <w:rsid w:val="30405CA0"/>
    <w:rsid w:val="309A18A7"/>
    <w:rsid w:val="30CC50C4"/>
    <w:rsid w:val="315211BB"/>
    <w:rsid w:val="31612AEA"/>
    <w:rsid w:val="31E171C7"/>
    <w:rsid w:val="325A10DC"/>
    <w:rsid w:val="33246EBE"/>
    <w:rsid w:val="33DD6371"/>
    <w:rsid w:val="33DF62BD"/>
    <w:rsid w:val="3411316B"/>
    <w:rsid w:val="34CE7EB9"/>
    <w:rsid w:val="34FC27D5"/>
    <w:rsid w:val="34FF38FF"/>
    <w:rsid w:val="351B0E1C"/>
    <w:rsid w:val="35931ABD"/>
    <w:rsid w:val="362C18E3"/>
    <w:rsid w:val="36764824"/>
    <w:rsid w:val="36FE413B"/>
    <w:rsid w:val="38123949"/>
    <w:rsid w:val="38B616EF"/>
    <w:rsid w:val="38BE211F"/>
    <w:rsid w:val="393618B9"/>
    <w:rsid w:val="39484CC7"/>
    <w:rsid w:val="399737AD"/>
    <w:rsid w:val="3A2709C8"/>
    <w:rsid w:val="3A354DD1"/>
    <w:rsid w:val="3A513DFD"/>
    <w:rsid w:val="3A6911B5"/>
    <w:rsid w:val="3A830B2E"/>
    <w:rsid w:val="3AC42F03"/>
    <w:rsid w:val="3AD0311D"/>
    <w:rsid w:val="3B5B1163"/>
    <w:rsid w:val="3BDC3E63"/>
    <w:rsid w:val="3BF043B2"/>
    <w:rsid w:val="3CFD4BC8"/>
    <w:rsid w:val="3D267C4E"/>
    <w:rsid w:val="3D582060"/>
    <w:rsid w:val="3D6A10A8"/>
    <w:rsid w:val="3D6E33D0"/>
    <w:rsid w:val="3D8B21D4"/>
    <w:rsid w:val="3EE23690"/>
    <w:rsid w:val="3F073BF1"/>
    <w:rsid w:val="3F2E0225"/>
    <w:rsid w:val="3F433861"/>
    <w:rsid w:val="3F5172D6"/>
    <w:rsid w:val="3F9536C2"/>
    <w:rsid w:val="3F995AC3"/>
    <w:rsid w:val="400D68A2"/>
    <w:rsid w:val="40157658"/>
    <w:rsid w:val="404C1C3C"/>
    <w:rsid w:val="40503261"/>
    <w:rsid w:val="409A6319"/>
    <w:rsid w:val="412679CE"/>
    <w:rsid w:val="415D72DF"/>
    <w:rsid w:val="41C02602"/>
    <w:rsid w:val="41D66BE1"/>
    <w:rsid w:val="41E23CF8"/>
    <w:rsid w:val="42256190"/>
    <w:rsid w:val="424D5132"/>
    <w:rsid w:val="425E6F62"/>
    <w:rsid w:val="426B2935"/>
    <w:rsid w:val="43160791"/>
    <w:rsid w:val="436933E5"/>
    <w:rsid w:val="4369458C"/>
    <w:rsid w:val="4375277F"/>
    <w:rsid w:val="4379592C"/>
    <w:rsid w:val="43A23DD3"/>
    <w:rsid w:val="43B52320"/>
    <w:rsid w:val="43C01C71"/>
    <w:rsid w:val="43E772A5"/>
    <w:rsid w:val="44606C49"/>
    <w:rsid w:val="448132E3"/>
    <w:rsid w:val="44BE1658"/>
    <w:rsid w:val="44D501D8"/>
    <w:rsid w:val="44EF226F"/>
    <w:rsid w:val="450D7972"/>
    <w:rsid w:val="459260C9"/>
    <w:rsid w:val="461C5492"/>
    <w:rsid w:val="46424725"/>
    <w:rsid w:val="46861BCE"/>
    <w:rsid w:val="46DC417A"/>
    <w:rsid w:val="46F75809"/>
    <w:rsid w:val="475968F9"/>
    <w:rsid w:val="47CF3C13"/>
    <w:rsid w:val="483765B6"/>
    <w:rsid w:val="489869AB"/>
    <w:rsid w:val="48C40C3D"/>
    <w:rsid w:val="49117305"/>
    <w:rsid w:val="49262F89"/>
    <w:rsid w:val="49854DB6"/>
    <w:rsid w:val="4A090FDF"/>
    <w:rsid w:val="4A457E59"/>
    <w:rsid w:val="4A4653E6"/>
    <w:rsid w:val="4AA135BF"/>
    <w:rsid w:val="4AAA1A9E"/>
    <w:rsid w:val="4AB958BC"/>
    <w:rsid w:val="4B0A6B5B"/>
    <w:rsid w:val="4B0B6097"/>
    <w:rsid w:val="4B1C427F"/>
    <w:rsid w:val="4B663D3D"/>
    <w:rsid w:val="4B731B8E"/>
    <w:rsid w:val="4C455C43"/>
    <w:rsid w:val="4C9622C3"/>
    <w:rsid w:val="4CEC60BF"/>
    <w:rsid w:val="4DDC145E"/>
    <w:rsid w:val="4E1E0CF6"/>
    <w:rsid w:val="4EE31600"/>
    <w:rsid w:val="4EF906F7"/>
    <w:rsid w:val="4F7A3C21"/>
    <w:rsid w:val="4FC360E2"/>
    <w:rsid w:val="51CF156B"/>
    <w:rsid w:val="51D609FA"/>
    <w:rsid w:val="5293626B"/>
    <w:rsid w:val="531C20F7"/>
    <w:rsid w:val="534451C8"/>
    <w:rsid w:val="538E05FD"/>
    <w:rsid w:val="53EA75BA"/>
    <w:rsid w:val="53ED7FD4"/>
    <w:rsid w:val="545509EE"/>
    <w:rsid w:val="54666AD6"/>
    <w:rsid w:val="54894FF6"/>
    <w:rsid w:val="548E6B39"/>
    <w:rsid w:val="54A11E85"/>
    <w:rsid w:val="54B0031A"/>
    <w:rsid w:val="54C4557B"/>
    <w:rsid w:val="54F80C0E"/>
    <w:rsid w:val="54FB111F"/>
    <w:rsid w:val="553B4087"/>
    <w:rsid w:val="559778CA"/>
    <w:rsid w:val="55981ECB"/>
    <w:rsid w:val="559A18BF"/>
    <w:rsid w:val="56143C41"/>
    <w:rsid w:val="56252F0C"/>
    <w:rsid w:val="569307DB"/>
    <w:rsid w:val="56B14649"/>
    <w:rsid w:val="56B54513"/>
    <w:rsid w:val="582E7208"/>
    <w:rsid w:val="58400E21"/>
    <w:rsid w:val="58842BD6"/>
    <w:rsid w:val="588B5079"/>
    <w:rsid w:val="58BE429B"/>
    <w:rsid w:val="58C009E3"/>
    <w:rsid w:val="590B5621"/>
    <w:rsid w:val="594159E5"/>
    <w:rsid w:val="5A34546A"/>
    <w:rsid w:val="5B871EA5"/>
    <w:rsid w:val="5BB540C6"/>
    <w:rsid w:val="5C2C50B5"/>
    <w:rsid w:val="5C422125"/>
    <w:rsid w:val="5C5450F5"/>
    <w:rsid w:val="5C871960"/>
    <w:rsid w:val="5CA7440D"/>
    <w:rsid w:val="5E111E29"/>
    <w:rsid w:val="5E4B55FE"/>
    <w:rsid w:val="5E5F1F29"/>
    <w:rsid w:val="5F474032"/>
    <w:rsid w:val="5F726336"/>
    <w:rsid w:val="5F7A7BBC"/>
    <w:rsid w:val="5FE2092B"/>
    <w:rsid w:val="5FED6235"/>
    <w:rsid w:val="5FF07C5D"/>
    <w:rsid w:val="5FF523DD"/>
    <w:rsid w:val="60327F09"/>
    <w:rsid w:val="606D131A"/>
    <w:rsid w:val="60C018E5"/>
    <w:rsid w:val="60C50CA9"/>
    <w:rsid w:val="60E820FB"/>
    <w:rsid w:val="61002EFF"/>
    <w:rsid w:val="610E3219"/>
    <w:rsid w:val="61545938"/>
    <w:rsid w:val="61A12872"/>
    <w:rsid w:val="61B94FF1"/>
    <w:rsid w:val="620817A7"/>
    <w:rsid w:val="62FF066B"/>
    <w:rsid w:val="63BD210C"/>
    <w:rsid w:val="6499679E"/>
    <w:rsid w:val="65446A58"/>
    <w:rsid w:val="6578278E"/>
    <w:rsid w:val="65B37C6A"/>
    <w:rsid w:val="660404C6"/>
    <w:rsid w:val="66885611"/>
    <w:rsid w:val="676E3E49"/>
    <w:rsid w:val="6776243F"/>
    <w:rsid w:val="67971C79"/>
    <w:rsid w:val="68232016"/>
    <w:rsid w:val="68561AC4"/>
    <w:rsid w:val="69026F3E"/>
    <w:rsid w:val="69193325"/>
    <w:rsid w:val="698E30A9"/>
    <w:rsid w:val="69D77B02"/>
    <w:rsid w:val="6A43143D"/>
    <w:rsid w:val="6AC46DAF"/>
    <w:rsid w:val="6ACC6A4B"/>
    <w:rsid w:val="6B2C6888"/>
    <w:rsid w:val="6C535F78"/>
    <w:rsid w:val="6CC61A77"/>
    <w:rsid w:val="6CD43FDB"/>
    <w:rsid w:val="6CE06C5F"/>
    <w:rsid w:val="6CE710B8"/>
    <w:rsid w:val="6CF50B68"/>
    <w:rsid w:val="6D3C6797"/>
    <w:rsid w:val="6D817CBE"/>
    <w:rsid w:val="6DA00AD4"/>
    <w:rsid w:val="6DC615E8"/>
    <w:rsid w:val="6E1D04E5"/>
    <w:rsid w:val="6E8F1691"/>
    <w:rsid w:val="6F63625D"/>
    <w:rsid w:val="6F685169"/>
    <w:rsid w:val="6F93596F"/>
    <w:rsid w:val="6FCB7D7F"/>
    <w:rsid w:val="6FF13869"/>
    <w:rsid w:val="708E7EA9"/>
    <w:rsid w:val="70CD5175"/>
    <w:rsid w:val="70DF7E8E"/>
    <w:rsid w:val="717C1858"/>
    <w:rsid w:val="71CD3E62"/>
    <w:rsid w:val="72C717F7"/>
    <w:rsid w:val="72FD2525"/>
    <w:rsid w:val="731A2C8D"/>
    <w:rsid w:val="735174A4"/>
    <w:rsid w:val="73E3171A"/>
    <w:rsid w:val="73FA0969"/>
    <w:rsid w:val="74384A20"/>
    <w:rsid w:val="747A31FB"/>
    <w:rsid w:val="74826EC4"/>
    <w:rsid w:val="74AF784E"/>
    <w:rsid w:val="74B75881"/>
    <w:rsid w:val="753F59C9"/>
    <w:rsid w:val="7567384B"/>
    <w:rsid w:val="756A28B5"/>
    <w:rsid w:val="75772F7C"/>
    <w:rsid w:val="76117905"/>
    <w:rsid w:val="762E1BE0"/>
    <w:rsid w:val="766B3B27"/>
    <w:rsid w:val="768E0063"/>
    <w:rsid w:val="76A050C8"/>
    <w:rsid w:val="770F0D1D"/>
    <w:rsid w:val="772803DB"/>
    <w:rsid w:val="77655F11"/>
    <w:rsid w:val="778B70D5"/>
    <w:rsid w:val="77CC22CE"/>
    <w:rsid w:val="77FE2A5D"/>
    <w:rsid w:val="78563879"/>
    <w:rsid w:val="78707CA6"/>
    <w:rsid w:val="7879264D"/>
    <w:rsid w:val="787C0D5B"/>
    <w:rsid w:val="78874437"/>
    <w:rsid w:val="78FD0173"/>
    <w:rsid w:val="78FD2B21"/>
    <w:rsid w:val="790750B9"/>
    <w:rsid w:val="798219D5"/>
    <w:rsid w:val="79CB612B"/>
    <w:rsid w:val="79FC230E"/>
    <w:rsid w:val="7A40697C"/>
    <w:rsid w:val="7AAB5C02"/>
    <w:rsid w:val="7AE33082"/>
    <w:rsid w:val="7B45082B"/>
    <w:rsid w:val="7C1A5EF5"/>
    <w:rsid w:val="7C1D10AA"/>
    <w:rsid w:val="7C2318D8"/>
    <w:rsid w:val="7C6D4A32"/>
    <w:rsid w:val="7C9D323D"/>
    <w:rsid w:val="7D761851"/>
    <w:rsid w:val="7D894A1C"/>
    <w:rsid w:val="7DCF69ED"/>
    <w:rsid w:val="7DE1611A"/>
    <w:rsid w:val="7E5264B1"/>
    <w:rsid w:val="7EFD5D8C"/>
    <w:rsid w:val="7F482A88"/>
    <w:rsid w:val="7F635AE2"/>
    <w:rsid w:val="7F7E58BB"/>
    <w:rsid w:val="7FE9148B"/>
    <w:rsid w:val="7FFD6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4"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5"/>
    <w:qFormat/>
    <w:uiPriority w:val="9"/>
    <w:pPr>
      <w:keepNext/>
      <w:keepLines/>
      <w:numPr>
        <w:ilvl w:val="0"/>
        <w:numId w:val="1"/>
      </w:numPr>
      <w:ind w:firstLineChars="0"/>
      <w:outlineLvl w:val="0"/>
    </w:pPr>
    <w:rPr>
      <w:rFonts w:eastAsia="黑体"/>
      <w:b/>
      <w:bCs/>
      <w:kern w:val="44"/>
      <w:szCs w:val="44"/>
    </w:rPr>
  </w:style>
  <w:style w:type="paragraph" w:styleId="3">
    <w:name w:val="heading 2"/>
    <w:basedOn w:val="1"/>
    <w:next w:val="1"/>
    <w:link w:val="46"/>
    <w:qFormat/>
    <w:uiPriority w:val="99"/>
    <w:pPr>
      <w:keepNext/>
      <w:keepLines/>
      <w:numPr>
        <w:ilvl w:val="1"/>
        <w:numId w:val="1"/>
      </w:numPr>
      <w:adjustRightInd w:val="0"/>
      <w:snapToGrid w:val="0"/>
      <w:ind w:firstLineChars="0"/>
      <w:outlineLvl w:val="1"/>
    </w:pPr>
    <w:rPr>
      <w:rFonts w:eastAsia="黑体"/>
      <w:b/>
      <w:bCs/>
      <w:szCs w:val="21"/>
    </w:rPr>
  </w:style>
  <w:style w:type="paragraph" w:styleId="4">
    <w:name w:val="heading 3"/>
    <w:basedOn w:val="1"/>
    <w:next w:val="1"/>
    <w:link w:val="114"/>
    <w:qFormat/>
    <w:uiPriority w:val="0"/>
    <w:pPr>
      <w:keepNext/>
      <w:keepLines/>
      <w:numPr>
        <w:ilvl w:val="2"/>
        <w:numId w:val="1"/>
      </w:numPr>
      <w:snapToGrid w:val="0"/>
      <w:ind w:firstLineChars="0"/>
      <w:outlineLvl w:val="2"/>
    </w:pPr>
    <w:rPr>
      <w:rFonts w:ascii="Cambria Math" w:hAnsi="Cambria Math" w:eastAsia="黑体"/>
      <w:b/>
      <w:szCs w:val="21"/>
    </w:rPr>
  </w:style>
  <w:style w:type="paragraph" w:styleId="5">
    <w:name w:val="heading 4"/>
    <w:basedOn w:val="1"/>
    <w:next w:val="1"/>
    <w:link w:val="47"/>
    <w:qFormat/>
    <w:uiPriority w:val="9"/>
    <w:pPr>
      <w:keepNext/>
      <w:keepLines/>
      <w:numPr>
        <w:ilvl w:val="3"/>
        <w:numId w:val="1"/>
      </w:numPr>
      <w:spacing w:before="280" w:after="290" w:line="376" w:lineRule="auto"/>
      <w:ind w:firstLineChars="0"/>
      <w:outlineLvl w:val="3"/>
    </w:pPr>
    <w:rPr>
      <w:rFonts w:ascii="Calibri" w:hAnsi="Calibri" w:eastAsia="黑体"/>
      <w:b/>
      <w:bCs/>
      <w:sz w:val="28"/>
      <w:szCs w:val="28"/>
    </w:rPr>
  </w:style>
  <w:style w:type="paragraph" w:styleId="6">
    <w:name w:val="heading 5"/>
    <w:basedOn w:val="1"/>
    <w:next w:val="1"/>
    <w:semiHidden/>
    <w:unhideWhenUsed/>
    <w:qFormat/>
    <w:uiPriority w:val="9"/>
    <w:pPr>
      <w:keepNext/>
      <w:keepLines/>
      <w:numPr>
        <w:ilvl w:val="4"/>
        <w:numId w:val="1"/>
      </w:numPr>
      <w:spacing w:before="280" w:after="290" w:line="372" w:lineRule="auto"/>
      <w:ind w:firstLineChars="0"/>
      <w:outlineLvl w:val="4"/>
    </w:pPr>
    <w:rPr>
      <w:b/>
      <w:sz w:val="28"/>
    </w:rPr>
  </w:style>
  <w:style w:type="paragraph" w:styleId="7">
    <w:name w:val="heading 6"/>
    <w:basedOn w:val="1"/>
    <w:next w:val="1"/>
    <w:semiHidden/>
    <w:unhideWhenUsed/>
    <w:qFormat/>
    <w:uiPriority w:val="9"/>
    <w:pPr>
      <w:keepNext/>
      <w:keepLines/>
      <w:numPr>
        <w:ilvl w:val="5"/>
        <w:numId w:val="1"/>
      </w:numPr>
      <w:spacing w:before="240" w:after="64" w:line="317" w:lineRule="auto"/>
      <w:ind w:firstLineChars="0"/>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ind w:firstLineChars="0"/>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ind w:firstLineChars="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ind w:firstLineChars="0"/>
      <w:outlineLvl w:val="8"/>
    </w:pPr>
    <w:rPr>
      <w:rFonts w:ascii="Arial" w:hAnsi="Arial" w:eastAsia="黑体"/>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Number"/>
    <w:basedOn w:val="1"/>
    <w:unhideWhenUsed/>
    <w:qFormat/>
    <w:uiPriority w:val="99"/>
    <w:pPr>
      <w:numPr>
        <w:ilvl w:val="0"/>
        <w:numId w:val="2"/>
      </w:numPr>
      <w:ind w:firstLine="0" w:firstLineChars="0"/>
    </w:pPr>
  </w:style>
  <w:style w:type="paragraph" w:styleId="12">
    <w:name w:val="Normal Indent"/>
    <w:basedOn w:val="1"/>
    <w:unhideWhenUsed/>
    <w:qFormat/>
    <w:uiPriority w:val="99"/>
    <w:pPr>
      <w:ind w:firstLine="420"/>
    </w:pPr>
  </w:style>
  <w:style w:type="paragraph" w:styleId="13">
    <w:name w:val="caption"/>
    <w:basedOn w:val="1"/>
    <w:next w:val="1"/>
    <w:unhideWhenUsed/>
    <w:qFormat/>
    <w:uiPriority w:val="0"/>
    <w:pPr>
      <w:ind w:firstLine="0" w:firstLineChars="0"/>
      <w:jc w:val="center"/>
    </w:pPr>
    <w:rPr>
      <w:rFonts w:ascii="Arial" w:hAnsi="Arial" w:eastAsia="黑体"/>
      <w:sz w:val="20"/>
    </w:rPr>
  </w:style>
  <w:style w:type="paragraph" w:styleId="14">
    <w:name w:val="Document Map"/>
    <w:basedOn w:val="1"/>
    <w:link w:val="48"/>
    <w:unhideWhenUsed/>
    <w:qFormat/>
    <w:uiPriority w:val="99"/>
    <w:rPr>
      <w:rFonts w:ascii="宋体"/>
      <w:sz w:val="18"/>
      <w:szCs w:val="18"/>
    </w:rPr>
  </w:style>
  <w:style w:type="paragraph" w:styleId="15">
    <w:name w:val="annotation text"/>
    <w:basedOn w:val="1"/>
    <w:link w:val="49"/>
    <w:unhideWhenUsed/>
    <w:qFormat/>
    <w:uiPriority w:val="99"/>
    <w:pPr>
      <w:jc w:val="left"/>
    </w:pPr>
  </w:style>
  <w:style w:type="paragraph" w:styleId="16">
    <w:name w:val="Body Text"/>
    <w:basedOn w:val="1"/>
    <w:link w:val="50"/>
    <w:qFormat/>
    <w:uiPriority w:val="99"/>
    <w:pPr>
      <w:spacing w:after="120"/>
    </w:pPr>
  </w:style>
  <w:style w:type="paragraph" w:styleId="17">
    <w:name w:val="Body Text Indent"/>
    <w:basedOn w:val="1"/>
    <w:unhideWhenUsed/>
    <w:qFormat/>
    <w:uiPriority w:val="0"/>
    <w:pPr>
      <w:spacing w:after="120"/>
      <w:ind w:left="420" w:leftChars="200"/>
    </w:pPr>
  </w:style>
  <w:style w:type="paragraph" w:styleId="18">
    <w:name w:val="toc 3"/>
    <w:basedOn w:val="1"/>
    <w:next w:val="1"/>
    <w:unhideWhenUsed/>
    <w:qFormat/>
    <w:uiPriority w:val="39"/>
    <w:pPr>
      <w:ind w:left="840" w:leftChars="400"/>
    </w:pPr>
  </w:style>
  <w:style w:type="paragraph" w:styleId="19">
    <w:name w:val="Plain Text"/>
    <w:basedOn w:val="1"/>
    <w:link w:val="51"/>
    <w:qFormat/>
    <w:uiPriority w:val="0"/>
    <w:rPr>
      <w:rFonts w:ascii="黑体" w:hAnsi="Cambria"/>
      <w:szCs w:val="20"/>
    </w:rPr>
  </w:style>
  <w:style w:type="paragraph" w:styleId="20">
    <w:name w:val="Date"/>
    <w:basedOn w:val="1"/>
    <w:next w:val="1"/>
    <w:link w:val="52"/>
    <w:unhideWhenUsed/>
    <w:qFormat/>
    <w:uiPriority w:val="99"/>
    <w:pPr>
      <w:ind w:left="100" w:leftChars="2500"/>
    </w:pPr>
  </w:style>
  <w:style w:type="paragraph" w:styleId="21">
    <w:name w:val="Balloon Text"/>
    <w:basedOn w:val="1"/>
    <w:link w:val="53"/>
    <w:qFormat/>
    <w:uiPriority w:val="99"/>
    <w:rPr>
      <w:sz w:val="18"/>
      <w:szCs w:val="18"/>
    </w:rPr>
  </w:style>
  <w:style w:type="paragraph" w:styleId="22">
    <w:name w:val="footer"/>
    <w:basedOn w:val="1"/>
    <w:link w:val="54"/>
    <w:qFormat/>
    <w:uiPriority w:val="0"/>
    <w:pPr>
      <w:tabs>
        <w:tab w:val="center" w:pos="4153"/>
        <w:tab w:val="right" w:pos="8306"/>
      </w:tabs>
      <w:snapToGrid w:val="0"/>
      <w:jc w:val="left"/>
    </w:pPr>
    <w:rPr>
      <w:sz w:val="18"/>
      <w:szCs w:val="18"/>
    </w:rPr>
  </w:style>
  <w:style w:type="paragraph" w:styleId="23">
    <w:name w:val="envelope return"/>
    <w:basedOn w:val="1"/>
    <w:unhideWhenUsed/>
    <w:qFormat/>
    <w:uiPriority w:val="99"/>
    <w:pPr>
      <w:snapToGrid w:val="0"/>
    </w:pPr>
    <w:rPr>
      <w:rFonts w:ascii="Calibri Light" w:hAnsi="Calibri Light"/>
    </w:rPr>
  </w:style>
  <w:style w:type="paragraph" w:styleId="24">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pPr>
      <w:tabs>
        <w:tab w:val="left" w:pos="284"/>
        <w:tab w:val="right" w:leader="dot" w:pos="8296"/>
      </w:tabs>
    </w:pPr>
  </w:style>
  <w:style w:type="paragraph" w:styleId="26">
    <w:name w:val="List"/>
    <w:basedOn w:val="1"/>
    <w:qFormat/>
    <w:uiPriority w:val="0"/>
    <w:pPr>
      <w:spacing w:line="300" w:lineRule="auto"/>
      <w:ind w:left="597" w:leftChars="200" w:hanging="397"/>
    </w:pPr>
    <w:rPr>
      <w:rFonts w:ascii="Arial" w:hAnsi="Arial"/>
      <w:szCs w:val="21"/>
    </w:rPr>
  </w:style>
  <w:style w:type="paragraph" w:styleId="27">
    <w:name w:val="Body Text Indent 3"/>
    <w:basedOn w:val="1"/>
    <w:link w:val="56"/>
    <w:qFormat/>
    <w:uiPriority w:val="0"/>
    <w:pPr>
      <w:spacing w:after="120"/>
      <w:ind w:left="420" w:leftChars="200"/>
    </w:pPr>
    <w:rPr>
      <w:rFonts w:ascii="Cambria Math" w:hAnsi="Cambria Math"/>
      <w:sz w:val="16"/>
      <w:szCs w:val="16"/>
    </w:rPr>
  </w:style>
  <w:style w:type="paragraph" w:styleId="28">
    <w:name w:val="toc 2"/>
    <w:basedOn w:val="1"/>
    <w:next w:val="1"/>
    <w:unhideWhenUsed/>
    <w:qFormat/>
    <w:uiPriority w:val="39"/>
    <w:pPr>
      <w:tabs>
        <w:tab w:val="left" w:pos="851"/>
        <w:tab w:val="right" w:leader="dot" w:pos="8296"/>
      </w:tabs>
      <w:ind w:left="420" w:leftChars="200"/>
    </w:pPr>
  </w:style>
  <w:style w:type="paragraph" w:styleId="29">
    <w:name w:val="Normal (Web)"/>
    <w:basedOn w:val="1"/>
    <w:unhideWhenUsed/>
    <w:qFormat/>
    <w:uiPriority w:val="99"/>
    <w:rPr>
      <w:sz w:val="24"/>
    </w:rPr>
  </w:style>
  <w:style w:type="paragraph" w:styleId="30">
    <w:name w:val="Title"/>
    <w:basedOn w:val="1"/>
    <w:next w:val="1"/>
    <w:qFormat/>
    <w:uiPriority w:val="0"/>
    <w:pPr>
      <w:spacing w:before="240" w:after="60"/>
      <w:jc w:val="center"/>
      <w:outlineLvl w:val="0"/>
    </w:pPr>
    <w:rPr>
      <w:rFonts w:ascii="Arial" w:hAnsi="Arial"/>
      <w:b/>
      <w:bCs/>
      <w:sz w:val="32"/>
      <w:szCs w:val="32"/>
    </w:rPr>
  </w:style>
  <w:style w:type="paragraph" w:styleId="31">
    <w:name w:val="annotation subject"/>
    <w:basedOn w:val="15"/>
    <w:next w:val="15"/>
    <w:link w:val="57"/>
    <w:unhideWhenUsed/>
    <w:qFormat/>
    <w:uiPriority w:val="99"/>
    <w:rPr>
      <w:b/>
      <w:bCs/>
    </w:rPr>
  </w:style>
  <w:style w:type="paragraph" w:styleId="32">
    <w:name w:val="Body Text First Indent 2"/>
    <w:basedOn w:val="17"/>
    <w:unhideWhenUsed/>
    <w:qFormat/>
    <w:uiPriority w:val="0"/>
    <w:pPr>
      <w:spacing w:after="0"/>
      <w:ind w:left="0" w:leftChars="0" w:firstLine="420"/>
    </w:p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rPr>
  </w:style>
  <w:style w:type="character" w:styleId="37">
    <w:name w:val="page number"/>
    <w:qFormat/>
    <w:uiPriority w:val="0"/>
    <w:rPr>
      <w:rFonts w:ascii="Cambria Math" w:hAnsi="Cambria Math" w:eastAsia="黑体"/>
      <w:sz w:val="18"/>
    </w:rPr>
  </w:style>
  <w:style w:type="character" w:styleId="38">
    <w:name w:val="FollowedHyperlink"/>
    <w:unhideWhenUsed/>
    <w:qFormat/>
    <w:uiPriority w:val="99"/>
    <w:rPr>
      <w:color w:val="333333"/>
      <w:u w:val="none"/>
    </w:rPr>
  </w:style>
  <w:style w:type="character" w:styleId="39">
    <w:name w:val="HTML Definition"/>
    <w:unhideWhenUsed/>
    <w:qFormat/>
    <w:uiPriority w:val="99"/>
  </w:style>
  <w:style w:type="character" w:styleId="40">
    <w:name w:val="HTML Variable"/>
    <w:unhideWhenUsed/>
    <w:qFormat/>
    <w:uiPriority w:val="99"/>
  </w:style>
  <w:style w:type="character" w:styleId="41">
    <w:name w:val="Hyperlink"/>
    <w:unhideWhenUsed/>
    <w:qFormat/>
    <w:uiPriority w:val="99"/>
    <w:rPr>
      <w:color w:val="333333"/>
      <w:u w:val="none"/>
    </w:rPr>
  </w:style>
  <w:style w:type="character" w:styleId="42">
    <w:name w:val="HTML Code"/>
    <w:unhideWhenUsed/>
    <w:qFormat/>
    <w:uiPriority w:val="99"/>
    <w:rPr>
      <w:rFonts w:ascii="Cambria" w:hAnsi="Cambria"/>
      <w:sz w:val="20"/>
    </w:rPr>
  </w:style>
  <w:style w:type="character" w:styleId="43">
    <w:name w:val="annotation reference"/>
    <w:unhideWhenUsed/>
    <w:qFormat/>
    <w:uiPriority w:val="99"/>
    <w:rPr>
      <w:sz w:val="21"/>
      <w:szCs w:val="21"/>
    </w:rPr>
  </w:style>
  <w:style w:type="character" w:styleId="44">
    <w:name w:val="HTML Cite"/>
    <w:unhideWhenUsed/>
    <w:qFormat/>
    <w:uiPriority w:val="99"/>
  </w:style>
  <w:style w:type="character" w:customStyle="1" w:styleId="45">
    <w:name w:val="标题 1 字符"/>
    <w:link w:val="2"/>
    <w:qFormat/>
    <w:uiPriority w:val="9"/>
    <w:rPr>
      <w:rFonts w:ascii="Times New Roman" w:hAnsi="Times New Roman" w:eastAsia="黑体"/>
      <w:b/>
      <w:bCs/>
      <w:kern w:val="44"/>
      <w:sz w:val="21"/>
      <w:szCs w:val="44"/>
    </w:rPr>
  </w:style>
  <w:style w:type="character" w:customStyle="1" w:styleId="46">
    <w:name w:val="标题 2 字符"/>
    <w:link w:val="3"/>
    <w:qFormat/>
    <w:uiPriority w:val="99"/>
    <w:rPr>
      <w:rFonts w:ascii="Times New Roman" w:hAnsi="Times New Roman" w:eastAsia="黑体"/>
      <w:b/>
      <w:bCs/>
      <w:kern w:val="2"/>
      <w:sz w:val="21"/>
      <w:szCs w:val="21"/>
      <w:lang w:val="en-US" w:eastAsia="zh-CN" w:bidi="ar-SA"/>
    </w:rPr>
  </w:style>
  <w:style w:type="character" w:customStyle="1" w:styleId="47">
    <w:name w:val="标题 4 字符"/>
    <w:link w:val="5"/>
    <w:semiHidden/>
    <w:qFormat/>
    <w:uiPriority w:val="9"/>
    <w:rPr>
      <w:rFonts w:ascii="Calibri" w:hAnsi="Calibri" w:eastAsia="黑体" w:cs="Cambria Math"/>
      <w:b/>
      <w:bCs/>
      <w:kern w:val="2"/>
      <w:sz w:val="28"/>
      <w:szCs w:val="28"/>
    </w:rPr>
  </w:style>
  <w:style w:type="character" w:customStyle="1" w:styleId="48">
    <w:name w:val="文档结构图 字符"/>
    <w:link w:val="14"/>
    <w:semiHidden/>
    <w:qFormat/>
    <w:uiPriority w:val="99"/>
    <w:rPr>
      <w:rFonts w:ascii="宋体"/>
      <w:kern w:val="2"/>
      <w:sz w:val="18"/>
      <w:szCs w:val="18"/>
    </w:rPr>
  </w:style>
  <w:style w:type="character" w:customStyle="1" w:styleId="49">
    <w:name w:val="批注文字 字符1"/>
    <w:link w:val="15"/>
    <w:qFormat/>
    <w:uiPriority w:val="99"/>
    <w:rPr>
      <w:kern w:val="2"/>
      <w:sz w:val="21"/>
      <w:szCs w:val="22"/>
    </w:rPr>
  </w:style>
  <w:style w:type="character" w:customStyle="1" w:styleId="50">
    <w:name w:val="正文文本 字符"/>
    <w:link w:val="16"/>
    <w:qFormat/>
    <w:uiPriority w:val="99"/>
    <w:rPr>
      <w:kern w:val="2"/>
      <w:sz w:val="21"/>
      <w:szCs w:val="22"/>
    </w:rPr>
  </w:style>
  <w:style w:type="character" w:customStyle="1" w:styleId="51">
    <w:name w:val="纯文本 字符"/>
    <w:link w:val="19"/>
    <w:qFormat/>
    <w:uiPriority w:val="0"/>
    <w:rPr>
      <w:rFonts w:ascii="黑体" w:hAnsi="Cambria"/>
      <w:kern w:val="2"/>
      <w:sz w:val="21"/>
    </w:rPr>
  </w:style>
  <w:style w:type="character" w:customStyle="1" w:styleId="52">
    <w:name w:val="日期 字符"/>
    <w:link w:val="20"/>
    <w:semiHidden/>
    <w:qFormat/>
    <w:uiPriority w:val="99"/>
    <w:rPr>
      <w:kern w:val="2"/>
      <w:sz w:val="21"/>
      <w:szCs w:val="22"/>
    </w:rPr>
  </w:style>
  <w:style w:type="character" w:customStyle="1" w:styleId="53">
    <w:name w:val="批注框文本 字符"/>
    <w:link w:val="21"/>
    <w:qFormat/>
    <w:uiPriority w:val="99"/>
    <w:rPr>
      <w:kern w:val="2"/>
      <w:sz w:val="18"/>
      <w:szCs w:val="18"/>
    </w:rPr>
  </w:style>
  <w:style w:type="character" w:customStyle="1" w:styleId="54">
    <w:name w:val="页脚 字符"/>
    <w:link w:val="22"/>
    <w:qFormat/>
    <w:uiPriority w:val="0"/>
    <w:rPr>
      <w:kern w:val="2"/>
      <w:sz w:val="18"/>
      <w:szCs w:val="18"/>
    </w:rPr>
  </w:style>
  <w:style w:type="character" w:customStyle="1" w:styleId="55">
    <w:name w:val="页眉 字符"/>
    <w:link w:val="24"/>
    <w:qFormat/>
    <w:uiPriority w:val="99"/>
    <w:rPr>
      <w:kern w:val="2"/>
      <w:sz w:val="18"/>
      <w:szCs w:val="18"/>
    </w:rPr>
  </w:style>
  <w:style w:type="character" w:customStyle="1" w:styleId="56">
    <w:name w:val="正文文本缩进 3 字符"/>
    <w:link w:val="27"/>
    <w:qFormat/>
    <w:uiPriority w:val="0"/>
    <w:rPr>
      <w:rFonts w:ascii="Cambria Math" w:hAnsi="Cambria Math"/>
      <w:kern w:val="2"/>
      <w:sz w:val="16"/>
      <w:szCs w:val="16"/>
    </w:rPr>
  </w:style>
  <w:style w:type="character" w:customStyle="1" w:styleId="57">
    <w:name w:val="批注主题 字符"/>
    <w:link w:val="31"/>
    <w:semiHidden/>
    <w:qFormat/>
    <w:uiPriority w:val="99"/>
    <w:rPr>
      <w:b/>
      <w:bCs/>
      <w:kern w:val="2"/>
      <w:sz w:val="21"/>
      <w:szCs w:val="22"/>
    </w:rPr>
  </w:style>
  <w:style w:type="character" w:customStyle="1" w:styleId="58">
    <w:name w:val="批注文字 字符"/>
    <w:qFormat/>
    <w:locked/>
    <w:uiPriority w:val="99"/>
    <w:rPr>
      <w:kern w:val="2"/>
      <w:sz w:val="21"/>
      <w:szCs w:val="24"/>
    </w:rPr>
  </w:style>
  <w:style w:type="character" w:customStyle="1" w:styleId="59">
    <w:name w:val="一级条标题 Char Char"/>
    <w:link w:val="60"/>
    <w:qFormat/>
    <w:uiPriority w:val="0"/>
    <w:rPr>
      <w:rFonts w:ascii="EU-F1" w:hAnsi="Cambria Math" w:eastAsia="EU-F1"/>
      <w:sz w:val="21"/>
    </w:rPr>
  </w:style>
  <w:style w:type="paragraph" w:customStyle="1" w:styleId="60">
    <w:name w:val="一级条标题"/>
    <w:basedOn w:val="61"/>
    <w:next w:val="1"/>
    <w:link w:val="59"/>
    <w:qFormat/>
    <w:uiPriority w:val="0"/>
    <w:pPr>
      <w:outlineLvl w:val="2"/>
    </w:pPr>
    <w:rPr>
      <w:rFonts w:ascii="EU-F1" w:hAnsi="Cambria Math" w:eastAsia="EU-F1"/>
    </w:rPr>
  </w:style>
  <w:style w:type="paragraph" w:customStyle="1" w:styleId="61">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62">
    <w:name w:val="段"/>
    <w:qFormat/>
    <w:uiPriority w:val="0"/>
    <w:pPr>
      <w:ind w:firstLine="200" w:firstLineChars="200"/>
      <w:jc w:val="both"/>
    </w:pPr>
    <w:rPr>
      <w:rFonts w:ascii="黑体" w:hAnsi="Times New Roman" w:eastAsia="宋体" w:cs="Times New Roman"/>
      <w:sz w:val="21"/>
      <w:lang w:val="en-US" w:eastAsia="zh-CN" w:bidi="ar-SA"/>
    </w:rPr>
  </w:style>
  <w:style w:type="character" w:customStyle="1" w:styleId="63">
    <w:name w:val="yzm-a3"/>
    <w:qFormat/>
    <w:uiPriority w:val="0"/>
    <w:rPr>
      <w:color w:val="ACACAC"/>
    </w:rPr>
  </w:style>
  <w:style w:type="character" w:customStyle="1" w:styleId="64">
    <w:name w:val="nocol"/>
    <w:qFormat/>
    <w:uiPriority w:val="0"/>
    <w:rPr>
      <w:color w:val="333333"/>
    </w:rPr>
  </w:style>
  <w:style w:type="character" w:customStyle="1" w:styleId="65">
    <w:name w:val="f-btn"/>
    <w:qFormat/>
    <w:uiPriority w:val="0"/>
    <w:rPr>
      <w:sz w:val="27"/>
      <w:szCs w:val="27"/>
    </w:rPr>
  </w:style>
  <w:style w:type="character" w:customStyle="1" w:styleId="66">
    <w:name w:val="yzm-a1"/>
    <w:qFormat/>
    <w:uiPriority w:val="0"/>
    <w:rPr>
      <w:rFonts w:hint="eastAsia" w:ascii="黑体" w:hAnsi="黑体" w:eastAsia="黑体" w:cs="黑体"/>
      <w:color w:val="ACACAC"/>
      <w:sz w:val="18"/>
      <w:szCs w:val="18"/>
    </w:rPr>
  </w:style>
  <w:style w:type="character" w:customStyle="1" w:styleId="67">
    <w:name w:val="正文格式 Char"/>
    <w:link w:val="68"/>
    <w:qFormat/>
    <w:uiPriority w:val="0"/>
    <w:rPr>
      <w:rFonts w:ascii="黑体" w:hAnsi="黑体"/>
      <w:bCs/>
      <w:kern w:val="2"/>
      <w:sz w:val="21"/>
      <w:szCs w:val="21"/>
    </w:rPr>
  </w:style>
  <w:style w:type="paragraph" w:customStyle="1" w:styleId="68">
    <w:name w:val="正文格式"/>
    <w:basedOn w:val="1"/>
    <w:link w:val="67"/>
    <w:qFormat/>
    <w:uiPriority w:val="0"/>
    <w:pPr>
      <w:topLinePunct/>
      <w:ind w:firstLine="420"/>
    </w:pPr>
    <w:rPr>
      <w:rFonts w:ascii="黑体" w:hAnsi="黑体"/>
      <w:bCs/>
      <w:szCs w:val="21"/>
    </w:rPr>
  </w:style>
  <w:style w:type="character" w:customStyle="1" w:styleId="69">
    <w:name w:val="表头 Char"/>
    <w:link w:val="70"/>
    <w:qFormat/>
    <w:uiPriority w:val="0"/>
    <w:rPr>
      <w:rFonts w:eastAsia="EU-F1"/>
      <w:kern w:val="2"/>
      <w:sz w:val="21"/>
    </w:rPr>
  </w:style>
  <w:style w:type="paragraph" w:customStyle="1" w:styleId="70">
    <w:name w:val="表头"/>
    <w:basedOn w:val="1"/>
    <w:link w:val="69"/>
    <w:qFormat/>
    <w:uiPriority w:val="0"/>
    <w:pPr>
      <w:topLinePunct/>
      <w:spacing w:before="160" w:after="60"/>
      <w:jc w:val="center"/>
    </w:pPr>
    <w:rPr>
      <w:rFonts w:eastAsia="EU-F1"/>
      <w:szCs w:val="20"/>
    </w:rPr>
  </w:style>
  <w:style w:type="character" w:customStyle="1" w:styleId="71">
    <w:name w:val="gray"/>
    <w:qFormat/>
    <w:uiPriority w:val="0"/>
    <w:rPr>
      <w:sz w:val="18"/>
      <w:szCs w:val="18"/>
    </w:rPr>
  </w:style>
  <w:style w:type="character" w:customStyle="1" w:styleId="72">
    <w:name w:val="二级条标题 Char"/>
    <w:link w:val="73"/>
    <w:qFormat/>
    <w:uiPriority w:val="0"/>
    <w:rPr>
      <w:rFonts w:ascii="EU-F1" w:eastAsia="EU-F1"/>
      <w:b/>
      <w:sz w:val="21"/>
    </w:rPr>
  </w:style>
  <w:style w:type="paragraph" w:customStyle="1" w:styleId="73">
    <w:name w:val="二级条标题"/>
    <w:basedOn w:val="60"/>
    <w:next w:val="62"/>
    <w:link w:val="72"/>
    <w:qFormat/>
    <w:uiPriority w:val="0"/>
    <w:pPr>
      <w:outlineLvl w:val="3"/>
    </w:pPr>
    <w:rPr>
      <w:rFonts w:hAnsi="Times New Roman"/>
      <w:b/>
    </w:rPr>
  </w:style>
  <w:style w:type="character" w:customStyle="1" w:styleId="74">
    <w:name w:val="nobd"/>
    <w:qFormat/>
    <w:uiPriority w:val="0"/>
  </w:style>
  <w:style w:type="character" w:customStyle="1" w:styleId="75">
    <w:name w:val="首行缩进 Char"/>
    <w:link w:val="76"/>
    <w:qFormat/>
    <w:uiPriority w:val="99"/>
    <w:rPr>
      <w:rFonts w:eastAsia="宋体" w:cs="黑体"/>
      <w:kern w:val="2"/>
      <w:sz w:val="21"/>
    </w:rPr>
  </w:style>
  <w:style w:type="paragraph" w:customStyle="1" w:styleId="76">
    <w:name w:val="首行缩进"/>
    <w:basedOn w:val="1"/>
    <w:link w:val="75"/>
    <w:qFormat/>
    <w:uiPriority w:val="99"/>
    <w:pPr>
      <w:ind w:firstLine="420"/>
    </w:pPr>
    <w:rPr>
      <w:szCs w:val="20"/>
    </w:rPr>
  </w:style>
  <w:style w:type="character" w:customStyle="1" w:styleId="77">
    <w:name w:val="jp-artist"/>
    <w:qFormat/>
    <w:uiPriority w:val="0"/>
    <w:rPr>
      <w:color w:val="666666"/>
      <w:sz w:val="16"/>
      <w:szCs w:val="16"/>
    </w:rPr>
  </w:style>
  <w:style w:type="character" w:customStyle="1" w:styleId="78">
    <w:name w:val="纯文本 Char1"/>
    <w:semiHidden/>
    <w:qFormat/>
    <w:uiPriority w:val="99"/>
    <w:rPr>
      <w:rFonts w:ascii="黑体" w:hAnsi="Cambria" w:cs="Cambria"/>
      <w:kern w:val="2"/>
      <w:sz w:val="21"/>
      <w:szCs w:val="21"/>
    </w:rPr>
  </w:style>
  <w:style w:type="character" w:customStyle="1" w:styleId="79">
    <w:name w:val="yzm-a2"/>
    <w:qFormat/>
    <w:uiPriority w:val="0"/>
    <w:rPr>
      <w:color w:val="ACACAC"/>
    </w:rPr>
  </w:style>
  <w:style w:type="character" w:customStyle="1" w:styleId="80">
    <w:name w:val="yzm-a"/>
    <w:qFormat/>
    <w:uiPriority w:val="0"/>
    <w:rPr>
      <w:rFonts w:hint="eastAsia" w:ascii="黑体" w:hAnsi="黑体" w:eastAsia="黑体" w:cs="黑体"/>
      <w:color w:val="ACACAC"/>
      <w:sz w:val="18"/>
      <w:szCs w:val="18"/>
    </w:rPr>
  </w:style>
  <w:style w:type="character" w:customStyle="1" w:styleId="81">
    <w:name w:val="hot-top"/>
    <w:qFormat/>
    <w:uiPriority w:val="0"/>
  </w:style>
  <w:style w:type="paragraph" w:customStyle="1" w:styleId="82">
    <w:name w:val="注×：（正文）"/>
    <w:qFormat/>
    <w:uiPriority w:val="0"/>
    <w:pPr>
      <w:tabs>
        <w:tab w:val="left" w:pos="360"/>
      </w:tabs>
      <w:jc w:val="both"/>
    </w:pPr>
    <w:rPr>
      <w:rFonts w:ascii="黑体" w:hAnsi="Times New Roman" w:eastAsia="宋体" w:cs="Times New Roman"/>
      <w:sz w:val="18"/>
      <w:szCs w:val="18"/>
      <w:lang w:val="en-US" w:eastAsia="zh-CN" w:bidi="ar-SA"/>
    </w:rPr>
  </w:style>
  <w:style w:type="paragraph" w:customStyle="1" w:styleId="83">
    <w:name w:val="Default"/>
    <w:qFormat/>
    <w:uiPriority w:val="0"/>
    <w:pPr>
      <w:widowControl w:val="0"/>
      <w:autoSpaceDE w:val="0"/>
      <w:autoSpaceDN w:val="0"/>
      <w:adjustRightInd w:val="0"/>
    </w:pPr>
    <w:rPr>
      <w:rFonts w:ascii="黑体" w:hAnsi="Times New Roman" w:eastAsia="宋体" w:cs="黑体"/>
      <w:color w:val="000000"/>
      <w:sz w:val="24"/>
      <w:szCs w:val="24"/>
      <w:lang w:val="en-US" w:eastAsia="zh-CN" w:bidi="ar-SA"/>
    </w:rPr>
  </w:style>
  <w:style w:type="paragraph" w:customStyle="1" w:styleId="84">
    <w:name w:val="_Style 82"/>
    <w:basedOn w:val="2"/>
    <w:next w:val="1"/>
    <w:qFormat/>
    <w:uiPriority w:val="39"/>
    <w:pPr>
      <w:widowControl/>
      <w:spacing w:before="480" w:line="276" w:lineRule="auto"/>
      <w:jc w:val="left"/>
      <w:outlineLvl w:val="9"/>
    </w:pPr>
    <w:rPr>
      <w:rFonts w:ascii="Calibri" w:hAnsi="Calibri" w:cs="Cambria Math"/>
      <w:color w:val="365F91"/>
      <w:kern w:val="0"/>
      <w:sz w:val="28"/>
      <w:szCs w:val="28"/>
    </w:rPr>
  </w:style>
  <w:style w:type="paragraph" w:styleId="85">
    <w:name w:val="List Paragraph"/>
    <w:basedOn w:val="1"/>
    <w:qFormat/>
    <w:uiPriority w:val="0"/>
    <w:pPr>
      <w:ind w:firstLine="420"/>
    </w:pPr>
  </w:style>
  <w:style w:type="paragraph" w:customStyle="1" w:styleId="86">
    <w:name w:val="标准书眉一"/>
    <w:qFormat/>
    <w:uiPriority w:val="0"/>
    <w:pPr>
      <w:jc w:val="both"/>
    </w:pPr>
    <w:rPr>
      <w:rFonts w:ascii="Times New Roman" w:hAnsi="Times New Roman" w:eastAsia="宋体" w:cs="Times New Roman"/>
      <w:lang w:val="en-US" w:eastAsia="zh-CN" w:bidi="ar-SA"/>
    </w:rPr>
  </w:style>
  <w:style w:type="paragraph" w:customStyle="1" w:styleId="87">
    <w:name w:val="目次、标准名称标题"/>
    <w:basedOn w:val="1"/>
    <w:next w:val="62"/>
    <w:qFormat/>
    <w:uiPriority w:val="0"/>
    <w:pPr>
      <w:widowControl/>
      <w:shd w:val="clear" w:color="FFFFFF" w:fill="FFFFFF"/>
      <w:spacing w:before="640" w:after="560" w:line="460" w:lineRule="exact"/>
      <w:jc w:val="center"/>
    </w:pPr>
    <w:rPr>
      <w:rFonts w:ascii="EU-F1" w:hAnsi="Cambria Math" w:eastAsia="EU-F1"/>
      <w:kern w:val="0"/>
      <w:sz w:val="32"/>
      <w:szCs w:val="20"/>
    </w:rPr>
  </w:style>
  <w:style w:type="paragraph" w:customStyle="1" w:styleId="8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styleId="8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9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91">
    <w:name w:val="_Style 89"/>
    <w:semiHidden/>
    <w:qFormat/>
    <w:uiPriority w:val="99"/>
    <w:rPr>
      <w:rFonts w:ascii="Times New Roman" w:hAnsi="Times New Roman" w:eastAsia="宋体" w:cs="Times New Roman"/>
      <w:kern w:val="2"/>
      <w:sz w:val="21"/>
      <w:szCs w:val="22"/>
      <w:lang w:val="en-US" w:eastAsia="zh-CN" w:bidi="ar-SA"/>
    </w:rPr>
  </w:style>
  <w:style w:type="paragraph" w:customStyle="1" w:styleId="9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93">
    <w:name w:val="Char"/>
    <w:basedOn w:val="1"/>
    <w:qFormat/>
    <w:uiPriority w:val="0"/>
    <w:rPr>
      <w:rFonts w:ascii="Cambria Math" w:hAnsi="Cambria Math"/>
      <w:szCs w:val="20"/>
    </w:rPr>
  </w:style>
  <w:style w:type="paragraph" w:customStyle="1" w:styleId="94">
    <w:name w:val="前言、引言标题"/>
    <w:next w:val="1"/>
    <w:qFormat/>
    <w:uiPriority w:val="0"/>
    <w:pPr>
      <w:shd w:val="clear" w:color="FFFFFF" w:fill="FFFFFF"/>
      <w:spacing w:before="640" w:after="560"/>
      <w:ind w:left="425" w:hanging="425"/>
      <w:jc w:val="center"/>
      <w:outlineLvl w:val="0"/>
    </w:pPr>
    <w:rPr>
      <w:rFonts w:ascii="EU-F1" w:hAnsi="Times New Roman" w:eastAsia="EU-F1" w:cs="Times New Roman"/>
      <w:b/>
      <w:sz w:val="32"/>
      <w:lang w:val="en-US" w:eastAsia="zh-CN" w:bidi="ar-SA"/>
    </w:rPr>
  </w:style>
  <w:style w:type="paragraph" w:customStyle="1" w:styleId="95">
    <w:name w:val="标准书眉_偶数页"/>
    <w:basedOn w:val="88"/>
    <w:next w:val="1"/>
    <w:qFormat/>
    <w:uiPriority w:val="0"/>
    <w:pPr>
      <w:jc w:val="left"/>
    </w:pPr>
  </w:style>
  <w:style w:type="paragraph" w:customStyle="1" w:styleId="96">
    <w:name w:val="标准称谓"/>
    <w:next w:val="1"/>
    <w:qFormat/>
    <w:uiPriority w:val="0"/>
    <w:pPr>
      <w:widowControl w:val="0"/>
      <w:kinsoku w:val="0"/>
      <w:overflowPunct w:val="0"/>
      <w:autoSpaceDE w:val="0"/>
      <w:autoSpaceDN w:val="0"/>
      <w:spacing w:line="0" w:lineRule="atLeast"/>
      <w:jc w:val="distribute"/>
    </w:pPr>
    <w:rPr>
      <w:rFonts w:ascii="黑体" w:hAnsi="Times New Roman" w:eastAsia="宋体" w:cs="Times New Roman"/>
      <w:b/>
      <w:bCs/>
      <w:spacing w:val="20"/>
      <w:w w:val="148"/>
      <w:sz w:val="52"/>
      <w:lang w:val="en-US" w:eastAsia="zh-CN" w:bidi="ar-SA"/>
    </w:rPr>
  </w:style>
  <w:style w:type="paragraph" w:customStyle="1" w:styleId="97">
    <w:name w:val="_Style 5"/>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98">
    <w:name w:val="_Style 35"/>
    <w:basedOn w:val="1"/>
    <w:qFormat/>
    <w:uiPriority w:val="0"/>
    <w:pPr>
      <w:ind w:firstLine="420"/>
    </w:pPr>
  </w:style>
  <w:style w:type="paragraph" w:customStyle="1" w:styleId="99">
    <w:name w:val="列出段落1"/>
    <w:basedOn w:val="1"/>
    <w:qFormat/>
    <w:uiPriority w:val="0"/>
    <w:pPr>
      <w:ind w:firstLine="420"/>
    </w:pPr>
    <w:rPr>
      <w:rFonts w:ascii="Cambria Math" w:hAnsi="Cambria Math"/>
      <w:szCs w:val="24"/>
    </w:rPr>
  </w:style>
  <w:style w:type="table" w:customStyle="1" w:styleId="100">
    <w:name w:val="网格型1"/>
    <w:basedOn w:val="33"/>
    <w:qFormat/>
    <w:uiPriority w:val="39"/>
    <w:rPr>
      <w:rFonts w:ascii="Cambria Math" w:hAnsi="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正文0"/>
    <w:qFormat/>
    <w:uiPriority w:val="0"/>
    <w:pPr>
      <w:widowControl w:val="0"/>
      <w:spacing w:line="360" w:lineRule="auto"/>
      <w:ind w:firstLine="480" w:firstLineChars="200"/>
      <w:jc w:val="both"/>
    </w:pPr>
    <w:rPr>
      <w:rFonts w:ascii="Times New Roman" w:hAnsi="Times New Roman" w:eastAsia="宋体" w:cs="Times New Roman"/>
      <w:kern w:val="2"/>
      <w:sz w:val="24"/>
      <w:lang w:val="en-US" w:eastAsia="zh-CN" w:bidi="ar-SA"/>
    </w:rPr>
  </w:style>
  <w:style w:type="paragraph" w:customStyle="1" w:styleId="102">
    <w:name w:val="三级条标题"/>
    <w:basedOn w:val="73"/>
    <w:next w:val="62"/>
    <w:qFormat/>
    <w:uiPriority w:val="0"/>
    <w:pPr>
      <w:numPr>
        <w:ilvl w:val="4"/>
        <w:numId w:val="3"/>
      </w:numPr>
      <w:outlineLvl w:val="4"/>
    </w:pPr>
  </w:style>
  <w:style w:type="paragraph" w:customStyle="1" w:styleId="103">
    <w:name w:val="注×："/>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104">
    <w:name w:val="Table Paragraph"/>
    <w:basedOn w:val="1"/>
    <w:qFormat/>
    <w:uiPriority w:val="1"/>
    <w:pPr>
      <w:autoSpaceDE w:val="0"/>
      <w:autoSpaceDN w:val="0"/>
      <w:adjustRightInd w:val="0"/>
      <w:spacing w:before="43"/>
      <w:ind w:left="208"/>
      <w:jc w:val="center"/>
    </w:pPr>
    <w:rPr>
      <w:rFonts w:ascii="宋体" w:cs="宋体"/>
      <w:kern w:val="0"/>
      <w:sz w:val="24"/>
    </w:rPr>
  </w:style>
  <w:style w:type="paragraph" w:customStyle="1" w:styleId="105">
    <w:name w:val="附录章标题"/>
    <w:next w:val="62"/>
    <w:qFormat/>
    <w:uiPriority w:val="0"/>
    <w:pPr>
      <w:numPr>
        <w:ilvl w:val="1"/>
        <w:numId w:val="5"/>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表格"/>
    <w:basedOn w:val="1"/>
    <w:qFormat/>
    <w:uiPriority w:val="0"/>
    <w:pPr>
      <w:jc w:val="center"/>
    </w:pPr>
    <w:rPr>
      <w:rFonts w:ascii="宋体" w:hAnsi="宋体"/>
      <w:szCs w:val="21"/>
    </w:rPr>
  </w:style>
  <w:style w:type="character" w:customStyle="1" w:styleId="107">
    <w:name w:val="font11"/>
    <w:qFormat/>
    <w:uiPriority w:val="0"/>
    <w:rPr>
      <w:rFonts w:hint="eastAsia" w:ascii="宋体" w:hAnsi="宋体" w:eastAsia="宋体" w:cs="宋体"/>
      <w:color w:val="000000"/>
      <w:sz w:val="21"/>
      <w:szCs w:val="21"/>
      <w:u w:val="none"/>
    </w:rPr>
  </w:style>
  <w:style w:type="paragraph" w:customStyle="1" w:styleId="108">
    <w:name w:val="_标准条文"/>
    <w:basedOn w:val="1"/>
    <w:qFormat/>
    <w:uiPriority w:val="0"/>
    <w:pPr>
      <w:overflowPunct w:val="0"/>
      <w:snapToGrid w:val="0"/>
      <w:spacing w:line="276" w:lineRule="auto"/>
      <w:ind w:firstLine="420"/>
    </w:pPr>
    <w:rPr>
      <w:rFonts w:ascii="Arial" w:hAnsi="Arial"/>
    </w:rPr>
  </w:style>
  <w:style w:type="paragraph" w:customStyle="1" w:styleId="109">
    <w:name w:val="_表格条文"/>
    <w:basedOn w:val="1"/>
    <w:qFormat/>
    <w:uiPriority w:val="0"/>
    <w:pPr>
      <w:spacing w:line="276" w:lineRule="auto"/>
    </w:pPr>
    <w:rPr>
      <w:rFonts w:ascii="Arial" w:hAnsi="Arial"/>
      <w:color w:val="000000"/>
      <w:sz w:val="18"/>
      <w:szCs w:val="21"/>
    </w:rPr>
  </w:style>
  <w:style w:type="paragraph" w:customStyle="1" w:styleId="110">
    <w:name w:val="_列表编号1"/>
    <w:basedOn w:val="11"/>
    <w:qFormat/>
    <w:uiPriority w:val="0"/>
    <w:pPr>
      <w:tabs>
        <w:tab w:val="left" w:pos="360"/>
        <w:tab w:val="left" w:pos="800"/>
      </w:tabs>
      <w:snapToGrid w:val="0"/>
      <w:spacing w:line="276" w:lineRule="auto"/>
      <w:ind w:left="800" w:hanging="400"/>
    </w:pPr>
  </w:style>
  <w:style w:type="paragraph" w:customStyle="1" w:styleId="111">
    <w:name w:val="目录 42"/>
    <w:basedOn w:val="1"/>
    <w:next w:val="1"/>
    <w:qFormat/>
    <w:uiPriority w:val="0"/>
    <w:pPr>
      <w:ind w:left="630"/>
    </w:pPr>
  </w:style>
  <w:style w:type="paragraph" w:customStyle="1" w:styleId="112">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113">
    <w:name w:val="公文正文"/>
    <w:qFormat/>
    <w:uiPriority w:val="0"/>
    <w:pPr>
      <w:snapToGrid w:val="0"/>
      <w:spacing w:line="560" w:lineRule="exact"/>
      <w:ind w:firstLine="672" w:firstLineChars="200"/>
      <w:jc w:val="both"/>
    </w:pPr>
    <w:rPr>
      <w:rFonts w:ascii="仿宋_GB2312" w:hAnsi="仿宋_GB2312" w:eastAsia="仿宋_GB2312" w:cs="仿宋_GB2312"/>
      <w:kern w:val="2"/>
      <w:sz w:val="32"/>
      <w:szCs w:val="32"/>
      <w:lang w:val="en-US" w:eastAsia="zh-CN" w:bidi="ar-SA"/>
    </w:rPr>
  </w:style>
  <w:style w:type="character" w:customStyle="1" w:styleId="114">
    <w:name w:val="标题 3 字符"/>
    <w:link w:val="4"/>
    <w:qFormat/>
    <w:uiPriority w:val="0"/>
    <w:rPr>
      <w:rFonts w:ascii="Cambria Math" w:hAnsi="Cambria Math" w:eastAsia="黑体"/>
      <w:b/>
      <w:szCs w:val="21"/>
    </w:rPr>
  </w:style>
  <w:style w:type="paragraph" w:customStyle="1" w:styleId="115">
    <w:name w:val="Revision"/>
    <w:hidden/>
    <w:unhideWhenUsed/>
    <w:qFormat/>
    <w:uiPriority w:val="99"/>
    <w:rPr>
      <w:rFonts w:ascii="Times New Roman" w:hAnsi="Times New Roman" w:eastAsia="宋体" w:cs="Times New Roman"/>
      <w:kern w:val="2"/>
      <w:sz w:val="21"/>
      <w:szCs w:val="22"/>
      <w:lang w:val="en-US" w:eastAsia="zh-CN" w:bidi="ar-SA"/>
    </w:rPr>
  </w:style>
  <w:style w:type="character" w:customStyle="1" w:styleId="116">
    <w:name w:val="font21"/>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11725</Words>
  <Characters>13310</Characters>
  <Lines>907</Lines>
  <Paragraphs>1282</Paragraphs>
  <TotalTime>0</TotalTime>
  <ScaleCrop>false</ScaleCrop>
  <LinksUpToDate>false</LinksUpToDate>
  <CharactersWithSpaces>13766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2026-03-09T07:03:00Z</dcterms:created>
  <dc:creator>jameslee</dc:creator>
  <cp:lastModifiedBy>NEDU</cp:lastModifiedBy>
  <cp:lastPrinted>2014-06-26T03:18:00Z</cp:lastPrinted>
  <dcterms:modified xsi:type="dcterms:W3CDTF">2026-03-12T09:29:48Z</dcterms:modified>
  <dc:title>配电线路故障指示器技术规范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2052-12.1.0.25225</vt:lpwstr>
  </property>
  <property fmtid="{D5CDD505-2E9C-101B-9397-08002B2CF9AE}" pid="4" name="ICV">
    <vt:lpwstr>91434154D7C54DFD9786AE72B4D51CA8_13</vt:lpwstr>
  </property>
  <property fmtid="{D5CDD505-2E9C-101B-9397-08002B2CF9AE}" pid="5" name="KSOTemplateDocerSaveRecord">
    <vt:lpwstr>eyJoZGlkIjoiN2Y5ZmM1ZmM1MTA3YzJiNzFlMDdkNDg0YmQ5MTlkZjkiLCJ1c2VySWQiOiI1MzU0NTQwNjkifQ==</vt:lpwstr>
  </property>
</Properties>
</file>