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1044"/>
        <w:rPr>
          <w:highlight w:val="none"/>
        </w:rPr>
      </w:pPr>
      <w:bookmarkStart w:id="435" w:name="_GoBack"/>
      <w:bookmarkStart w:id="0" w:name="_Toc131134327"/>
      <w:bookmarkStart w:id="1" w:name="_Toc183578143"/>
      <w:bookmarkStart w:id="2" w:name="_Toc131134226"/>
      <w:bookmarkStart w:id="3" w:name="_Toc114028927"/>
      <w:bookmarkStart w:id="4" w:name="_Toc131133981"/>
      <w:bookmarkStart w:id="5" w:name="_Toc131168595"/>
      <w:r>
        <w:rPr>
          <w:rFonts w:eastAsia="黑体"/>
          <w:b/>
          <w:sz w:val="52"/>
          <w:szCs w:val="22"/>
          <w:highlight w:val="none"/>
        </w:rPr>
        <w:drawing>
          <wp:anchor distT="0" distB="0" distL="114300" distR="114300" simplePos="0" relativeHeight="251659264" behindDoc="1" locked="0" layoutInCell="1" allowOverlap="1">
            <wp:simplePos x="0" y="0"/>
            <wp:positionH relativeFrom="column">
              <wp:posOffset>-1141095</wp:posOffset>
            </wp:positionH>
            <wp:positionV relativeFrom="paragraph">
              <wp:posOffset>-914400</wp:posOffset>
            </wp:positionV>
            <wp:extent cx="7594600" cy="2705735"/>
            <wp:effectExtent l="0" t="0" r="6350" b="18415"/>
            <wp:wrapTight wrapText="bothSides">
              <wp:wrapPolygon>
                <wp:start x="0" y="0"/>
                <wp:lineTo x="0" y="21443"/>
                <wp:lineTo x="21564" y="21443"/>
                <wp:lineTo x="21564" y="0"/>
                <wp:lineTo x="0" y="0"/>
              </wp:wrapPolygon>
            </wp:wrapTight>
            <wp:docPr id="1"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8" descr="模板-3"/>
                    <pic:cNvPicPr>
                      <a:picLocks noChangeAspect="1"/>
                    </pic:cNvPicPr>
                  </pic:nvPicPr>
                  <pic:blipFill>
                    <a:blip r:embed="rId21"/>
                    <a:srcRect l="499" t="710"/>
                    <a:stretch>
                      <a:fillRect/>
                    </a:stretch>
                  </pic:blipFill>
                  <pic:spPr>
                    <a:xfrm>
                      <a:off x="0" y="0"/>
                      <a:ext cx="7594600" cy="2705735"/>
                    </a:xfrm>
                    <a:prstGeom prst="rect">
                      <a:avLst/>
                    </a:prstGeom>
                    <a:noFill/>
                    <a:ln>
                      <a:noFill/>
                    </a:ln>
                  </pic:spPr>
                </pic:pic>
              </a:graphicData>
            </a:graphic>
          </wp:anchor>
        </w:drawing>
      </w:r>
    </w:p>
    <w:p>
      <w:pPr>
        <w:spacing w:before="624" w:beforeLines="200"/>
        <w:ind w:firstLine="0" w:firstLineChars="0"/>
        <w:jc w:val="center"/>
        <w:rPr>
          <w:rFonts w:eastAsia="黑体"/>
          <w:b/>
          <w:color w:val="FF0000"/>
          <w:sz w:val="52"/>
          <w:szCs w:val="22"/>
          <w:highlight w:val="none"/>
        </w:rPr>
      </w:pPr>
      <w:r>
        <w:rPr>
          <w:rFonts w:eastAsia="黑体"/>
          <w:b/>
          <w:sz w:val="52"/>
          <w:szCs w:val="22"/>
          <w:highlight w:val="none"/>
        </w:rPr>
        <w:br w:type="textWrapping"/>
      </w:r>
      <w:r>
        <w:rPr>
          <w:rFonts w:hint="eastAsia" w:eastAsia="黑体"/>
          <w:b/>
          <w:sz w:val="52"/>
          <w:szCs w:val="22"/>
          <w:highlight w:val="none"/>
        </w:rPr>
        <w:t>10kV电力电缆附件</w:t>
      </w:r>
    </w:p>
    <w:p>
      <w:pPr>
        <w:spacing w:before="624" w:beforeLines="200"/>
        <w:ind w:firstLine="0" w:firstLineChars="0"/>
        <w:jc w:val="center"/>
        <w:rPr>
          <w:rFonts w:eastAsia="黑体"/>
          <w:b/>
          <w:sz w:val="52"/>
          <w:szCs w:val="22"/>
          <w:highlight w:val="none"/>
        </w:rPr>
      </w:pPr>
      <w:r>
        <w:rPr>
          <w:rFonts w:eastAsia="黑体"/>
          <w:b/>
          <w:sz w:val="52"/>
          <w:szCs w:val="22"/>
          <w:highlight w:val="none"/>
        </w:rPr>
        <w:t>技术规范</w:t>
      </w:r>
      <w:r>
        <w:rPr>
          <w:rFonts w:hint="eastAsia" w:eastAsia="黑体"/>
          <w:b/>
          <w:sz w:val="52"/>
          <w:szCs w:val="22"/>
          <w:highlight w:val="none"/>
        </w:rPr>
        <w:t>书</w:t>
      </w:r>
      <w:r>
        <w:rPr>
          <w:rFonts w:eastAsia="黑体"/>
          <w:b/>
          <w:sz w:val="52"/>
          <w:szCs w:val="22"/>
          <w:highlight w:val="none"/>
        </w:rPr>
        <w:t>（专用部分）</w:t>
      </w:r>
    </w:p>
    <w:p>
      <w:pPr>
        <w:snapToGrid w:val="0"/>
        <w:spacing w:before="624" w:beforeLines="200"/>
        <w:ind w:firstLine="0" w:firstLineChars="0"/>
        <w:jc w:val="center"/>
        <w:rPr>
          <w:rFonts w:eastAsia="黑体"/>
          <w:b/>
          <w:sz w:val="36"/>
          <w:highlight w:val="none"/>
        </w:rPr>
      </w:pPr>
      <w:r>
        <w:rPr>
          <w:rFonts w:eastAsia="黑体"/>
          <w:b/>
          <w:sz w:val="36"/>
          <w:highlight w:val="none"/>
        </w:rPr>
        <w:t>版本号：202</w:t>
      </w:r>
      <w:r>
        <w:rPr>
          <w:rFonts w:hint="eastAsia" w:eastAsia="黑体"/>
          <w:b/>
          <w:sz w:val="36"/>
          <w:highlight w:val="none"/>
          <w:lang w:val="en-US" w:eastAsia="zh-CN"/>
        </w:rPr>
        <w:t>5</w:t>
      </w:r>
      <w:r>
        <w:rPr>
          <w:rFonts w:eastAsia="黑体"/>
          <w:b/>
          <w:sz w:val="36"/>
          <w:highlight w:val="none"/>
        </w:rPr>
        <w:t>版V1.0</w:t>
      </w:r>
    </w:p>
    <w:p>
      <w:pPr>
        <w:ind w:firstLine="723"/>
        <w:rPr>
          <w:rFonts w:eastAsia="黑体"/>
          <w:b/>
          <w:sz w:val="36"/>
          <w:highlight w:val="none"/>
        </w:rPr>
      </w:pPr>
    </w:p>
    <w:p>
      <w:pPr>
        <w:ind w:firstLine="723"/>
        <w:rPr>
          <w:rFonts w:eastAsia="黑体"/>
          <w:b/>
          <w:sz w:val="36"/>
          <w:highlight w:val="none"/>
        </w:rPr>
      </w:pPr>
    </w:p>
    <w:p>
      <w:pPr>
        <w:ind w:firstLine="723"/>
        <w:rPr>
          <w:rFonts w:eastAsia="黑体"/>
          <w:b/>
          <w:sz w:val="36"/>
          <w:highlight w:val="none"/>
        </w:rPr>
      </w:pPr>
    </w:p>
    <w:p>
      <w:pPr>
        <w:ind w:firstLine="723"/>
        <w:rPr>
          <w:rFonts w:eastAsia="黑体"/>
          <w:b/>
          <w:sz w:val="36"/>
          <w:highlight w:val="none"/>
        </w:rPr>
      </w:pPr>
      <w:r>
        <w:rPr>
          <w:rFonts w:eastAsia="黑体"/>
          <w:b/>
          <w:sz w:val="36"/>
          <w:highlight w:val="none"/>
        </w:rPr>
        <w:tab/>
      </w:r>
    </w:p>
    <w:p>
      <w:pPr>
        <w:spacing w:before="312" w:beforeLines="100"/>
        <w:ind w:firstLine="723"/>
        <w:jc w:val="center"/>
        <w:rPr>
          <w:rFonts w:eastAsia="黑体"/>
          <w:b/>
          <w:sz w:val="36"/>
          <w:highlight w:val="none"/>
        </w:rPr>
      </w:pPr>
    </w:p>
    <w:p>
      <w:pPr>
        <w:spacing w:before="624" w:beforeLines="200"/>
        <w:jc w:val="center"/>
        <w:rPr>
          <w:rFonts w:ascii="Times New Roman" w:hAnsi="Times New Roman" w:eastAsia="黑体" w:cs="Times New Roman"/>
          <w:b/>
          <w:sz w:val="30"/>
          <w:szCs w:val="30"/>
          <w:highlight w:val="none"/>
        </w:rPr>
      </w:pPr>
      <w:r>
        <w:rPr>
          <w:rFonts w:ascii="Times New Roman" w:hAnsi="Times New Roman" w:eastAsia="黑体" w:cs="Times New Roman"/>
          <w:b/>
          <w:sz w:val="30"/>
          <w:szCs w:val="30"/>
          <w:highlight w:val="none"/>
        </w:rPr>
        <w:t>中国南方电网有限责任公司</w:t>
      </w:r>
    </w:p>
    <w:p>
      <w:pPr>
        <w:snapToGrid w:val="0"/>
        <w:ind w:firstLine="898"/>
        <w:jc w:val="center"/>
        <w:rPr>
          <w:rFonts w:eastAsia="黑体"/>
          <w:b/>
          <w:spacing w:val="20"/>
          <w:w w:val="135"/>
          <w:sz w:val="30"/>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docGrid w:type="lines" w:linePitch="312" w:charSpace="0"/>
        </w:sectPr>
      </w:pPr>
      <w:r>
        <w:rPr>
          <w:rFonts w:ascii="Times New Roman" w:hAnsi="Times New Roman" w:eastAsia="黑体" w:cs="Times New Roman"/>
          <w:b/>
          <w:sz w:val="30"/>
          <w:szCs w:val="30"/>
          <w:highlight w:val="none"/>
        </w:rPr>
        <w:t>202</w:t>
      </w:r>
      <w:r>
        <w:rPr>
          <w:rFonts w:hint="default" w:ascii="Times New Roman" w:hAnsi="Times New Roman" w:eastAsia="黑体" w:cs="Times New Roman"/>
          <w:b/>
          <w:sz w:val="30"/>
          <w:szCs w:val="30"/>
          <w:highlight w:val="none"/>
          <w:lang w:val="en-US" w:eastAsia="zh-CN"/>
        </w:rPr>
        <w:t>5</w:t>
      </w:r>
      <w:r>
        <w:rPr>
          <w:rFonts w:ascii="Times New Roman" w:hAnsi="Times New Roman" w:eastAsia="黑体" w:cs="Times New Roman"/>
          <w:b/>
          <w:sz w:val="30"/>
          <w:szCs w:val="30"/>
          <w:highlight w:val="none"/>
        </w:rPr>
        <w:t>年10月</w:t>
      </w:r>
      <w:r>
        <w:rPr>
          <w:rFonts w:ascii="Times New Roman" w:hAnsi="Times New Roman" w:eastAsia="黑体" w:cs="Times New Roman"/>
          <w:b/>
          <w:spacing w:val="20"/>
          <w:w w:val="135"/>
          <w:sz w:val="30"/>
          <w:szCs w:val="30"/>
          <w:highlight w:val="none"/>
        </w:rPr>
        <w:t xml:space="preserve">  </w:t>
      </w:r>
      <w:r>
        <w:rPr>
          <w:rFonts w:eastAsia="黑体"/>
          <w:b/>
          <w:spacing w:val="20"/>
          <w:w w:val="135"/>
          <w:sz w:val="30"/>
          <w:highlight w:val="none"/>
        </w:rPr>
        <w:t xml:space="preserve">  </w:t>
      </w:r>
    </w:p>
    <w:bookmarkEnd w:id="0"/>
    <w:bookmarkEnd w:id="1"/>
    <w:bookmarkEnd w:id="2"/>
    <w:bookmarkEnd w:id="3"/>
    <w:bookmarkEnd w:id="4"/>
    <w:bookmarkEnd w:id="5"/>
    <w:p>
      <w:pPr>
        <w:spacing w:before="317" w:beforeLines="100" w:line="560" w:lineRule="exact"/>
        <w:ind w:left="850" w:firstLine="2200" w:firstLineChars="500"/>
        <w:rPr>
          <w:bCs/>
          <w:sz w:val="44"/>
          <w:szCs w:val="44"/>
          <w:highlight w:val="none"/>
        </w:rPr>
      </w:pPr>
      <w:bookmarkStart w:id="6" w:name="_Toc424392353"/>
      <w:bookmarkStart w:id="7" w:name="_Toc424393463"/>
      <w:r>
        <w:rPr>
          <w:rFonts w:eastAsia="方正小标宋_GBK"/>
          <w:bCs/>
          <w:sz w:val="44"/>
          <w:szCs w:val="44"/>
          <w:highlight w:val="none"/>
        </w:rPr>
        <w:t>知识产权声明</w:t>
      </w:r>
    </w:p>
    <w:p>
      <w:pPr>
        <w:spacing w:line="560" w:lineRule="exact"/>
        <w:ind w:left="851" w:firstLine="643"/>
        <w:jc w:val="center"/>
        <w:rPr>
          <w:b/>
          <w:sz w:val="32"/>
          <w:szCs w:val="32"/>
          <w:highlight w:val="none"/>
        </w:rPr>
      </w:pPr>
    </w:p>
    <w:p>
      <w:pPr>
        <w:spacing w:line="560" w:lineRule="exact"/>
        <w:ind w:firstLine="640"/>
        <w:rPr>
          <w:rFonts w:eastAsia="仿宋_GB2312"/>
          <w:sz w:val="32"/>
          <w:szCs w:val="32"/>
          <w:highlight w:val="none"/>
        </w:rPr>
      </w:pPr>
      <w:r>
        <w:rPr>
          <w:rFonts w:eastAsia="仿宋_GB2312"/>
          <w:sz w:val="32"/>
          <w:szCs w:val="32"/>
          <w:highlight w:val="none"/>
        </w:rPr>
        <w:t>南方电网公司拥有本作品的知识产权，未经南方电网公司书面许可，任何单位和个人不得擅自</w:t>
      </w:r>
      <w:r>
        <w:rPr>
          <w:rFonts w:eastAsia="仿宋_GB2312"/>
          <w:color w:val="333333"/>
          <w:sz w:val="32"/>
          <w:szCs w:val="32"/>
          <w:highlight w:val="none"/>
        </w:rPr>
        <w:t>使用（包括但不限于复制、发行、转载、通过信息网络传播等）</w:t>
      </w:r>
      <w:r>
        <w:rPr>
          <w:rFonts w:eastAsia="仿宋_GB2312"/>
          <w:sz w:val="32"/>
          <w:szCs w:val="32"/>
          <w:highlight w:val="none"/>
        </w:rPr>
        <w:t>，否则，南方电网公司将依法追究法律责任。</w:t>
      </w:r>
    </w:p>
    <w:p>
      <w:pPr>
        <w:spacing w:line="560" w:lineRule="exact"/>
        <w:ind w:left="850" w:firstLine="560"/>
        <w:rPr>
          <w:sz w:val="28"/>
          <w:szCs w:val="28"/>
          <w:highlight w:val="none"/>
        </w:rPr>
      </w:pPr>
    </w:p>
    <w:p>
      <w:pPr>
        <w:spacing w:line="560" w:lineRule="exact"/>
        <w:ind w:left="851" w:firstLine="560"/>
        <w:rPr>
          <w:sz w:val="28"/>
          <w:szCs w:val="28"/>
          <w:highlight w:val="none"/>
        </w:rPr>
      </w:pPr>
    </w:p>
    <w:p>
      <w:pPr>
        <w:spacing w:line="560" w:lineRule="exact"/>
        <w:ind w:left="406" w:leftChars="200" w:hanging="6" w:firstLineChars="0"/>
        <w:jc w:val="center"/>
        <w:rPr>
          <w:sz w:val="44"/>
          <w:szCs w:val="44"/>
          <w:highlight w:val="none"/>
        </w:rPr>
      </w:pPr>
      <w:r>
        <w:rPr>
          <w:sz w:val="44"/>
          <w:szCs w:val="44"/>
          <w:highlight w:val="none"/>
        </w:rPr>
        <w:t xml:space="preserve">Intellectual Property Rights </w:t>
      </w:r>
    </w:p>
    <w:p>
      <w:pPr>
        <w:spacing w:line="560" w:lineRule="exact"/>
        <w:ind w:left="406" w:leftChars="200" w:hanging="6" w:firstLineChars="0"/>
        <w:jc w:val="center"/>
        <w:rPr>
          <w:sz w:val="44"/>
          <w:szCs w:val="44"/>
          <w:highlight w:val="none"/>
        </w:rPr>
      </w:pPr>
      <w:r>
        <w:rPr>
          <w:sz w:val="44"/>
          <w:szCs w:val="44"/>
          <w:highlight w:val="none"/>
        </w:rPr>
        <w:t>Statement</w:t>
      </w:r>
    </w:p>
    <w:p>
      <w:pPr>
        <w:spacing w:line="560" w:lineRule="exact"/>
        <w:ind w:left="851" w:firstLine="640"/>
        <w:rPr>
          <w:sz w:val="32"/>
          <w:szCs w:val="32"/>
          <w:highlight w:val="none"/>
        </w:rPr>
      </w:pPr>
    </w:p>
    <w:p>
      <w:pPr>
        <w:spacing w:line="560" w:lineRule="exact"/>
        <w:ind w:firstLine="640"/>
        <w:rPr>
          <w:sz w:val="32"/>
          <w:szCs w:val="32"/>
          <w:highlight w:val="none"/>
        </w:rPr>
      </w:pPr>
      <w:r>
        <w:rPr>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ind w:firstLine="640"/>
        <w:jc w:val="left"/>
        <w:rPr>
          <w:rFonts w:eastAsia="黑体"/>
          <w:sz w:val="32"/>
          <w:szCs w:val="32"/>
          <w:highlight w:val="none"/>
        </w:rPr>
      </w:pPr>
      <w:r>
        <w:rPr>
          <w:rFonts w:eastAsia="黑体"/>
          <w:sz w:val="32"/>
          <w:szCs w:val="32"/>
          <w:highlight w:val="none"/>
        </w:rPr>
        <w:br w:type="page"/>
      </w:r>
    </w:p>
    <w:p>
      <w:pPr>
        <w:ind w:firstLine="640"/>
        <w:jc w:val="center"/>
        <w:rPr>
          <w:rFonts w:eastAsia="黑体"/>
          <w:sz w:val="32"/>
          <w:szCs w:val="28"/>
          <w:highlight w:val="none"/>
        </w:rPr>
      </w:pPr>
      <w:r>
        <w:rPr>
          <w:rFonts w:hint="eastAsia" w:eastAsia="黑体"/>
          <w:sz w:val="32"/>
          <w:szCs w:val="28"/>
          <w:highlight w:val="none"/>
        </w:rPr>
        <w:t>本技术规范书适用</w:t>
      </w:r>
      <w:r>
        <w:rPr>
          <w:rFonts w:eastAsia="黑体"/>
          <w:sz w:val="32"/>
          <w:szCs w:val="28"/>
          <w:highlight w:val="none"/>
        </w:rPr>
        <w:t>的物资品类型号</w:t>
      </w:r>
    </w:p>
    <w:tbl>
      <w:tblPr>
        <w:tblStyle w:val="27"/>
        <w:tblW w:w="951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8"/>
        <w:gridCol w:w="4080"/>
        <w:gridCol w:w="45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38" w:type="dxa"/>
            <w:vAlign w:val="center"/>
          </w:tcPr>
          <w:p>
            <w:pPr>
              <w:spacing w:line="240" w:lineRule="auto"/>
              <w:ind w:firstLine="0" w:firstLineChars="0"/>
              <w:jc w:val="center"/>
              <w:rPr>
                <w:color w:val="000000"/>
                <w:sz w:val="24"/>
                <w:highlight w:val="none"/>
              </w:rPr>
            </w:pPr>
            <w:r>
              <w:rPr>
                <w:rFonts w:hAnsi="宋体"/>
                <w:color w:val="000000"/>
                <w:sz w:val="24"/>
                <w:highlight w:val="none"/>
              </w:rPr>
              <w:t>序号</w:t>
            </w:r>
          </w:p>
        </w:tc>
        <w:tc>
          <w:tcPr>
            <w:tcW w:w="4080" w:type="dxa"/>
            <w:vAlign w:val="center"/>
          </w:tcPr>
          <w:p>
            <w:pPr>
              <w:spacing w:line="240" w:lineRule="auto"/>
              <w:ind w:firstLine="0" w:firstLineChars="0"/>
              <w:jc w:val="center"/>
              <w:rPr>
                <w:color w:val="000000"/>
                <w:sz w:val="24"/>
                <w:highlight w:val="none"/>
              </w:rPr>
            </w:pPr>
            <w:r>
              <w:rPr>
                <w:rFonts w:hAnsi="宋体"/>
                <w:color w:val="000000"/>
                <w:sz w:val="24"/>
                <w:highlight w:val="none"/>
              </w:rPr>
              <w:t>名称</w:t>
            </w:r>
          </w:p>
        </w:tc>
        <w:tc>
          <w:tcPr>
            <w:tcW w:w="4596" w:type="dxa"/>
            <w:vAlign w:val="center"/>
          </w:tcPr>
          <w:p>
            <w:pPr>
              <w:spacing w:line="240" w:lineRule="auto"/>
              <w:ind w:firstLine="0" w:firstLineChars="0"/>
              <w:jc w:val="center"/>
              <w:rPr>
                <w:color w:val="000000"/>
                <w:sz w:val="24"/>
                <w:highlight w:val="none"/>
              </w:rPr>
            </w:pPr>
            <w:r>
              <w:rPr>
                <w:rFonts w:hint="eastAsia" w:hAnsi="宋体"/>
                <w:color w:val="000000"/>
                <w:sz w:val="24"/>
                <w:highlight w:val="none"/>
              </w:rPr>
              <w:t>品类优化</w:t>
            </w:r>
            <w:r>
              <w:rPr>
                <w:rFonts w:hAnsi="宋体"/>
                <w:color w:val="000000"/>
                <w:sz w:val="24"/>
                <w:highlight w:val="none"/>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38" w:type="dxa"/>
            <w:vAlign w:val="center"/>
          </w:tcPr>
          <w:p>
            <w:pPr>
              <w:spacing w:line="240" w:lineRule="auto"/>
              <w:ind w:firstLine="0" w:firstLineChars="0"/>
              <w:jc w:val="center"/>
              <w:rPr>
                <w:color w:val="000000"/>
                <w:sz w:val="24"/>
                <w:highlight w:val="none"/>
              </w:rPr>
            </w:pPr>
            <w:r>
              <w:rPr>
                <w:rFonts w:hint="eastAsia"/>
                <w:color w:val="000000"/>
                <w:sz w:val="24"/>
                <w:highlight w:val="none"/>
              </w:rPr>
              <w:t>1</w:t>
            </w:r>
          </w:p>
        </w:tc>
        <w:tc>
          <w:tcPr>
            <w:tcW w:w="4080" w:type="dxa"/>
            <w:vAlign w:val="center"/>
          </w:tcPr>
          <w:p>
            <w:pPr>
              <w:spacing w:line="240" w:lineRule="auto"/>
              <w:ind w:firstLine="0" w:firstLineChars="0"/>
              <w:jc w:val="center"/>
              <w:rPr>
                <w:color w:val="000000"/>
                <w:sz w:val="24"/>
                <w:highlight w:val="none"/>
              </w:rPr>
            </w:pPr>
            <w:r>
              <w:rPr>
                <w:rFonts w:hint="eastAsia"/>
                <w:color w:val="000000"/>
                <w:sz w:val="24"/>
                <w:highlight w:val="none"/>
              </w:rPr>
              <w:t>10kV冷缩型电缆附件</w:t>
            </w:r>
          </w:p>
          <w:p>
            <w:pPr>
              <w:spacing w:line="240" w:lineRule="auto"/>
              <w:ind w:firstLine="0" w:firstLineChars="0"/>
              <w:jc w:val="center"/>
              <w:rPr>
                <w:color w:val="000000"/>
                <w:sz w:val="24"/>
                <w:highlight w:val="none"/>
              </w:rPr>
            </w:pPr>
            <w:r>
              <w:rPr>
                <w:rFonts w:hint="eastAsia"/>
                <w:color w:val="000000"/>
                <w:sz w:val="24"/>
                <w:highlight w:val="none"/>
              </w:rPr>
              <w:t>技术规范书（专用部分）</w:t>
            </w:r>
          </w:p>
        </w:tc>
        <w:tc>
          <w:tcPr>
            <w:tcW w:w="4596" w:type="dxa"/>
            <w:vAlign w:val="center"/>
          </w:tcPr>
          <w:p>
            <w:pPr>
              <w:spacing w:line="240" w:lineRule="auto"/>
              <w:ind w:firstLine="0" w:firstLineChars="0"/>
              <w:jc w:val="center"/>
              <w:rPr>
                <w:kern w:val="0"/>
                <w:sz w:val="18"/>
                <w:szCs w:val="18"/>
                <w:highlight w:val="none"/>
              </w:rPr>
            </w:pPr>
            <w:r>
              <w:rPr>
                <w:kern w:val="0"/>
                <w:sz w:val="18"/>
                <w:szCs w:val="18"/>
                <w:highlight w:val="none"/>
              </w:rPr>
              <w:t>10kV冷缩中间头-3×70mm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10kV冷缩中间头-3×120mm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10kV冷缩中间头-3×300mm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10kV冷缩中间头-3×400mm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10kV全冷缩户内终端头-3×70mm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10kV全冷缩户内终端头-3×120mm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10kV全冷缩户内终端头-3×300mm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10kV全冷缩户内终端头-3×400mm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10kV全冷缩户外终端头-3×70mm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10kV全冷缩户外终端头-3×120mm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10kV全冷缩户外终端头-3×300mm</w:t>
            </w:r>
            <w:r>
              <w:rPr>
                <w:kern w:val="0"/>
                <w:sz w:val="18"/>
                <w:szCs w:val="18"/>
                <w:highlight w:val="none"/>
                <w:vertAlign w:val="superscript"/>
              </w:rPr>
              <w:t>2</w:t>
            </w:r>
          </w:p>
          <w:p>
            <w:pPr>
              <w:spacing w:line="240" w:lineRule="auto"/>
              <w:ind w:firstLine="0" w:firstLineChars="0"/>
              <w:jc w:val="center"/>
              <w:rPr>
                <w:kern w:val="0"/>
                <w:sz w:val="18"/>
                <w:szCs w:val="18"/>
                <w:highlight w:val="none"/>
                <w:vertAlign w:val="superscript"/>
              </w:rPr>
            </w:pPr>
            <w:r>
              <w:rPr>
                <w:kern w:val="0"/>
                <w:sz w:val="18"/>
                <w:szCs w:val="18"/>
                <w:highlight w:val="none"/>
              </w:rPr>
              <w:t>10kV全冷缩户外终端头-3×400mm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10kV屏蔽型可分离连接器</w:t>
            </w:r>
            <w:r>
              <w:rPr>
                <w:rFonts w:hint="eastAsia"/>
                <w:kern w:val="0"/>
                <w:sz w:val="18"/>
                <w:szCs w:val="18"/>
                <w:highlight w:val="none"/>
                <w:lang w:val="en-US" w:eastAsia="zh-CN"/>
              </w:rPr>
              <w:t>-3</w:t>
            </w:r>
            <w:r>
              <w:rPr>
                <w:kern w:val="0"/>
                <w:sz w:val="18"/>
                <w:szCs w:val="18"/>
                <w:highlight w:val="none"/>
              </w:rPr>
              <w:t>×70mm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10kV屏蔽型可分离连接器</w:t>
            </w:r>
            <w:r>
              <w:rPr>
                <w:rFonts w:hint="eastAsia"/>
                <w:kern w:val="0"/>
                <w:sz w:val="18"/>
                <w:szCs w:val="18"/>
                <w:highlight w:val="none"/>
                <w:lang w:val="en-US" w:eastAsia="zh-CN"/>
              </w:rPr>
              <w:t>-3</w:t>
            </w:r>
            <w:r>
              <w:rPr>
                <w:kern w:val="0"/>
                <w:sz w:val="18"/>
                <w:szCs w:val="18"/>
                <w:highlight w:val="none"/>
              </w:rPr>
              <w:t>×120mm</w:t>
            </w:r>
            <w:r>
              <w:rPr>
                <w:kern w:val="0"/>
                <w:sz w:val="18"/>
                <w:szCs w:val="18"/>
                <w:highlight w:val="none"/>
                <w:vertAlign w:val="superscript"/>
              </w:rPr>
              <w:t>2</w:t>
            </w:r>
          </w:p>
          <w:p>
            <w:pPr>
              <w:spacing w:line="240" w:lineRule="auto"/>
              <w:ind w:firstLine="0" w:firstLineChars="0"/>
              <w:jc w:val="center"/>
              <w:rPr>
                <w:kern w:val="0"/>
                <w:sz w:val="18"/>
                <w:szCs w:val="18"/>
                <w:highlight w:val="none"/>
              </w:rPr>
            </w:pPr>
            <w:r>
              <w:rPr>
                <w:kern w:val="0"/>
                <w:sz w:val="18"/>
                <w:szCs w:val="18"/>
                <w:highlight w:val="none"/>
              </w:rPr>
              <w:t>10kV屏蔽型可分离连接器</w:t>
            </w:r>
            <w:r>
              <w:rPr>
                <w:rFonts w:hint="eastAsia"/>
                <w:kern w:val="0"/>
                <w:sz w:val="18"/>
                <w:szCs w:val="18"/>
                <w:highlight w:val="none"/>
                <w:lang w:val="en-US" w:eastAsia="zh-CN"/>
              </w:rPr>
              <w:t>-3</w:t>
            </w:r>
            <w:r>
              <w:rPr>
                <w:kern w:val="0"/>
                <w:sz w:val="18"/>
                <w:szCs w:val="18"/>
                <w:highlight w:val="none"/>
              </w:rPr>
              <w:t>×300mm</w:t>
            </w:r>
            <w:r>
              <w:rPr>
                <w:kern w:val="0"/>
                <w:sz w:val="18"/>
                <w:szCs w:val="18"/>
                <w:highlight w:val="none"/>
                <w:vertAlign w:val="superscript"/>
              </w:rPr>
              <w:t>2</w:t>
            </w:r>
          </w:p>
          <w:p>
            <w:pPr>
              <w:spacing w:line="240" w:lineRule="auto"/>
              <w:ind w:firstLine="0" w:firstLineChars="0"/>
              <w:jc w:val="center"/>
              <w:rPr>
                <w:rFonts w:ascii="宋体" w:hAnsi="宋体" w:cs="宋体"/>
                <w:kern w:val="0"/>
                <w:sz w:val="18"/>
                <w:szCs w:val="18"/>
                <w:highlight w:val="none"/>
              </w:rPr>
            </w:pPr>
            <w:r>
              <w:rPr>
                <w:kern w:val="0"/>
                <w:sz w:val="18"/>
                <w:szCs w:val="18"/>
                <w:highlight w:val="none"/>
              </w:rPr>
              <w:t>10kV屏蔽型可分离连接器</w:t>
            </w:r>
            <w:r>
              <w:rPr>
                <w:rFonts w:hint="eastAsia"/>
                <w:kern w:val="0"/>
                <w:sz w:val="18"/>
                <w:szCs w:val="18"/>
                <w:highlight w:val="none"/>
                <w:lang w:val="en-US" w:eastAsia="zh-CN"/>
              </w:rPr>
              <w:t>-3</w:t>
            </w:r>
            <w:r>
              <w:rPr>
                <w:kern w:val="0"/>
                <w:sz w:val="18"/>
                <w:szCs w:val="18"/>
                <w:highlight w:val="none"/>
              </w:rPr>
              <w:t>×400mm</w:t>
            </w:r>
            <w:r>
              <w:rPr>
                <w:kern w:val="0"/>
                <w:sz w:val="18"/>
                <w:szCs w:val="18"/>
                <w:highlight w:val="none"/>
                <w:vertAlign w:val="superscript"/>
              </w:rPr>
              <w:t>2</w:t>
            </w:r>
          </w:p>
        </w:tc>
      </w:tr>
    </w:tbl>
    <w:p>
      <w:pPr>
        <w:adjustRightInd w:val="0"/>
        <w:spacing w:before="640" w:after="560" w:line="480" w:lineRule="exact"/>
        <w:ind w:firstLine="640"/>
        <w:jc w:val="center"/>
        <w:textAlignment w:val="baseline"/>
        <w:outlineLvl w:val="0"/>
        <w:rPr>
          <w:rFonts w:eastAsia="黑体"/>
          <w:kern w:val="0"/>
          <w:sz w:val="32"/>
          <w:highlight w:val="none"/>
        </w:rPr>
        <w:sectPr>
          <w:headerReference r:id="rId11" w:type="default"/>
          <w:pgSz w:w="11906" w:h="16838"/>
          <w:pgMar w:top="1383" w:right="1304" w:bottom="1077" w:left="1304" w:header="720" w:footer="720" w:gutter="0"/>
          <w:pgNumType w:fmt="upperRoman" w:start="1"/>
          <w:cols w:space="720" w:num="1"/>
          <w:titlePg/>
          <w:docGrid w:type="lines" w:linePitch="317" w:charSpace="0"/>
        </w:sectPr>
      </w:pPr>
    </w:p>
    <w:p>
      <w:pPr>
        <w:widowControl/>
        <w:ind w:firstLine="640"/>
        <w:jc w:val="left"/>
        <w:rPr>
          <w:rFonts w:eastAsia="黑体"/>
          <w:sz w:val="32"/>
          <w:szCs w:val="32"/>
          <w:highlight w:val="none"/>
        </w:rPr>
      </w:pPr>
    </w:p>
    <w:p>
      <w:pPr>
        <w:tabs>
          <w:tab w:val="left" w:pos="420"/>
          <w:tab w:val="right" w:leader="dot" w:pos="9288"/>
        </w:tabs>
        <w:spacing w:before="100" w:beforeAutospacing="1" w:after="100" w:afterAutospacing="1"/>
        <w:ind w:firstLine="0" w:firstLineChars="0"/>
        <w:jc w:val="center"/>
        <w:rPr>
          <w:rFonts w:ascii="Times New Roman" w:hAnsi="Times New Roman" w:eastAsia="宋体" w:cs="Times New Roman"/>
          <w:b/>
          <w:kern w:val="2"/>
          <w:szCs w:val="24"/>
          <w:highlight w:val="none"/>
          <w:lang w:val="en-US" w:eastAsia="zh-CN" w:bidi="ar-SA"/>
        </w:rPr>
      </w:pPr>
      <w:r>
        <w:rPr>
          <w:rFonts w:eastAsia="黑体"/>
          <w:sz w:val="32"/>
          <w:szCs w:val="32"/>
          <w:highlight w:val="none"/>
        </w:rPr>
        <w:t>目录</w:t>
      </w:r>
      <w:bookmarkEnd w:id="6"/>
      <w:bookmarkEnd w:id="7"/>
      <w:bookmarkStart w:id="8" w:name="_Toc241911990"/>
      <w:r>
        <w:rPr>
          <w:b/>
          <w:highlight w:val="none"/>
        </w:rPr>
        <w:fldChar w:fldCharType="begin"/>
      </w:r>
      <w:r>
        <w:rPr>
          <w:b/>
          <w:highlight w:val="none"/>
        </w:rPr>
        <w:instrText xml:space="preserve">TOC \o "1-2" \h  \u </w:instrText>
      </w:r>
      <w:r>
        <w:rPr>
          <w:b/>
          <w:highlight w:val="none"/>
        </w:rPr>
        <w:fldChar w:fldCharType="separate"/>
      </w:r>
    </w:p>
    <w:p>
      <w:pPr>
        <w:pStyle w:val="19"/>
        <w:tabs>
          <w:tab w:val="right" w:leader="dot" w:pos="8312"/>
        </w:tabs>
        <w:rPr>
          <w:highlight w:val="none"/>
        </w:rPr>
      </w:pPr>
      <w:r>
        <w:rPr>
          <w:highlight w:val="none"/>
        </w:rPr>
        <w:fldChar w:fldCharType="begin"/>
      </w:r>
      <w:r>
        <w:rPr>
          <w:highlight w:val="none"/>
        </w:rPr>
        <w:instrText xml:space="preserve"> HYPERLINK \l _Toc1447 </w:instrText>
      </w:r>
      <w:r>
        <w:rPr>
          <w:highlight w:val="none"/>
        </w:rPr>
        <w:fldChar w:fldCharType="separate"/>
      </w:r>
      <w:r>
        <w:rPr>
          <w:szCs w:val="21"/>
          <w:highlight w:val="none"/>
        </w:rPr>
        <w:t xml:space="preserve">1  </w:t>
      </w:r>
      <w:r>
        <w:rPr>
          <w:rFonts w:hint="eastAsia"/>
          <w:bCs/>
          <w:szCs w:val="21"/>
          <w:highlight w:val="none"/>
        </w:rPr>
        <w:t>工程概述</w:t>
      </w:r>
      <w:r>
        <w:rPr>
          <w:highlight w:val="none"/>
        </w:rPr>
        <w:tab/>
      </w:r>
      <w:r>
        <w:rPr>
          <w:highlight w:val="none"/>
        </w:rPr>
        <w:fldChar w:fldCharType="begin"/>
      </w:r>
      <w:r>
        <w:rPr>
          <w:highlight w:val="none"/>
        </w:rPr>
        <w:instrText xml:space="preserve"> PAGEREF _Toc1447 \h </w:instrText>
      </w:r>
      <w:r>
        <w:rPr>
          <w:highlight w:val="none"/>
        </w:rPr>
        <w:fldChar w:fldCharType="separate"/>
      </w:r>
      <w:r>
        <w:rPr>
          <w:highlight w:val="none"/>
        </w:rPr>
        <w:t>2</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_Toc29516 </w:instrText>
      </w:r>
      <w:r>
        <w:rPr>
          <w:highlight w:val="none"/>
        </w:rPr>
        <w:fldChar w:fldCharType="separate"/>
      </w:r>
      <w:r>
        <w:rPr>
          <w:szCs w:val="21"/>
          <w:highlight w:val="none"/>
        </w:rPr>
        <w:t xml:space="preserve">1.1 </w:t>
      </w:r>
      <w:r>
        <w:rPr>
          <w:rFonts w:hint="eastAsia"/>
          <w:bCs/>
          <w:szCs w:val="21"/>
          <w:highlight w:val="none"/>
        </w:rPr>
        <w:t>工程概况</w:t>
      </w:r>
      <w:r>
        <w:rPr>
          <w:highlight w:val="none"/>
        </w:rPr>
        <w:tab/>
      </w:r>
      <w:r>
        <w:rPr>
          <w:highlight w:val="none"/>
        </w:rPr>
        <w:fldChar w:fldCharType="begin"/>
      </w:r>
      <w:r>
        <w:rPr>
          <w:highlight w:val="none"/>
        </w:rPr>
        <w:instrText xml:space="preserve"> PAGEREF _Toc29516 \h </w:instrText>
      </w:r>
      <w:r>
        <w:rPr>
          <w:highlight w:val="none"/>
        </w:rPr>
        <w:fldChar w:fldCharType="separate"/>
      </w:r>
      <w:r>
        <w:rPr>
          <w:highlight w:val="none"/>
        </w:rPr>
        <w:t>2</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_Toc3007 </w:instrText>
      </w:r>
      <w:r>
        <w:rPr>
          <w:highlight w:val="none"/>
        </w:rPr>
        <w:fldChar w:fldCharType="separate"/>
      </w:r>
      <w:r>
        <w:rPr>
          <w:szCs w:val="21"/>
          <w:highlight w:val="none"/>
        </w:rPr>
        <w:t xml:space="preserve">1.2 </w:t>
      </w:r>
      <w:r>
        <w:rPr>
          <w:rFonts w:hint="eastAsia"/>
          <w:bCs/>
          <w:szCs w:val="21"/>
          <w:highlight w:val="none"/>
        </w:rPr>
        <w:t>使用条件</w:t>
      </w:r>
      <w:r>
        <w:rPr>
          <w:highlight w:val="none"/>
        </w:rPr>
        <w:tab/>
      </w:r>
      <w:r>
        <w:rPr>
          <w:highlight w:val="none"/>
        </w:rPr>
        <w:fldChar w:fldCharType="begin"/>
      </w:r>
      <w:r>
        <w:rPr>
          <w:highlight w:val="none"/>
        </w:rPr>
        <w:instrText xml:space="preserve"> PAGEREF _Toc3007 \h </w:instrText>
      </w:r>
      <w:r>
        <w:rPr>
          <w:highlight w:val="none"/>
        </w:rPr>
        <w:fldChar w:fldCharType="separate"/>
      </w:r>
      <w:r>
        <w:rPr>
          <w:highlight w:val="none"/>
        </w:rPr>
        <w:t>2</w:t>
      </w:r>
      <w:r>
        <w:rPr>
          <w:highlight w:val="none"/>
        </w:rPr>
        <w:fldChar w:fldCharType="end"/>
      </w:r>
      <w:r>
        <w:rPr>
          <w:highlight w:val="none"/>
        </w:rPr>
        <w:fldChar w:fldCharType="end"/>
      </w:r>
    </w:p>
    <w:p>
      <w:pPr>
        <w:pStyle w:val="19"/>
        <w:tabs>
          <w:tab w:val="right" w:leader="dot" w:pos="8312"/>
        </w:tabs>
        <w:rPr>
          <w:highlight w:val="none"/>
        </w:rPr>
      </w:pPr>
      <w:r>
        <w:rPr>
          <w:highlight w:val="none"/>
        </w:rPr>
        <w:fldChar w:fldCharType="begin"/>
      </w:r>
      <w:r>
        <w:rPr>
          <w:highlight w:val="none"/>
        </w:rPr>
        <w:instrText xml:space="preserve"> HYPERLINK \l _Toc15095 </w:instrText>
      </w:r>
      <w:r>
        <w:rPr>
          <w:highlight w:val="none"/>
        </w:rPr>
        <w:fldChar w:fldCharType="separate"/>
      </w:r>
      <w:r>
        <w:rPr>
          <w:szCs w:val="21"/>
          <w:highlight w:val="none"/>
        </w:rPr>
        <w:t xml:space="preserve">2  </w:t>
      </w:r>
      <w:r>
        <w:rPr>
          <w:rFonts w:hint="eastAsia"/>
          <w:bCs/>
          <w:szCs w:val="21"/>
          <w:highlight w:val="none"/>
        </w:rPr>
        <w:t>设备详细技术要求</w:t>
      </w:r>
      <w:r>
        <w:rPr>
          <w:highlight w:val="none"/>
        </w:rPr>
        <w:tab/>
      </w:r>
      <w:r>
        <w:rPr>
          <w:highlight w:val="none"/>
        </w:rPr>
        <w:fldChar w:fldCharType="begin"/>
      </w:r>
      <w:r>
        <w:rPr>
          <w:highlight w:val="none"/>
        </w:rPr>
        <w:instrText xml:space="preserve"> PAGEREF _Toc15095 \h </w:instrText>
      </w:r>
      <w:r>
        <w:rPr>
          <w:highlight w:val="none"/>
        </w:rPr>
        <w:fldChar w:fldCharType="separate"/>
      </w:r>
      <w:r>
        <w:rPr>
          <w:highlight w:val="none"/>
        </w:rPr>
        <w:t>3</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_Toc11657 </w:instrText>
      </w:r>
      <w:r>
        <w:rPr>
          <w:highlight w:val="none"/>
        </w:rPr>
        <w:fldChar w:fldCharType="separate"/>
      </w:r>
      <w:r>
        <w:rPr>
          <w:szCs w:val="21"/>
          <w:highlight w:val="none"/>
        </w:rPr>
        <w:t xml:space="preserve">2.1 </w:t>
      </w:r>
      <w:r>
        <w:rPr>
          <w:rFonts w:hint="eastAsia"/>
          <w:bCs/>
          <w:szCs w:val="21"/>
          <w:highlight w:val="none"/>
        </w:rPr>
        <w:t>供货需求及供货范围</w:t>
      </w:r>
      <w:r>
        <w:rPr>
          <w:highlight w:val="none"/>
        </w:rPr>
        <w:tab/>
      </w:r>
      <w:r>
        <w:rPr>
          <w:highlight w:val="none"/>
        </w:rPr>
        <w:fldChar w:fldCharType="begin"/>
      </w:r>
      <w:r>
        <w:rPr>
          <w:highlight w:val="none"/>
        </w:rPr>
        <w:instrText xml:space="preserve"> PAGEREF _Toc11657 \h </w:instrText>
      </w:r>
      <w:r>
        <w:rPr>
          <w:highlight w:val="none"/>
        </w:rPr>
        <w:fldChar w:fldCharType="separate"/>
      </w:r>
      <w:r>
        <w:rPr>
          <w:highlight w:val="none"/>
        </w:rPr>
        <w:t>3</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_Toc22355 </w:instrText>
      </w:r>
      <w:r>
        <w:rPr>
          <w:highlight w:val="none"/>
        </w:rPr>
        <w:fldChar w:fldCharType="separate"/>
      </w:r>
      <w:r>
        <w:rPr>
          <w:szCs w:val="21"/>
          <w:highlight w:val="none"/>
        </w:rPr>
        <w:t xml:space="preserve">2.2 </w:t>
      </w:r>
      <w:r>
        <w:rPr>
          <w:rFonts w:hint="eastAsia"/>
          <w:bCs/>
          <w:szCs w:val="21"/>
          <w:highlight w:val="none"/>
        </w:rPr>
        <w:t>标准技术特性参数表</w:t>
      </w:r>
      <w:r>
        <w:rPr>
          <w:highlight w:val="none"/>
        </w:rPr>
        <w:tab/>
      </w:r>
      <w:r>
        <w:rPr>
          <w:highlight w:val="none"/>
        </w:rPr>
        <w:fldChar w:fldCharType="begin"/>
      </w:r>
      <w:r>
        <w:rPr>
          <w:highlight w:val="none"/>
        </w:rPr>
        <w:instrText xml:space="preserve"> PAGEREF _Toc22355 \h </w:instrText>
      </w:r>
      <w:r>
        <w:rPr>
          <w:highlight w:val="none"/>
        </w:rPr>
        <w:fldChar w:fldCharType="separate"/>
      </w:r>
      <w:r>
        <w:rPr>
          <w:highlight w:val="none"/>
        </w:rPr>
        <w:t>3</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_Toc3813 </w:instrText>
      </w:r>
      <w:r>
        <w:rPr>
          <w:highlight w:val="none"/>
        </w:rPr>
        <w:fldChar w:fldCharType="separate"/>
      </w:r>
      <w:r>
        <w:rPr>
          <w:szCs w:val="21"/>
          <w:highlight w:val="none"/>
        </w:rPr>
        <w:t xml:space="preserve">2.3 </w:t>
      </w:r>
      <w:r>
        <w:rPr>
          <w:rFonts w:hint="eastAsia"/>
          <w:bCs/>
          <w:szCs w:val="21"/>
          <w:highlight w:val="none"/>
        </w:rPr>
        <w:t>投标人资料提交时间及培训要求</w:t>
      </w:r>
      <w:r>
        <w:rPr>
          <w:highlight w:val="none"/>
        </w:rPr>
        <w:tab/>
      </w:r>
      <w:r>
        <w:rPr>
          <w:highlight w:val="none"/>
        </w:rPr>
        <w:fldChar w:fldCharType="begin"/>
      </w:r>
      <w:r>
        <w:rPr>
          <w:highlight w:val="none"/>
        </w:rPr>
        <w:instrText xml:space="preserve"> PAGEREF _Toc3813 \h </w:instrText>
      </w:r>
      <w:r>
        <w:rPr>
          <w:highlight w:val="none"/>
        </w:rPr>
        <w:fldChar w:fldCharType="separate"/>
      </w:r>
      <w:r>
        <w:rPr>
          <w:highlight w:val="none"/>
        </w:rPr>
        <w:t>24</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_Toc23819 </w:instrText>
      </w:r>
      <w:r>
        <w:rPr>
          <w:highlight w:val="none"/>
        </w:rPr>
        <w:fldChar w:fldCharType="separate"/>
      </w:r>
      <w:r>
        <w:rPr>
          <w:szCs w:val="21"/>
          <w:highlight w:val="none"/>
        </w:rPr>
        <w:t xml:space="preserve">2.4 </w:t>
      </w:r>
      <w:r>
        <w:rPr>
          <w:rFonts w:hint="eastAsia"/>
          <w:bCs/>
          <w:szCs w:val="21"/>
          <w:highlight w:val="none"/>
        </w:rPr>
        <w:t>主要元器件来源</w:t>
      </w:r>
      <w:r>
        <w:rPr>
          <w:highlight w:val="none"/>
        </w:rPr>
        <w:tab/>
      </w:r>
      <w:r>
        <w:rPr>
          <w:highlight w:val="none"/>
        </w:rPr>
        <w:fldChar w:fldCharType="begin"/>
      </w:r>
      <w:r>
        <w:rPr>
          <w:highlight w:val="none"/>
        </w:rPr>
        <w:instrText xml:space="preserve"> PAGEREF _Toc23819 \h </w:instrText>
      </w:r>
      <w:r>
        <w:rPr>
          <w:highlight w:val="none"/>
        </w:rPr>
        <w:fldChar w:fldCharType="separate"/>
      </w:r>
      <w:r>
        <w:rPr>
          <w:highlight w:val="none"/>
        </w:rPr>
        <w:t>24</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_Toc6388 </w:instrText>
      </w:r>
      <w:r>
        <w:rPr>
          <w:highlight w:val="none"/>
        </w:rPr>
        <w:fldChar w:fldCharType="separate"/>
      </w:r>
      <w:r>
        <w:rPr>
          <w:szCs w:val="21"/>
          <w:highlight w:val="none"/>
        </w:rPr>
        <w:t xml:space="preserve">2.5 </w:t>
      </w:r>
      <w:r>
        <w:rPr>
          <w:rFonts w:hint="eastAsia" w:ascii="黑体" w:hAnsi="黑体"/>
          <w:szCs w:val="21"/>
          <w:highlight w:val="none"/>
        </w:rPr>
        <w:t>备品备件、专用工具和仪器仪表供货表</w:t>
      </w:r>
      <w:r>
        <w:rPr>
          <w:highlight w:val="none"/>
        </w:rPr>
        <w:tab/>
      </w:r>
      <w:r>
        <w:rPr>
          <w:highlight w:val="none"/>
        </w:rPr>
        <w:fldChar w:fldCharType="begin"/>
      </w:r>
      <w:r>
        <w:rPr>
          <w:highlight w:val="none"/>
        </w:rPr>
        <w:instrText xml:space="preserve"> PAGEREF _Toc6388 \h </w:instrText>
      </w:r>
      <w:r>
        <w:rPr>
          <w:highlight w:val="none"/>
        </w:rPr>
        <w:fldChar w:fldCharType="separate"/>
      </w:r>
      <w:r>
        <w:rPr>
          <w:highlight w:val="none"/>
        </w:rPr>
        <w:t>26</w:t>
      </w:r>
      <w:r>
        <w:rPr>
          <w:highlight w:val="none"/>
        </w:rPr>
        <w:fldChar w:fldCharType="end"/>
      </w:r>
      <w:r>
        <w:rPr>
          <w:highlight w:val="none"/>
        </w:rPr>
        <w:fldChar w:fldCharType="end"/>
      </w:r>
    </w:p>
    <w:p>
      <w:pPr>
        <w:pStyle w:val="19"/>
        <w:tabs>
          <w:tab w:val="right" w:leader="dot" w:pos="8312"/>
        </w:tabs>
        <w:rPr>
          <w:highlight w:val="none"/>
        </w:rPr>
      </w:pPr>
      <w:r>
        <w:rPr>
          <w:highlight w:val="none"/>
        </w:rPr>
        <w:fldChar w:fldCharType="begin"/>
      </w:r>
      <w:r>
        <w:rPr>
          <w:highlight w:val="none"/>
        </w:rPr>
        <w:instrText xml:space="preserve"> HYPERLINK \l _Toc9050 </w:instrText>
      </w:r>
      <w:r>
        <w:rPr>
          <w:highlight w:val="none"/>
        </w:rPr>
        <w:fldChar w:fldCharType="separate"/>
      </w:r>
      <w:r>
        <w:rPr>
          <w:szCs w:val="21"/>
          <w:highlight w:val="none"/>
        </w:rPr>
        <w:t xml:space="preserve">3  </w:t>
      </w:r>
      <w:r>
        <w:rPr>
          <w:rFonts w:hint="eastAsia"/>
          <w:bCs/>
          <w:szCs w:val="21"/>
          <w:highlight w:val="none"/>
        </w:rPr>
        <w:t>投标方技术偏差</w:t>
      </w:r>
      <w:r>
        <w:rPr>
          <w:highlight w:val="none"/>
        </w:rPr>
        <w:tab/>
      </w:r>
      <w:r>
        <w:rPr>
          <w:highlight w:val="none"/>
        </w:rPr>
        <w:fldChar w:fldCharType="begin"/>
      </w:r>
      <w:r>
        <w:rPr>
          <w:highlight w:val="none"/>
        </w:rPr>
        <w:instrText xml:space="preserve"> PAGEREF _Toc9050 \h </w:instrText>
      </w:r>
      <w:r>
        <w:rPr>
          <w:highlight w:val="none"/>
        </w:rPr>
        <w:fldChar w:fldCharType="separate"/>
      </w:r>
      <w:r>
        <w:rPr>
          <w:highlight w:val="none"/>
        </w:rPr>
        <w:t>26</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_Toc30264 </w:instrText>
      </w:r>
      <w:r>
        <w:rPr>
          <w:highlight w:val="none"/>
        </w:rPr>
        <w:fldChar w:fldCharType="separate"/>
      </w:r>
      <w:r>
        <w:rPr>
          <w:szCs w:val="21"/>
          <w:highlight w:val="none"/>
        </w:rPr>
        <w:t>3.1</w:t>
      </w:r>
      <w:r>
        <w:rPr>
          <w:rFonts w:hint="eastAsia"/>
          <w:bCs/>
          <w:szCs w:val="21"/>
          <w:highlight w:val="none"/>
        </w:rPr>
        <w:t>投标方技术偏差</w:t>
      </w:r>
      <w:r>
        <w:rPr>
          <w:highlight w:val="none"/>
        </w:rPr>
        <w:tab/>
      </w:r>
      <w:r>
        <w:rPr>
          <w:highlight w:val="none"/>
        </w:rPr>
        <w:fldChar w:fldCharType="begin"/>
      </w:r>
      <w:r>
        <w:rPr>
          <w:highlight w:val="none"/>
        </w:rPr>
        <w:instrText xml:space="preserve"> PAGEREF _Toc30264 \h </w:instrText>
      </w:r>
      <w:r>
        <w:rPr>
          <w:highlight w:val="none"/>
        </w:rPr>
        <w:fldChar w:fldCharType="separate"/>
      </w:r>
      <w:r>
        <w:rPr>
          <w:highlight w:val="none"/>
        </w:rPr>
        <w:t>26</w:t>
      </w:r>
      <w:r>
        <w:rPr>
          <w:highlight w:val="none"/>
        </w:rPr>
        <w:fldChar w:fldCharType="end"/>
      </w:r>
      <w:r>
        <w:rPr>
          <w:highlight w:val="none"/>
        </w:rPr>
        <w:fldChar w:fldCharType="end"/>
      </w:r>
    </w:p>
    <w:p>
      <w:pPr>
        <w:pStyle w:val="23"/>
        <w:tabs>
          <w:tab w:val="right" w:leader="dot" w:pos="8312"/>
        </w:tabs>
        <w:rPr>
          <w:highlight w:val="none"/>
        </w:rPr>
      </w:pPr>
      <w:r>
        <w:rPr>
          <w:highlight w:val="none"/>
        </w:rPr>
        <w:fldChar w:fldCharType="begin"/>
      </w:r>
      <w:r>
        <w:rPr>
          <w:highlight w:val="none"/>
        </w:rPr>
        <w:instrText xml:space="preserve"> HYPERLINK \l _Toc25120 </w:instrText>
      </w:r>
      <w:r>
        <w:rPr>
          <w:highlight w:val="none"/>
        </w:rPr>
        <w:fldChar w:fldCharType="separate"/>
      </w:r>
      <w:r>
        <w:rPr>
          <w:szCs w:val="21"/>
          <w:highlight w:val="none"/>
        </w:rPr>
        <w:t xml:space="preserve">3.2 </w:t>
      </w:r>
      <w:r>
        <w:rPr>
          <w:rFonts w:hint="eastAsia"/>
          <w:bCs/>
          <w:szCs w:val="21"/>
          <w:highlight w:val="none"/>
        </w:rPr>
        <w:t>投标方需说明的其他问题</w:t>
      </w:r>
      <w:r>
        <w:rPr>
          <w:highlight w:val="none"/>
        </w:rPr>
        <w:tab/>
      </w:r>
      <w:r>
        <w:rPr>
          <w:highlight w:val="none"/>
        </w:rPr>
        <w:fldChar w:fldCharType="begin"/>
      </w:r>
      <w:r>
        <w:rPr>
          <w:highlight w:val="none"/>
        </w:rPr>
        <w:instrText xml:space="preserve"> PAGEREF _Toc25120 \h </w:instrText>
      </w:r>
      <w:r>
        <w:rPr>
          <w:highlight w:val="none"/>
        </w:rPr>
        <w:fldChar w:fldCharType="separate"/>
      </w:r>
      <w:r>
        <w:rPr>
          <w:highlight w:val="none"/>
        </w:rPr>
        <w:t>26</w:t>
      </w:r>
      <w:r>
        <w:rPr>
          <w:highlight w:val="none"/>
        </w:rPr>
        <w:fldChar w:fldCharType="end"/>
      </w:r>
      <w:r>
        <w:rPr>
          <w:highlight w:val="none"/>
        </w:rPr>
        <w:fldChar w:fldCharType="end"/>
      </w:r>
    </w:p>
    <w:p>
      <w:pPr>
        <w:tabs>
          <w:tab w:val="left" w:pos="420"/>
          <w:tab w:val="right" w:leader="dot" w:pos="9288"/>
        </w:tabs>
        <w:spacing w:before="100" w:beforeAutospacing="1" w:after="100" w:afterAutospacing="1"/>
        <w:ind w:firstLine="0" w:firstLineChars="0"/>
        <w:jc w:val="center"/>
        <w:rPr>
          <w:rFonts w:eastAsia="黑体"/>
          <w:highlight w:val="none"/>
        </w:rPr>
        <w:sectPr>
          <w:pgSz w:w="11906" w:h="16838"/>
          <w:pgMar w:top="1440" w:right="1797" w:bottom="1440" w:left="1797" w:header="851" w:footer="992" w:gutter="0"/>
          <w:pgNumType w:fmt="upperRoman" w:start="1"/>
          <w:cols w:space="720" w:num="1"/>
          <w:docGrid w:linePitch="312" w:charSpace="0"/>
        </w:sectPr>
      </w:pPr>
      <w:r>
        <w:rPr>
          <w:b/>
          <w:highlight w:val="none"/>
        </w:rPr>
        <w:fldChar w:fldCharType="end"/>
      </w:r>
    </w:p>
    <w:bookmarkEnd w:id="8"/>
    <w:p>
      <w:pPr>
        <w:pStyle w:val="35"/>
        <w:rPr>
          <w:sz w:val="21"/>
          <w:szCs w:val="21"/>
          <w:highlight w:val="none"/>
        </w:rPr>
      </w:pPr>
      <w:bookmarkStart w:id="9" w:name="_Toc391654313"/>
      <w:bookmarkEnd w:id="9"/>
      <w:bookmarkStart w:id="10" w:name="_Toc391650093"/>
      <w:bookmarkEnd w:id="10"/>
      <w:bookmarkStart w:id="11" w:name="_Toc391647170"/>
      <w:bookmarkEnd w:id="11"/>
      <w:bookmarkStart w:id="12" w:name="_Toc391650044"/>
      <w:bookmarkEnd w:id="12"/>
      <w:bookmarkStart w:id="13" w:name="_Toc391649759"/>
      <w:bookmarkEnd w:id="13"/>
      <w:bookmarkStart w:id="14" w:name="_Toc391647337"/>
      <w:bookmarkEnd w:id="14"/>
      <w:bookmarkStart w:id="15" w:name="_Toc391647899"/>
      <w:bookmarkEnd w:id="15"/>
      <w:bookmarkStart w:id="16" w:name="_Toc391647893"/>
      <w:bookmarkEnd w:id="16"/>
      <w:bookmarkStart w:id="17" w:name="_Toc391650066"/>
      <w:bookmarkEnd w:id="17"/>
      <w:bookmarkStart w:id="18" w:name="_Toc391649518"/>
      <w:bookmarkEnd w:id="18"/>
      <w:bookmarkStart w:id="19" w:name="_Toc391649320"/>
      <w:bookmarkEnd w:id="19"/>
      <w:bookmarkStart w:id="20" w:name="_Toc391647342"/>
      <w:bookmarkEnd w:id="20"/>
      <w:bookmarkStart w:id="21" w:name="_Toc391715542"/>
      <w:bookmarkEnd w:id="21"/>
      <w:bookmarkStart w:id="22" w:name="_Toc391649516"/>
      <w:bookmarkEnd w:id="22"/>
      <w:bookmarkStart w:id="23" w:name="_Toc391647908"/>
      <w:bookmarkEnd w:id="23"/>
      <w:bookmarkStart w:id="24" w:name="_Toc391649494"/>
      <w:bookmarkEnd w:id="24"/>
      <w:bookmarkStart w:id="25" w:name="_Toc391649493"/>
      <w:bookmarkEnd w:id="25"/>
      <w:bookmarkStart w:id="26" w:name="_Toc391649512"/>
      <w:bookmarkEnd w:id="26"/>
      <w:bookmarkStart w:id="27" w:name="_Toc391650121"/>
      <w:bookmarkEnd w:id="27"/>
      <w:bookmarkStart w:id="28" w:name="_Toc391647901"/>
      <w:bookmarkEnd w:id="28"/>
      <w:bookmarkStart w:id="29" w:name="_Toc391649331"/>
      <w:bookmarkEnd w:id="29"/>
      <w:bookmarkStart w:id="30" w:name="_Toc391650060"/>
      <w:bookmarkEnd w:id="30"/>
      <w:bookmarkStart w:id="31" w:name="_Toc391650091"/>
      <w:bookmarkEnd w:id="31"/>
      <w:bookmarkStart w:id="32" w:name="_Toc391650108"/>
      <w:bookmarkEnd w:id="32"/>
      <w:bookmarkStart w:id="33" w:name="_Toc391647900"/>
      <w:bookmarkEnd w:id="33"/>
      <w:bookmarkStart w:id="34" w:name="_Toc391715541"/>
      <w:bookmarkEnd w:id="34"/>
      <w:bookmarkStart w:id="35" w:name="_Toc391650101"/>
      <w:bookmarkEnd w:id="35"/>
      <w:bookmarkStart w:id="36" w:name="_Toc391649298"/>
      <w:bookmarkEnd w:id="36"/>
      <w:bookmarkStart w:id="37" w:name="_Toc391650065"/>
      <w:bookmarkEnd w:id="37"/>
      <w:bookmarkStart w:id="38" w:name="_Toc391647326"/>
      <w:bookmarkEnd w:id="38"/>
      <w:bookmarkStart w:id="39" w:name="_Toc391654307"/>
      <w:bookmarkEnd w:id="39"/>
      <w:bookmarkStart w:id="40" w:name="_Toc391650069"/>
      <w:bookmarkEnd w:id="40"/>
      <w:bookmarkStart w:id="41" w:name="_Toc391715537"/>
      <w:bookmarkEnd w:id="41"/>
      <w:bookmarkStart w:id="42" w:name="_Toc391649765"/>
      <w:bookmarkEnd w:id="42"/>
      <w:bookmarkStart w:id="43" w:name="_Toc391647890"/>
      <w:bookmarkEnd w:id="43"/>
      <w:bookmarkStart w:id="44" w:name="_Toc391647886"/>
      <w:bookmarkEnd w:id="44"/>
      <w:bookmarkStart w:id="45" w:name="_Toc391715539"/>
      <w:bookmarkEnd w:id="45"/>
      <w:bookmarkStart w:id="46" w:name="_Toc391650094"/>
      <w:bookmarkEnd w:id="46"/>
      <w:bookmarkStart w:id="47" w:name="_Toc391647308"/>
      <w:bookmarkEnd w:id="47"/>
      <w:bookmarkStart w:id="48" w:name="_Toc391650052"/>
      <w:bookmarkEnd w:id="48"/>
      <w:bookmarkStart w:id="49" w:name="_Toc391650095"/>
      <w:bookmarkEnd w:id="49"/>
      <w:bookmarkStart w:id="50" w:name="_Toc391647903"/>
      <w:bookmarkEnd w:id="50"/>
      <w:bookmarkStart w:id="51" w:name="_Toc391649509"/>
      <w:bookmarkEnd w:id="51"/>
      <w:bookmarkStart w:id="52" w:name="_Toc391647315"/>
      <w:bookmarkEnd w:id="52"/>
      <w:bookmarkStart w:id="53" w:name="_Toc391649523"/>
      <w:bookmarkEnd w:id="53"/>
      <w:bookmarkStart w:id="54" w:name="_Toc391649742"/>
      <w:bookmarkEnd w:id="54"/>
      <w:bookmarkStart w:id="55" w:name="_Toc391649281"/>
      <w:bookmarkEnd w:id="55"/>
      <w:bookmarkStart w:id="56" w:name="_Toc391647888"/>
      <w:bookmarkEnd w:id="56"/>
      <w:bookmarkStart w:id="57" w:name="_Toc391650057"/>
      <w:bookmarkEnd w:id="57"/>
      <w:bookmarkStart w:id="58" w:name="_Toc391650056"/>
      <w:bookmarkEnd w:id="58"/>
      <w:bookmarkStart w:id="59" w:name="_Toc391647311"/>
      <w:bookmarkEnd w:id="59"/>
      <w:bookmarkStart w:id="60" w:name="_Toc391649758"/>
      <w:bookmarkEnd w:id="60"/>
      <w:bookmarkStart w:id="61" w:name="_Toc391650097"/>
      <w:bookmarkEnd w:id="61"/>
      <w:bookmarkStart w:id="62" w:name="_Toc391649277"/>
      <w:bookmarkEnd w:id="62"/>
      <w:bookmarkStart w:id="63" w:name="_Toc391649738"/>
      <w:bookmarkEnd w:id="63"/>
      <w:bookmarkStart w:id="64" w:name="_Toc391654292"/>
      <w:bookmarkEnd w:id="64"/>
      <w:bookmarkStart w:id="65" w:name="_Toc391649734"/>
      <w:bookmarkEnd w:id="65"/>
      <w:bookmarkStart w:id="66" w:name="_Toc391649274"/>
      <w:bookmarkEnd w:id="66"/>
      <w:bookmarkStart w:id="67" w:name="_Toc391649766"/>
      <w:bookmarkEnd w:id="67"/>
      <w:bookmarkStart w:id="68" w:name="_Toc391715534"/>
      <w:bookmarkEnd w:id="68"/>
      <w:bookmarkStart w:id="69" w:name="_Toc391715526"/>
      <w:bookmarkEnd w:id="69"/>
      <w:bookmarkStart w:id="70" w:name="_Toc391647907"/>
      <w:bookmarkEnd w:id="70"/>
      <w:bookmarkStart w:id="71" w:name="_Toc391647879"/>
      <w:bookmarkEnd w:id="71"/>
      <w:bookmarkStart w:id="72" w:name="_Toc391650062"/>
      <w:bookmarkEnd w:id="72"/>
      <w:bookmarkStart w:id="73" w:name="_Toc391649345"/>
      <w:bookmarkEnd w:id="73"/>
      <w:bookmarkStart w:id="74" w:name="_Toc391649343"/>
      <w:bookmarkEnd w:id="74"/>
      <w:bookmarkStart w:id="75" w:name="_Toc391649520"/>
      <w:bookmarkEnd w:id="75"/>
      <w:bookmarkStart w:id="76" w:name="_Toc391649735"/>
      <w:bookmarkEnd w:id="76"/>
      <w:bookmarkStart w:id="77" w:name="_Toc391654290"/>
      <w:bookmarkEnd w:id="77"/>
      <w:bookmarkStart w:id="78" w:name="_Toc391647327"/>
      <w:bookmarkEnd w:id="78"/>
      <w:bookmarkStart w:id="79" w:name="_Toc391647194"/>
      <w:bookmarkEnd w:id="79"/>
      <w:bookmarkStart w:id="80" w:name="_Toc391649513"/>
      <w:bookmarkEnd w:id="80"/>
      <w:bookmarkStart w:id="81" w:name="_Toc391649746"/>
      <w:bookmarkEnd w:id="81"/>
      <w:bookmarkStart w:id="82" w:name="_Toc391715513"/>
      <w:bookmarkEnd w:id="82"/>
      <w:bookmarkStart w:id="83" w:name="_Toc391649288"/>
      <w:bookmarkEnd w:id="83"/>
      <w:bookmarkStart w:id="84" w:name="_Toc391647177"/>
      <w:bookmarkEnd w:id="84"/>
      <w:bookmarkStart w:id="85" w:name="_Toc391649290"/>
      <w:bookmarkEnd w:id="85"/>
      <w:bookmarkStart w:id="86" w:name="_Toc391647905"/>
      <w:bookmarkEnd w:id="86"/>
      <w:bookmarkStart w:id="87" w:name="_Toc391647318"/>
      <w:bookmarkEnd w:id="87"/>
      <w:bookmarkStart w:id="88" w:name="_Toc391654304"/>
      <w:bookmarkEnd w:id="88"/>
      <w:bookmarkStart w:id="89" w:name="_Toc391647898"/>
      <w:bookmarkEnd w:id="89"/>
      <w:bookmarkStart w:id="90" w:name="_Toc391649295"/>
      <w:bookmarkEnd w:id="90"/>
      <w:bookmarkStart w:id="91" w:name="_Toc391650114"/>
      <w:bookmarkEnd w:id="91"/>
      <w:bookmarkStart w:id="92" w:name="_Toc391715516"/>
      <w:bookmarkEnd w:id="92"/>
      <w:bookmarkStart w:id="93" w:name="_Toc391649519"/>
      <w:bookmarkEnd w:id="93"/>
      <w:bookmarkStart w:id="94" w:name="_Toc391649284"/>
      <w:bookmarkEnd w:id="94"/>
      <w:bookmarkStart w:id="95" w:name="_Toc391647331"/>
      <w:bookmarkEnd w:id="95"/>
      <w:bookmarkStart w:id="96" w:name="_Toc391647310"/>
      <w:bookmarkEnd w:id="96"/>
      <w:bookmarkStart w:id="97" w:name="_Toc391649280"/>
      <w:bookmarkEnd w:id="97"/>
      <w:bookmarkStart w:id="98" w:name="_Toc391715511"/>
      <w:bookmarkEnd w:id="98"/>
      <w:bookmarkStart w:id="99" w:name="_Toc391647314"/>
      <w:bookmarkEnd w:id="99"/>
      <w:bookmarkStart w:id="100" w:name="_Toc391649336"/>
      <w:bookmarkEnd w:id="100"/>
      <w:bookmarkStart w:id="101" w:name="_Toc391647885"/>
      <w:bookmarkEnd w:id="101"/>
      <w:bookmarkStart w:id="102" w:name="_Toc391649344"/>
      <w:bookmarkEnd w:id="102"/>
      <w:bookmarkStart w:id="103" w:name="_Toc391649515"/>
      <w:bookmarkEnd w:id="103"/>
      <w:bookmarkStart w:id="104" w:name="_Toc391649760"/>
      <w:bookmarkEnd w:id="104"/>
      <w:bookmarkStart w:id="105" w:name="_Toc391647312"/>
      <w:bookmarkEnd w:id="105"/>
      <w:bookmarkStart w:id="106" w:name="_Toc391649293"/>
      <w:bookmarkEnd w:id="106"/>
      <w:bookmarkStart w:id="107" w:name="_Toc391654289"/>
      <w:bookmarkEnd w:id="107"/>
      <w:bookmarkStart w:id="108" w:name="_Toc391649498"/>
      <w:bookmarkEnd w:id="108"/>
      <w:bookmarkStart w:id="109" w:name="_Toc391647341"/>
      <w:bookmarkEnd w:id="109"/>
      <w:bookmarkStart w:id="110" w:name="_Toc391649286"/>
      <w:bookmarkEnd w:id="110"/>
      <w:bookmarkStart w:id="111" w:name="_Toc391649294"/>
      <w:bookmarkEnd w:id="111"/>
      <w:bookmarkStart w:id="112" w:name="_Toc391647317"/>
      <w:bookmarkEnd w:id="112"/>
      <w:bookmarkStart w:id="113" w:name="_Toc391647169"/>
      <w:bookmarkEnd w:id="113"/>
      <w:bookmarkStart w:id="114" w:name="_Toc391650123"/>
      <w:bookmarkEnd w:id="114"/>
      <w:bookmarkStart w:id="115" w:name="_Toc391654309"/>
      <w:bookmarkEnd w:id="115"/>
      <w:bookmarkStart w:id="116" w:name="_Toc391649764"/>
      <w:bookmarkEnd w:id="116"/>
      <w:bookmarkStart w:id="117" w:name="_Toc391649737"/>
      <w:bookmarkEnd w:id="117"/>
      <w:bookmarkStart w:id="118" w:name="_Toc391654281"/>
      <w:bookmarkEnd w:id="118"/>
      <w:bookmarkStart w:id="119" w:name="_Toc391650112"/>
      <w:bookmarkEnd w:id="119"/>
      <w:bookmarkStart w:id="120" w:name="_Toc391649736"/>
      <w:bookmarkEnd w:id="120"/>
      <w:bookmarkStart w:id="121" w:name="_Toc391647188"/>
      <w:bookmarkEnd w:id="121"/>
      <w:bookmarkStart w:id="122" w:name="_Toc391647163"/>
      <w:bookmarkEnd w:id="122"/>
      <w:bookmarkStart w:id="123" w:name="_Toc391649300"/>
      <w:bookmarkEnd w:id="123"/>
      <w:bookmarkStart w:id="124" w:name="_Toc391715514"/>
      <w:bookmarkEnd w:id="124"/>
      <w:bookmarkStart w:id="125" w:name="_Toc391649340"/>
      <w:bookmarkEnd w:id="125"/>
      <w:bookmarkStart w:id="126" w:name="_Toc391649318"/>
      <w:bookmarkEnd w:id="126"/>
      <w:bookmarkStart w:id="127" w:name="_Toc391649732"/>
      <w:bookmarkEnd w:id="127"/>
      <w:bookmarkStart w:id="128" w:name="_Toc391647189"/>
      <w:bookmarkEnd w:id="128"/>
      <w:bookmarkStart w:id="129" w:name="_Toc391654308"/>
      <w:bookmarkEnd w:id="129"/>
      <w:bookmarkStart w:id="130" w:name="_Toc391650096"/>
      <w:bookmarkEnd w:id="130"/>
      <w:bookmarkStart w:id="131" w:name="_Toc391647884"/>
      <w:bookmarkEnd w:id="131"/>
      <w:bookmarkStart w:id="132" w:name="_Toc391650111"/>
      <w:bookmarkEnd w:id="132"/>
      <w:bookmarkStart w:id="133" w:name="_Toc391654297"/>
      <w:bookmarkEnd w:id="133"/>
      <w:bookmarkStart w:id="134" w:name="_Toc391715523"/>
      <w:bookmarkEnd w:id="134"/>
      <w:bookmarkStart w:id="135" w:name="_Toc391715510"/>
      <w:bookmarkEnd w:id="135"/>
      <w:bookmarkStart w:id="136" w:name="_Toc391647185"/>
      <w:bookmarkEnd w:id="136"/>
      <w:bookmarkStart w:id="137" w:name="_Toc391715521"/>
      <w:bookmarkEnd w:id="137"/>
      <w:bookmarkStart w:id="138" w:name="_Toc391647902"/>
      <w:bookmarkEnd w:id="138"/>
      <w:bookmarkStart w:id="139" w:name="_Toc391649745"/>
      <w:bookmarkEnd w:id="139"/>
      <w:bookmarkStart w:id="140" w:name="_Toc391650115"/>
      <w:bookmarkEnd w:id="140"/>
      <w:bookmarkStart w:id="141" w:name="_Toc391654296"/>
      <w:bookmarkEnd w:id="141"/>
      <w:bookmarkStart w:id="142" w:name="_Toc391649500"/>
      <w:bookmarkEnd w:id="142"/>
      <w:bookmarkStart w:id="143" w:name="_Toc391650051"/>
      <w:bookmarkEnd w:id="143"/>
      <w:bookmarkStart w:id="144" w:name="_Toc391649507"/>
      <w:bookmarkEnd w:id="144"/>
      <w:bookmarkStart w:id="145" w:name="_Toc391649757"/>
      <w:bookmarkEnd w:id="145"/>
      <w:bookmarkStart w:id="146" w:name="_Toc391647332"/>
      <w:bookmarkEnd w:id="146"/>
      <w:bookmarkStart w:id="147" w:name="_Toc391650073"/>
      <w:bookmarkEnd w:id="147"/>
      <w:bookmarkStart w:id="148" w:name="_Toc391654287"/>
      <w:bookmarkEnd w:id="148"/>
      <w:bookmarkStart w:id="149" w:name="_Toc391715530"/>
      <w:bookmarkEnd w:id="149"/>
      <w:bookmarkStart w:id="150" w:name="_Toc391649511"/>
      <w:bookmarkEnd w:id="150"/>
      <w:bookmarkStart w:id="151" w:name="_Toc391654280"/>
      <w:bookmarkEnd w:id="151"/>
      <w:bookmarkStart w:id="152" w:name="_Toc391649299"/>
      <w:bookmarkEnd w:id="152"/>
      <w:bookmarkStart w:id="153" w:name="_Toc391649752"/>
      <w:bookmarkEnd w:id="153"/>
      <w:bookmarkStart w:id="154" w:name="_Toc391649521"/>
      <w:bookmarkEnd w:id="154"/>
      <w:bookmarkStart w:id="155" w:name="_Toc391647887"/>
      <w:bookmarkEnd w:id="155"/>
      <w:bookmarkStart w:id="156" w:name="_Toc391654298"/>
      <w:bookmarkEnd w:id="156"/>
      <w:bookmarkStart w:id="157" w:name="_Toc391650099"/>
      <w:bookmarkEnd w:id="157"/>
      <w:bookmarkStart w:id="158" w:name="_Toc391715515"/>
      <w:bookmarkEnd w:id="158"/>
      <w:bookmarkStart w:id="159" w:name="_Toc391647192"/>
      <w:bookmarkEnd w:id="159"/>
      <w:bookmarkStart w:id="160" w:name="_Toc391649749"/>
      <w:bookmarkEnd w:id="160"/>
      <w:bookmarkStart w:id="161" w:name="_Toc391649330"/>
      <w:bookmarkEnd w:id="161"/>
      <w:bookmarkStart w:id="162" w:name="_Toc391649335"/>
      <w:bookmarkEnd w:id="162"/>
      <w:bookmarkStart w:id="163" w:name="_Toc391647877"/>
      <w:bookmarkEnd w:id="163"/>
      <w:bookmarkStart w:id="164" w:name="_Toc391654294"/>
      <w:bookmarkEnd w:id="164"/>
      <w:bookmarkStart w:id="165" w:name="_Toc391649282"/>
      <w:bookmarkEnd w:id="165"/>
      <w:bookmarkStart w:id="166" w:name="_Toc391647329"/>
      <w:bookmarkEnd w:id="166"/>
      <w:bookmarkStart w:id="167" w:name="_Toc391649338"/>
      <w:bookmarkEnd w:id="167"/>
      <w:bookmarkStart w:id="168" w:name="_Toc391647328"/>
      <w:bookmarkEnd w:id="168"/>
      <w:bookmarkStart w:id="169" w:name="_Toc391647324"/>
      <w:bookmarkEnd w:id="169"/>
      <w:bookmarkStart w:id="170" w:name="_Toc391647334"/>
      <w:bookmarkEnd w:id="170"/>
      <w:bookmarkStart w:id="171" w:name="_Toc391647882"/>
      <w:bookmarkEnd w:id="171"/>
      <w:bookmarkStart w:id="172" w:name="_Toc391647333"/>
      <w:bookmarkEnd w:id="172"/>
      <w:bookmarkStart w:id="173" w:name="_Toc391650119"/>
      <w:bookmarkEnd w:id="173"/>
      <w:bookmarkStart w:id="174" w:name="_Toc391649517"/>
      <w:bookmarkEnd w:id="174"/>
      <w:bookmarkStart w:id="175" w:name="_Toc391649297"/>
      <w:bookmarkEnd w:id="175"/>
      <w:bookmarkStart w:id="176" w:name="_Toc391650098"/>
      <w:bookmarkEnd w:id="176"/>
      <w:bookmarkStart w:id="177" w:name="_Toc391649328"/>
      <w:bookmarkEnd w:id="177"/>
      <w:bookmarkStart w:id="178" w:name="_Toc391649332"/>
      <w:bookmarkEnd w:id="178"/>
      <w:bookmarkStart w:id="179" w:name="_Toc391649503"/>
      <w:bookmarkEnd w:id="179"/>
      <w:bookmarkStart w:id="180" w:name="_Toc391650071"/>
      <w:bookmarkEnd w:id="180"/>
      <w:bookmarkStart w:id="181" w:name="_Toc391649296"/>
      <w:bookmarkEnd w:id="181"/>
      <w:bookmarkStart w:id="182" w:name="_Toc391650058"/>
      <w:bookmarkEnd w:id="182"/>
      <w:bookmarkStart w:id="183" w:name="_Toc391650068"/>
      <w:bookmarkEnd w:id="183"/>
      <w:bookmarkStart w:id="184" w:name="_Toc391647330"/>
      <w:bookmarkEnd w:id="184"/>
      <w:bookmarkStart w:id="185" w:name="_Toc391649740"/>
      <w:bookmarkEnd w:id="185"/>
      <w:bookmarkStart w:id="186" w:name="_Toc391647321"/>
      <w:bookmarkEnd w:id="186"/>
      <w:bookmarkStart w:id="187" w:name="_Toc391649321"/>
      <w:bookmarkEnd w:id="187"/>
      <w:bookmarkStart w:id="188" w:name="_Toc391649323"/>
      <w:bookmarkEnd w:id="188"/>
      <w:bookmarkStart w:id="189" w:name="_Toc391715517"/>
      <w:bookmarkEnd w:id="189"/>
      <w:bookmarkStart w:id="190" w:name="_Toc391647892"/>
      <w:bookmarkEnd w:id="190"/>
      <w:bookmarkStart w:id="191" w:name="_Toc391647190"/>
      <w:bookmarkEnd w:id="191"/>
      <w:bookmarkStart w:id="192" w:name="_Toc391649524"/>
      <w:bookmarkEnd w:id="192"/>
      <w:bookmarkStart w:id="193" w:name="_Toc391647193"/>
      <w:bookmarkEnd w:id="193"/>
      <w:bookmarkStart w:id="194" w:name="_Toc391654295"/>
      <w:bookmarkEnd w:id="194"/>
      <w:bookmarkStart w:id="195" w:name="_Toc391654282"/>
      <w:bookmarkEnd w:id="195"/>
      <w:bookmarkStart w:id="196" w:name="_Toc391649325"/>
      <w:bookmarkEnd w:id="196"/>
      <w:bookmarkStart w:id="197" w:name="_Toc391647875"/>
      <w:bookmarkEnd w:id="197"/>
      <w:bookmarkStart w:id="198" w:name="_Toc391647182"/>
      <w:bookmarkEnd w:id="198"/>
      <w:bookmarkStart w:id="199" w:name="_Toc391654311"/>
      <w:bookmarkEnd w:id="199"/>
      <w:bookmarkStart w:id="200" w:name="_Toc391650120"/>
      <w:bookmarkEnd w:id="200"/>
      <w:bookmarkStart w:id="201" w:name="_Toc391654286"/>
      <w:bookmarkEnd w:id="201"/>
      <w:bookmarkStart w:id="202" w:name="_Toc391647339"/>
      <w:bookmarkEnd w:id="202"/>
      <w:bookmarkStart w:id="203" w:name="_Toc391647186"/>
      <w:bookmarkEnd w:id="203"/>
      <w:bookmarkStart w:id="204" w:name="_Toc391715528"/>
      <w:bookmarkEnd w:id="204"/>
      <w:bookmarkStart w:id="205" w:name="_Toc391649743"/>
      <w:bookmarkEnd w:id="205"/>
      <w:bookmarkStart w:id="206" w:name="_Toc391647909"/>
      <w:bookmarkEnd w:id="206"/>
      <w:bookmarkStart w:id="207" w:name="_Toc391649526"/>
      <w:bookmarkEnd w:id="207"/>
      <w:bookmarkStart w:id="208" w:name="_Toc391647166"/>
      <w:bookmarkEnd w:id="208"/>
      <w:bookmarkStart w:id="209" w:name="_Toc391650074"/>
      <w:bookmarkEnd w:id="209"/>
      <w:bookmarkStart w:id="210" w:name="_Toc391715520"/>
      <w:bookmarkEnd w:id="210"/>
      <w:bookmarkStart w:id="211" w:name="_Toc391647191"/>
      <w:bookmarkEnd w:id="211"/>
      <w:bookmarkStart w:id="212" w:name="_Toc391650089"/>
      <w:bookmarkEnd w:id="212"/>
      <w:bookmarkStart w:id="213" w:name="_Toc391649756"/>
      <w:bookmarkEnd w:id="213"/>
      <w:bookmarkStart w:id="214" w:name="_Toc391649279"/>
      <w:bookmarkEnd w:id="214"/>
      <w:bookmarkStart w:id="215" w:name="_Toc391649341"/>
      <w:bookmarkEnd w:id="215"/>
      <w:bookmarkStart w:id="216" w:name="_Toc391649272"/>
      <w:bookmarkEnd w:id="216"/>
      <w:bookmarkStart w:id="217" w:name="_Toc391650110"/>
      <w:bookmarkEnd w:id="217"/>
      <w:bookmarkStart w:id="218" w:name="_Toc391650102"/>
      <w:bookmarkEnd w:id="218"/>
      <w:bookmarkStart w:id="219" w:name="_Toc391650107"/>
      <w:bookmarkEnd w:id="219"/>
      <w:bookmarkStart w:id="220" w:name="_Toc391647889"/>
      <w:bookmarkEnd w:id="220"/>
      <w:bookmarkStart w:id="221" w:name="_Toc391647319"/>
      <w:bookmarkEnd w:id="221"/>
      <w:bookmarkStart w:id="222" w:name="_Toc391649754"/>
      <w:bookmarkEnd w:id="222"/>
      <w:bookmarkStart w:id="223" w:name="_Toc391650106"/>
      <w:bookmarkEnd w:id="223"/>
      <w:bookmarkStart w:id="224" w:name="_Toc391647196"/>
      <w:bookmarkEnd w:id="224"/>
      <w:bookmarkStart w:id="225" w:name="_Toc391650104"/>
      <w:bookmarkEnd w:id="225"/>
      <w:bookmarkStart w:id="226" w:name="_Toc391649741"/>
      <w:bookmarkEnd w:id="226"/>
      <w:bookmarkStart w:id="227" w:name="_Toc391650113"/>
      <w:bookmarkEnd w:id="227"/>
      <w:bookmarkStart w:id="228" w:name="_Toc391647175"/>
      <w:bookmarkEnd w:id="228"/>
      <w:bookmarkStart w:id="229" w:name="_Toc391649346"/>
      <w:bookmarkEnd w:id="229"/>
      <w:bookmarkStart w:id="230" w:name="_Toc391647894"/>
      <w:bookmarkEnd w:id="230"/>
      <w:bookmarkStart w:id="231" w:name="_Toc391649506"/>
      <w:bookmarkEnd w:id="231"/>
      <w:bookmarkStart w:id="232" w:name="_Toc391649339"/>
      <w:bookmarkEnd w:id="232"/>
      <w:bookmarkStart w:id="233" w:name="_Toc391649269"/>
      <w:bookmarkEnd w:id="233"/>
      <w:bookmarkStart w:id="234" w:name="_Toc391649505"/>
      <w:bookmarkEnd w:id="234"/>
      <w:bookmarkStart w:id="235" w:name="_Toc391649315"/>
      <w:bookmarkEnd w:id="235"/>
      <w:bookmarkStart w:id="236" w:name="_Toc391649748"/>
      <w:bookmarkEnd w:id="236"/>
      <w:bookmarkStart w:id="237" w:name="_Toc391649283"/>
      <w:bookmarkEnd w:id="237"/>
      <w:bookmarkStart w:id="238" w:name="_Toc391650055"/>
      <w:bookmarkEnd w:id="238"/>
      <w:bookmarkStart w:id="239" w:name="_Toc391649273"/>
      <w:bookmarkEnd w:id="239"/>
      <w:bookmarkStart w:id="240" w:name="_Toc391650100"/>
      <w:bookmarkEnd w:id="240"/>
      <w:bookmarkStart w:id="241" w:name="_Toc391649324"/>
      <w:bookmarkEnd w:id="241"/>
      <w:bookmarkStart w:id="242" w:name="_Toc391649287"/>
      <w:bookmarkEnd w:id="242"/>
      <w:bookmarkStart w:id="243" w:name="_Toc391654283"/>
      <w:bookmarkEnd w:id="243"/>
      <w:bookmarkStart w:id="244" w:name="_Toc391715518"/>
      <w:bookmarkEnd w:id="244"/>
      <w:bookmarkStart w:id="245" w:name="_Toc391650064"/>
      <w:bookmarkEnd w:id="245"/>
      <w:bookmarkStart w:id="246" w:name="_Toc391647880"/>
      <w:bookmarkEnd w:id="246"/>
      <w:bookmarkStart w:id="247" w:name="_Toc391654285"/>
      <w:bookmarkEnd w:id="247"/>
      <w:bookmarkStart w:id="248" w:name="_Toc391649739"/>
      <w:bookmarkEnd w:id="248"/>
      <w:bookmarkStart w:id="249" w:name="_Toc391649525"/>
      <w:bookmarkEnd w:id="249"/>
      <w:bookmarkStart w:id="250" w:name="_Toc391650046"/>
      <w:bookmarkEnd w:id="250"/>
      <w:bookmarkStart w:id="251" w:name="_Toc391647167"/>
      <w:bookmarkEnd w:id="251"/>
      <w:bookmarkStart w:id="252" w:name="_Toc391649268"/>
      <w:bookmarkEnd w:id="252"/>
      <w:bookmarkStart w:id="253" w:name="_Toc391650059"/>
      <w:bookmarkEnd w:id="253"/>
      <w:bookmarkStart w:id="254" w:name="_Toc391649267"/>
      <w:bookmarkEnd w:id="254"/>
      <w:bookmarkStart w:id="255" w:name="_Toc391647309"/>
      <w:bookmarkEnd w:id="255"/>
      <w:bookmarkStart w:id="256" w:name="_Toc391654305"/>
      <w:bookmarkEnd w:id="256"/>
      <w:bookmarkStart w:id="257" w:name="_Toc391715527"/>
      <w:bookmarkEnd w:id="257"/>
      <w:bookmarkStart w:id="258" w:name="_Toc391654303"/>
      <w:bookmarkEnd w:id="258"/>
      <w:bookmarkStart w:id="259" w:name="_Toc391649317"/>
      <w:bookmarkEnd w:id="259"/>
      <w:bookmarkStart w:id="260" w:name="_Toc391647338"/>
      <w:bookmarkEnd w:id="260"/>
      <w:bookmarkStart w:id="261" w:name="_Toc391647322"/>
      <w:bookmarkEnd w:id="261"/>
      <w:bookmarkStart w:id="262" w:name="_Toc391715533"/>
      <w:bookmarkEnd w:id="262"/>
      <w:bookmarkStart w:id="263" w:name="_Toc391654310"/>
      <w:bookmarkEnd w:id="263"/>
      <w:bookmarkStart w:id="264" w:name="_Toc391649751"/>
      <w:bookmarkEnd w:id="264"/>
      <w:bookmarkStart w:id="265" w:name="_Toc391649349"/>
      <w:bookmarkEnd w:id="265"/>
      <w:bookmarkStart w:id="266" w:name="_Toc391654312"/>
      <w:bookmarkEnd w:id="266"/>
      <w:bookmarkStart w:id="267" w:name="_Toc391647878"/>
      <w:bookmarkEnd w:id="267"/>
      <w:bookmarkStart w:id="268" w:name="_Toc391715543"/>
      <w:bookmarkEnd w:id="268"/>
      <w:bookmarkStart w:id="269" w:name="_Toc391649329"/>
      <w:bookmarkEnd w:id="269"/>
      <w:bookmarkStart w:id="270" w:name="_Toc391649496"/>
      <w:bookmarkEnd w:id="270"/>
      <w:bookmarkStart w:id="271" w:name="_Toc391649285"/>
      <w:bookmarkEnd w:id="271"/>
      <w:bookmarkStart w:id="272" w:name="_Toc391647876"/>
      <w:bookmarkEnd w:id="272"/>
      <w:bookmarkStart w:id="273" w:name="_Toc391647174"/>
      <w:bookmarkEnd w:id="273"/>
      <w:bookmarkStart w:id="274" w:name="_Toc391649322"/>
      <w:bookmarkEnd w:id="274"/>
      <w:bookmarkStart w:id="275" w:name="_Toc391715538"/>
      <w:bookmarkEnd w:id="275"/>
      <w:bookmarkStart w:id="276" w:name="_Toc391647172"/>
      <w:bookmarkEnd w:id="276"/>
      <w:bookmarkStart w:id="277" w:name="_Toc391649502"/>
      <w:bookmarkEnd w:id="277"/>
      <w:bookmarkStart w:id="278" w:name="_Toc391715529"/>
      <w:bookmarkEnd w:id="278"/>
      <w:bookmarkStart w:id="279" w:name="_Toc391650042"/>
      <w:bookmarkEnd w:id="279"/>
      <w:bookmarkStart w:id="280" w:name="_Toc391649347"/>
      <w:bookmarkEnd w:id="280"/>
      <w:bookmarkStart w:id="281" w:name="_Toc391649334"/>
      <w:bookmarkEnd w:id="281"/>
      <w:bookmarkStart w:id="282" w:name="_Toc391649753"/>
      <w:bookmarkEnd w:id="282"/>
      <w:bookmarkStart w:id="283" w:name="_Toc391649270"/>
      <w:bookmarkEnd w:id="283"/>
      <w:bookmarkStart w:id="284" w:name="_Toc391647176"/>
      <w:bookmarkEnd w:id="284"/>
      <w:bookmarkStart w:id="285" w:name="_Toc391647164"/>
      <w:bookmarkEnd w:id="285"/>
      <w:bookmarkStart w:id="286" w:name="_Toc391647165"/>
      <w:bookmarkEnd w:id="286"/>
      <w:bookmarkStart w:id="287" w:name="_Toc391649499"/>
      <w:bookmarkEnd w:id="287"/>
      <w:bookmarkStart w:id="288" w:name="_Toc391647325"/>
      <w:bookmarkEnd w:id="288"/>
      <w:bookmarkStart w:id="289" w:name="_Toc391649495"/>
      <w:bookmarkEnd w:id="289"/>
      <w:bookmarkStart w:id="290" w:name="_Toc391650050"/>
      <w:bookmarkEnd w:id="290"/>
      <w:bookmarkStart w:id="291" w:name="_Toc391649504"/>
      <w:bookmarkEnd w:id="291"/>
      <w:bookmarkStart w:id="292" w:name="_Toc391649733"/>
      <w:bookmarkEnd w:id="292"/>
      <w:bookmarkStart w:id="293" w:name="_Toc391654301"/>
      <w:bookmarkEnd w:id="293"/>
      <w:bookmarkStart w:id="294" w:name="_Toc391650067"/>
      <w:bookmarkEnd w:id="294"/>
      <w:bookmarkStart w:id="295" w:name="_Toc391647336"/>
      <w:bookmarkEnd w:id="295"/>
      <w:bookmarkStart w:id="296" w:name="_Toc391650103"/>
      <w:bookmarkEnd w:id="296"/>
      <w:bookmarkStart w:id="297" w:name="_Toc391649497"/>
      <w:bookmarkEnd w:id="297"/>
      <w:bookmarkStart w:id="298" w:name="_Toc391650043"/>
      <w:bookmarkEnd w:id="298"/>
      <w:bookmarkStart w:id="299" w:name="_Toc391650045"/>
      <w:bookmarkEnd w:id="299"/>
      <w:bookmarkStart w:id="300" w:name="_Toc391650090"/>
      <w:bookmarkEnd w:id="300"/>
      <w:bookmarkStart w:id="301" w:name="_Toc391654288"/>
      <w:bookmarkEnd w:id="301"/>
      <w:bookmarkStart w:id="302" w:name="_Toc391654299"/>
      <w:bookmarkEnd w:id="302"/>
      <w:bookmarkStart w:id="303" w:name="_Toc391650076"/>
      <w:bookmarkEnd w:id="303"/>
      <w:bookmarkStart w:id="304" w:name="_Toc391650122"/>
      <w:bookmarkEnd w:id="304"/>
      <w:bookmarkStart w:id="305" w:name="_Toc391647184"/>
      <w:bookmarkEnd w:id="305"/>
      <w:bookmarkStart w:id="306" w:name="_Toc391650117"/>
      <w:bookmarkEnd w:id="306"/>
      <w:bookmarkStart w:id="307" w:name="_Toc391647320"/>
      <w:bookmarkEnd w:id="307"/>
      <w:bookmarkStart w:id="308" w:name="_Toc391649747"/>
      <w:bookmarkEnd w:id="308"/>
      <w:bookmarkStart w:id="309" w:name="_Toc391654300"/>
      <w:bookmarkEnd w:id="309"/>
      <w:bookmarkStart w:id="310" w:name="_Toc391654279"/>
      <w:bookmarkEnd w:id="310"/>
      <w:bookmarkStart w:id="311" w:name="_Toc391649337"/>
      <w:bookmarkEnd w:id="311"/>
      <w:bookmarkStart w:id="312" w:name="_Toc391715512"/>
      <w:bookmarkEnd w:id="312"/>
      <w:bookmarkStart w:id="313" w:name="_Toc391647187"/>
      <w:bookmarkEnd w:id="313"/>
      <w:bookmarkStart w:id="314" w:name="_Toc391647173"/>
      <w:bookmarkEnd w:id="314"/>
      <w:bookmarkStart w:id="315" w:name="_Toc391649291"/>
      <w:bookmarkEnd w:id="315"/>
      <w:bookmarkStart w:id="316" w:name="_Toc391649333"/>
      <w:bookmarkEnd w:id="316"/>
      <w:bookmarkStart w:id="317" w:name="_Toc391715519"/>
      <w:bookmarkEnd w:id="317"/>
      <w:bookmarkStart w:id="318" w:name="_Toc391649762"/>
      <w:bookmarkEnd w:id="318"/>
      <w:bookmarkStart w:id="319" w:name="_Toc391647178"/>
      <w:bookmarkEnd w:id="319"/>
      <w:bookmarkStart w:id="320" w:name="_Toc391650075"/>
      <w:bookmarkEnd w:id="320"/>
      <w:bookmarkStart w:id="321" w:name="_Toc391649271"/>
      <w:bookmarkEnd w:id="321"/>
      <w:bookmarkStart w:id="322" w:name="_Toc391650053"/>
      <w:bookmarkEnd w:id="322"/>
      <w:bookmarkStart w:id="323" w:name="_Toc391650116"/>
      <w:bookmarkEnd w:id="323"/>
      <w:bookmarkStart w:id="324" w:name="_Toc391649761"/>
      <w:bookmarkEnd w:id="324"/>
      <w:bookmarkStart w:id="325" w:name="_Toc391647895"/>
      <w:bookmarkEnd w:id="325"/>
      <w:bookmarkStart w:id="326" w:name="_Toc391647181"/>
      <w:bookmarkEnd w:id="326"/>
      <w:bookmarkStart w:id="327" w:name="_Toc391654293"/>
      <w:bookmarkEnd w:id="327"/>
      <w:bookmarkStart w:id="328" w:name="_Toc391647162"/>
      <w:bookmarkEnd w:id="328"/>
      <w:bookmarkStart w:id="329" w:name="_Toc391649750"/>
      <w:bookmarkEnd w:id="329"/>
      <w:bookmarkStart w:id="330" w:name="_Toc391647179"/>
      <w:bookmarkEnd w:id="330"/>
      <w:bookmarkStart w:id="331" w:name="_Toc391649275"/>
      <w:bookmarkEnd w:id="331"/>
      <w:bookmarkStart w:id="332" w:name="_Toc391647168"/>
      <w:bookmarkEnd w:id="332"/>
      <w:bookmarkStart w:id="333" w:name="_Toc391647883"/>
      <w:bookmarkEnd w:id="333"/>
      <w:bookmarkStart w:id="334" w:name="_Toc391649527"/>
      <w:bookmarkEnd w:id="334"/>
      <w:bookmarkStart w:id="335" w:name="_Toc391647897"/>
      <w:bookmarkEnd w:id="335"/>
      <w:bookmarkStart w:id="336" w:name="_Toc391650072"/>
      <w:bookmarkEnd w:id="336"/>
      <w:bookmarkStart w:id="337" w:name="_Toc391650070"/>
      <w:bookmarkEnd w:id="337"/>
      <w:bookmarkStart w:id="338" w:name="_Toc391649342"/>
      <w:bookmarkEnd w:id="338"/>
      <w:bookmarkStart w:id="339" w:name="_Toc391647313"/>
      <w:bookmarkEnd w:id="339"/>
      <w:bookmarkStart w:id="340" w:name="_Toc391650061"/>
      <w:bookmarkEnd w:id="340"/>
      <w:bookmarkStart w:id="341" w:name="_Toc391647904"/>
      <w:bookmarkEnd w:id="341"/>
      <w:bookmarkStart w:id="342" w:name="_Toc391649301"/>
      <w:bookmarkEnd w:id="342"/>
      <w:bookmarkStart w:id="343" w:name="_Toc391715531"/>
      <w:bookmarkEnd w:id="343"/>
      <w:bookmarkStart w:id="344" w:name="_Toc391649292"/>
      <w:bookmarkEnd w:id="344"/>
      <w:bookmarkStart w:id="345" w:name="_Toc391649522"/>
      <w:bookmarkEnd w:id="345"/>
      <w:bookmarkStart w:id="346" w:name="_Toc391649348"/>
      <w:bookmarkEnd w:id="346"/>
      <w:bookmarkStart w:id="347" w:name="_Toc391649276"/>
      <w:bookmarkEnd w:id="347"/>
      <w:bookmarkStart w:id="348" w:name="_Toc391649327"/>
      <w:bookmarkEnd w:id="348"/>
      <w:bookmarkStart w:id="349" w:name="_Toc391649763"/>
      <w:bookmarkEnd w:id="349"/>
      <w:bookmarkStart w:id="350" w:name="_Toc391649319"/>
      <w:bookmarkEnd w:id="350"/>
      <w:bookmarkStart w:id="351" w:name="_Toc391647183"/>
      <w:bookmarkEnd w:id="351"/>
      <w:bookmarkStart w:id="352" w:name="_Toc391649755"/>
      <w:bookmarkEnd w:id="352"/>
      <w:bookmarkStart w:id="353" w:name="_Toc391715524"/>
      <w:bookmarkEnd w:id="353"/>
      <w:bookmarkStart w:id="354" w:name="_Toc391649510"/>
      <w:bookmarkEnd w:id="354"/>
      <w:bookmarkStart w:id="355" w:name="_Toc391649514"/>
      <w:bookmarkEnd w:id="355"/>
      <w:bookmarkStart w:id="356" w:name="_Toc391650047"/>
      <w:bookmarkEnd w:id="356"/>
      <w:bookmarkStart w:id="357" w:name="_Toc391647195"/>
      <w:bookmarkEnd w:id="357"/>
      <w:bookmarkStart w:id="358" w:name="_Toc391649744"/>
      <w:bookmarkEnd w:id="358"/>
      <w:bookmarkStart w:id="359" w:name="_Toc391715535"/>
      <w:bookmarkEnd w:id="359"/>
      <w:bookmarkStart w:id="360" w:name="_Toc391650118"/>
      <w:bookmarkEnd w:id="360"/>
      <w:bookmarkStart w:id="361" w:name="_Toc391649289"/>
      <w:bookmarkEnd w:id="361"/>
      <w:bookmarkStart w:id="362" w:name="_Toc391647335"/>
      <w:bookmarkEnd w:id="362"/>
      <w:bookmarkStart w:id="363" w:name="_Toc391650054"/>
      <w:bookmarkEnd w:id="363"/>
      <w:bookmarkStart w:id="364" w:name="_Toc391715522"/>
      <w:bookmarkEnd w:id="364"/>
      <w:bookmarkStart w:id="365" w:name="_Toc391715536"/>
      <w:bookmarkEnd w:id="365"/>
      <w:bookmarkStart w:id="366" w:name="_Toc391654306"/>
      <w:bookmarkEnd w:id="366"/>
      <w:bookmarkStart w:id="367" w:name="_Toc391649326"/>
      <w:bookmarkEnd w:id="367"/>
      <w:bookmarkStart w:id="368" w:name="_Toc391650063"/>
      <w:bookmarkEnd w:id="368"/>
      <w:bookmarkStart w:id="369" w:name="_Toc391650049"/>
      <w:bookmarkEnd w:id="369"/>
      <w:bookmarkStart w:id="370" w:name="_Toc391649316"/>
      <w:bookmarkEnd w:id="370"/>
      <w:bookmarkStart w:id="371" w:name="_Toc391715509"/>
      <w:bookmarkEnd w:id="371"/>
      <w:bookmarkStart w:id="372" w:name="_Toc391647906"/>
      <w:bookmarkEnd w:id="372"/>
      <w:bookmarkStart w:id="373" w:name="_Toc391647891"/>
      <w:bookmarkEnd w:id="373"/>
      <w:bookmarkStart w:id="374" w:name="_Toc391647323"/>
      <w:bookmarkEnd w:id="374"/>
      <w:bookmarkStart w:id="375" w:name="_Toc391649501"/>
      <w:bookmarkEnd w:id="375"/>
      <w:bookmarkStart w:id="376" w:name="_Toc391647340"/>
      <w:bookmarkEnd w:id="376"/>
      <w:bookmarkStart w:id="377" w:name="_Toc391654284"/>
      <w:bookmarkEnd w:id="377"/>
      <w:bookmarkStart w:id="378" w:name="_Toc391654291"/>
      <w:bookmarkEnd w:id="378"/>
      <w:bookmarkStart w:id="379" w:name="_Toc391647180"/>
      <w:bookmarkEnd w:id="379"/>
      <w:bookmarkStart w:id="380" w:name="_Toc391650048"/>
      <w:bookmarkEnd w:id="380"/>
      <w:bookmarkStart w:id="381" w:name="_Toc391650092"/>
      <w:bookmarkEnd w:id="381"/>
      <w:bookmarkStart w:id="382" w:name="_Toc391647171"/>
      <w:bookmarkEnd w:id="382"/>
      <w:bookmarkStart w:id="383" w:name="_Toc391650109"/>
      <w:bookmarkEnd w:id="383"/>
      <w:bookmarkStart w:id="384" w:name="_Toc391647896"/>
      <w:bookmarkEnd w:id="384"/>
      <w:bookmarkStart w:id="385" w:name="_Toc391649508"/>
      <w:bookmarkEnd w:id="385"/>
      <w:bookmarkStart w:id="386" w:name="_Toc391650105"/>
      <w:bookmarkEnd w:id="386"/>
      <w:bookmarkStart w:id="387" w:name="_Toc391715532"/>
      <w:bookmarkEnd w:id="387"/>
      <w:bookmarkStart w:id="388" w:name="_Toc391715540"/>
      <w:bookmarkEnd w:id="388"/>
      <w:bookmarkStart w:id="389" w:name="_Toc391654302"/>
      <w:bookmarkEnd w:id="389"/>
      <w:bookmarkStart w:id="390" w:name="_Toc391647881"/>
      <w:bookmarkEnd w:id="390"/>
      <w:bookmarkStart w:id="391" w:name="_Toc391647316"/>
      <w:bookmarkEnd w:id="391"/>
      <w:bookmarkStart w:id="392" w:name="_Toc391649278"/>
      <w:bookmarkEnd w:id="392"/>
      <w:bookmarkStart w:id="393" w:name="_Toc391715525"/>
      <w:bookmarkEnd w:id="393"/>
      <w:bookmarkStart w:id="394" w:name="_Toc78989280"/>
      <w:bookmarkStart w:id="395" w:name="_Toc1447"/>
      <w:bookmarkStart w:id="396" w:name="_Toc494114013"/>
      <w:bookmarkStart w:id="397" w:name="_Toc292025370"/>
      <w:bookmarkStart w:id="398" w:name="_Toc283142590"/>
      <w:bookmarkStart w:id="399" w:name="_Toc283011668"/>
      <w:bookmarkStart w:id="400" w:name="_Toc282433716"/>
      <w:r>
        <w:rPr>
          <w:sz w:val="21"/>
          <w:szCs w:val="21"/>
          <w:highlight w:val="none"/>
        </w:rPr>
        <w:t xml:space="preserve">1  </w:t>
      </w:r>
      <w:r>
        <w:rPr>
          <w:rFonts w:hint="eastAsia"/>
          <w:b w:val="0"/>
          <w:bCs/>
          <w:sz w:val="21"/>
          <w:szCs w:val="21"/>
          <w:highlight w:val="none"/>
        </w:rPr>
        <w:t>工程概述</w:t>
      </w:r>
      <w:bookmarkEnd w:id="394"/>
      <w:bookmarkEnd w:id="395"/>
      <w:bookmarkEnd w:id="396"/>
    </w:p>
    <w:p>
      <w:pPr>
        <w:pStyle w:val="36"/>
        <w:rPr>
          <w:sz w:val="21"/>
          <w:szCs w:val="21"/>
          <w:highlight w:val="none"/>
        </w:rPr>
      </w:pPr>
      <w:bookmarkStart w:id="401" w:name="_Toc494114014"/>
      <w:bookmarkStart w:id="402" w:name="_Toc78989281"/>
      <w:bookmarkStart w:id="403" w:name="_Toc29516"/>
      <w:r>
        <w:rPr>
          <w:sz w:val="21"/>
          <w:szCs w:val="21"/>
          <w:highlight w:val="none"/>
        </w:rPr>
        <w:t xml:space="preserve">1.1 </w:t>
      </w:r>
      <w:r>
        <w:rPr>
          <w:rFonts w:hint="eastAsia"/>
          <w:b w:val="0"/>
          <w:bCs/>
          <w:sz w:val="21"/>
          <w:szCs w:val="21"/>
          <w:highlight w:val="none"/>
        </w:rPr>
        <w:t>工程概况</w:t>
      </w:r>
      <w:bookmarkEnd w:id="401"/>
      <w:bookmarkEnd w:id="402"/>
      <w:bookmarkEnd w:id="403"/>
    </w:p>
    <w:p>
      <w:pPr>
        <w:ind w:firstLine="400"/>
        <w:rPr>
          <w:highlight w:val="none"/>
        </w:rPr>
      </w:pPr>
      <w:r>
        <w:rPr>
          <w:highlight w:val="none"/>
        </w:rPr>
        <w:t>本技术规范书采购的设备适用的工程概况如下：</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表1.1 工程概况一览表（项目单位填写）</w:t>
      </w:r>
      <w:bookmarkStart w:id="404" w:name="_Toc494114015"/>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761"/>
        <w:gridCol w:w="4115"/>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vAlign w:val="center"/>
          </w:tcPr>
          <w:p>
            <w:pPr>
              <w:adjustRightInd w:val="0"/>
              <w:spacing w:line="240" w:lineRule="auto"/>
              <w:ind w:firstLine="0" w:firstLineChars="0"/>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序号</w:t>
            </w:r>
          </w:p>
        </w:tc>
        <w:tc>
          <w:tcPr>
            <w:tcW w:w="2761" w:type="dxa"/>
            <w:vAlign w:val="center"/>
          </w:tcPr>
          <w:p>
            <w:pPr>
              <w:adjustRightInd w:val="0"/>
              <w:spacing w:line="240" w:lineRule="auto"/>
              <w:ind w:firstLine="0" w:firstLineChars="0"/>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名 称</w:t>
            </w:r>
          </w:p>
        </w:tc>
        <w:tc>
          <w:tcPr>
            <w:tcW w:w="4115" w:type="dxa"/>
            <w:vAlign w:val="center"/>
          </w:tcPr>
          <w:p>
            <w:pPr>
              <w:adjustRightInd w:val="0"/>
              <w:spacing w:line="240" w:lineRule="auto"/>
              <w:ind w:firstLine="0" w:firstLineChars="0"/>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内容</w:t>
            </w:r>
          </w:p>
        </w:tc>
        <w:tc>
          <w:tcPr>
            <w:tcW w:w="2109" w:type="dxa"/>
            <w:vAlign w:val="center"/>
          </w:tcPr>
          <w:p>
            <w:pPr>
              <w:adjustRightInd w:val="0"/>
              <w:spacing w:line="240" w:lineRule="auto"/>
              <w:ind w:left="101" w:firstLine="0" w:firstLineChars="0"/>
              <w:jc w:val="center"/>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工程建设单位</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采购规模</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运输条件</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陆运/水运</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系统短路电流</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≤20kA</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系统标称电压</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10kV</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系统最高电压</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12kV</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系统额定频率</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50Hz</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系统中性点接地方式</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消弧线圈、小电阻接地、不接地</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6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9</w:t>
            </w:r>
          </w:p>
        </w:tc>
        <w:tc>
          <w:tcPr>
            <w:tcW w:w="2761"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安装地点</w:t>
            </w:r>
          </w:p>
        </w:tc>
        <w:tc>
          <w:tcPr>
            <w:tcW w:w="411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户外/户内</w:t>
            </w:r>
          </w:p>
        </w:tc>
        <w:tc>
          <w:tcPr>
            <w:tcW w:w="21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bl>
    <w:p>
      <w:pPr>
        <w:pStyle w:val="36"/>
        <w:rPr>
          <w:sz w:val="21"/>
          <w:szCs w:val="21"/>
          <w:highlight w:val="none"/>
        </w:rPr>
      </w:pPr>
      <w:bookmarkStart w:id="405" w:name="_Toc78989282"/>
      <w:bookmarkStart w:id="406" w:name="_Toc3007"/>
      <w:r>
        <w:rPr>
          <w:sz w:val="21"/>
          <w:szCs w:val="21"/>
          <w:highlight w:val="none"/>
        </w:rPr>
        <w:t xml:space="preserve">1.2 </w:t>
      </w:r>
      <w:r>
        <w:rPr>
          <w:rFonts w:hint="eastAsia"/>
          <w:b w:val="0"/>
          <w:bCs/>
          <w:sz w:val="21"/>
          <w:szCs w:val="21"/>
          <w:highlight w:val="none"/>
        </w:rPr>
        <w:t>使用条件</w:t>
      </w:r>
      <w:bookmarkEnd w:id="404"/>
      <w:bookmarkEnd w:id="405"/>
      <w:bookmarkEnd w:id="406"/>
    </w:p>
    <w:p>
      <w:pPr>
        <w:ind w:firstLine="400"/>
        <w:rPr>
          <w:highlight w:val="none"/>
        </w:rPr>
      </w:pPr>
      <w:r>
        <w:rPr>
          <w:highlight w:val="none"/>
        </w:rPr>
        <w:t>本技术规范书采购的设备适用的外部条件如下：</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表1.2 设备外部条件一览表（项目单位填写）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828"/>
        <w:gridCol w:w="1009"/>
        <w:gridCol w:w="972"/>
        <w:gridCol w:w="1058"/>
        <w:gridCol w:w="1072"/>
        <w:gridCol w:w="1072"/>
        <w:gridCol w:w="1518"/>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序号</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参数类型</w:t>
            </w:r>
          </w:p>
        </w:tc>
        <w:tc>
          <w:tcPr>
            <w:tcW w:w="972" w:type="dxa"/>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单位</w:t>
            </w:r>
          </w:p>
        </w:tc>
        <w:tc>
          <w:tcPr>
            <w:tcW w:w="1058"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正常使用条件</w:t>
            </w:r>
          </w:p>
        </w:tc>
        <w:tc>
          <w:tcPr>
            <w:tcW w:w="1072"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特殊使用条件</w:t>
            </w:r>
          </w:p>
        </w:tc>
        <w:tc>
          <w:tcPr>
            <w:tcW w:w="1072" w:type="dxa"/>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项目需求值或表述</w:t>
            </w:r>
          </w:p>
        </w:tc>
        <w:tc>
          <w:tcPr>
            <w:tcW w:w="1518" w:type="dxa"/>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投标人保证值</w:t>
            </w:r>
          </w:p>
        </w:tc>
        <w:tc>
          <w:tcPr>
            <w:tcW w:w="1665" w:type="dxa"/>
            <w:vAlign w:val="center"/>
          </w:tcPr>
          <w:p>
            <w:pPr>
              <w:adjustRightInd w:val="0"/>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海拔</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m</w:t>
            </w:r>
          </w:p>
        </w:tc>
        <w:tc>
          <w:tcPr>
            <w:tcW w:w="105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r>
              <w:rPr>
                <w:rFonts w:hint="default" w:ascii="Times New Roman" w:hAnsi="Times New Roman" w:cs="Times New Roman" w:eastAsiaTheme="minorEastAsia"/>
                <w:highlight w:val="none"/>
              </w:rPr>
              <w:t>≤</w:t>
            </w:r>
            <w:r>
              <w:rPr>
                <w:rFonts w:hint="default" w:ascii="Times New Roman" w:hAnsi="Times New Roman" w:cs="Times New Roman"/>
                <w:highlight w:val="none"/>
              </w:rPr>
              <w:t>1000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r>
              <w:rPr>
                <w:rFonts w:hint="default" w:ascii="Times New Roman" w:hAnsi="Times New Roman" w:cs="Times New Roman"/>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最高环境温度</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最低环境温度</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年平均气温</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最大日温差</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30</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6</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太阳辐射强度（风速0.5m/s）</w:t>
            </w:r>
          </w:p>
        </w:tc>
        <w:tc>
          <w:tcPr>
            <w:tcW w:w="972"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vertAlign w:val="superscript"/>
              </w:rPr>
            </w:pPr>
            <w:r>
              <w:rPr>
                <w:rFonts w:hint="default" w:ascii="Times New Roman" w:hAnsi="Times New Roman" w:cs="Times New Roman"/>
                <w:sz w:val="18"/>
                <w:szCs w:val="18"/>
                <w:highlight w:val="none"/>
              </w:rPr>
              <w:t>W</w:t>
            </w:r>
            <w:r>
              <w:rPr>
                <w:rFonts w:hint="default" w:ascii="Times New Roman" w:hAnsi="Times New Roman" w:cs="Times New Roman"/>
                <w:color w:val="000000"/>
                <w:sz w:val="18"/>
                <w:szCs w:val="18"/>
                <w:highlight w:val="none"/>
              </w:rPr>
              <w:t>/cm</w:t>
            </w:r>
            <w:r>
              <w:rPr>
                <w:rFonts w:hint="default" w:ascii="Times New Roman" w:hAnsi="Times New Roman" w:cs="Times New Roman"/>
                <w:color w:val="000000"/>
                <w:sz w:val="18"/>
                <w:szCs w:val="18"/>
                <w:highlight w:val="none"/>
                <w:vertAlign w:val="superscript"/>
              </w:rPr>
              <w:t>2</w:t>
            </w:r>
          </w:p>
        </w:tc>
        <w:tc>
          <w:tcPr>
            <w:tcW w:w="1058" w:type="dxa"/>
            <w:vAlign w:val="center"/>
          </w:tcPr>
          <w:p>
            <w:pPr>
              <w:adjustRightInd w:val="0"/>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0.1</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覆冰厚度</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mm</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&lt;50</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最大设计风速：（离地面10m高处15年一遇、10分钟平均最大值）</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m/s</w:t>
            </w:r>
          </w:p>
        </w:tc>
        <w:tc>
          <w:tcPr>
            <w:tcW w:w="105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r>
              <w:rPr>
                <w:rFonts w:hint="default" w:ascii="Times New Roman" w:hAnsi="Times New Roman" w:cs="Times New Roman"/>
                <w:highlight w:val="none"/>
              </w:rPr>
              <w:t>35</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r>
              <w:rPr>
                <w:rFonts w:hint="default" w:ascii="Times New Roman" w:hAnsi="Times New Roman" w:cs="Times New Roman"/>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9</w:t>
            </w:r>
          </w:p>
        </w:tc>
        <w:tc>
          <w:tcPr>
            <w:tcW w:w="828" w:type="dxa"/>
            <w:vMerge w:val="restart"/>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相对</w:t>
            </w:r>
          </w:p>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湿度</w:t>
            </w:r>
          </w:p>
        </w:tc>
        <w:tc>
          <w:tcPr>
            <w:tcW w:w="10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日平均值</w:t>
            </w:r>
          </w:p>
        </w:tc>
        <w:tc>
          <w:tcPr>
            <w:tcW w:w="972" w:type="dxa"/>
            <w:vMerge w:val="restart"/>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eastAsiaTheme="minorEastAsia"/>
                <w:sz w:val="18"/>
                <w:szCs w:val="18"/>
                <w:highlight w:val="none"/>
              </w:rPr>
              <w:t>≤</w:t>
            </w:r>
            <w:r>
              <w:rPr>
                <w:rFonts w:hint="default" w:ascii="Times New Roman" w:hAnsi="Times New Roman" w:cs="Times New Roman"/>
                <w:sz w:val="18"/>
                <w:szCs w:val="18"/>
                <w:highlight w:val="none"/>
              </w:rPr>
              <w:t>95</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p>
        </w:tc>
        <w:tc>
          <w:tcPr>
            <w:tcW w:w="828"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p>
        </w:tc>
        <w:tc>
          <w:tcPr>
            <w:tcW w:w="10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月平均值</w:t>
            </w:r>
          </w:p>
        </w:tc>
        <w:tc>
          <w:tcPr>
            <w:tcW w:w="972" w:type="dxa"/>
            <w:vMerge w:val="continue"/>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eastAsiaTheme="minorEastAsia"/>
                <w:sz w:val="18"/>
                <w:szCs w:val="18"/>
                <w:highlight w:val="none"/>
              </w:rPr>
              <w:t>≤</w:t>
            </w:r>
            <w:r>
              <w:rPr>
                <w:rFonts w:hint="default" w:ascii="Times New Roman" w:hAnsi="Times New Roman" w:cs="Times New Roman"/>
                <w:sz w:val="18"/>
                <w:szCs w:val="18"/>
                <w:highlight w:val="none"/>
              </w:rPr>
              <w:t>90</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10</w:t>
            </w:r>
          </w:p>
        </w:tc>
        <w:tc>
          <w:tcPr>
            <w:tcW w:w="2809" w:type="dxa"/>
            <w:gridSpan w:val="3"/>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污秽等级</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a～e级</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11</w:t>
            </w:r>
          </w:p>
        </w:tc>
        <w:tc>
          <w:tcPr>
            <w:tcW w:w="828" w:type="dxa"/>
            <w:vMerge w:val="restart"/>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降雨量</w:t>
            </w:r>
          </w:p>
        </w:tc>
        <w:tc>
          <w:tcPr>
            <w:tcW w:w="10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最大年降雨量</w:t>
            </w:r>
          </w:p>
        </w:tc>
        <w:tc>
          <w:tcPr>
            <w:tcW w:w="972" w:type="dxa"/>
            <w:vMerge w:val="restart"/>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mm</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2400</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p>
        </w:tc>
        <w:tc>
          <w:tcPr>
            <w:tcW w:w="828" w:type="dxa"/>
            <w:vMerge w:val="continue"/>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p>
        </w:tc>
        <w:tc>
          <w:tcPr>
            <w:tcW w:w="1009"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最大日降雨量</w:t>
            </w:r>
          </w:p>
        </w:tc>
        <w:tc>
          <w:tcPr>
            <w:tcW w:w="972" w:type="dxa"/>
            <w:vMerge w:val="continue"/>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375</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12</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雷暴日</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日/年</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110</w:t>
            </w: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0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c>
          <w:tcPr>
            <w:tcW w:w="151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（投标人填写）</w:t>
            </w:r>
          </w:p>
        </w:tc>
        <w:tc>
          <w:tcPr>
            <w:tcW w:w="1665"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660" w:type="dxa"/>
            <w:vAlign w:val="center"/>
          </w:tcPr>
          <w:p>
            <w:pPr>
              <w:snapToGrid w:val="0"/>
              <w:spacing w:before="159" w:beforeLines="50" w:after="159" w:afterLines="50"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13</w:t>
            </w:r>
          </w:p>
        </w:tc>
        <w:tc>
          <w:tcPr>
            <w:tcW w:w="1837" w:type="dxa"/>
            <w:gridSpan w:val="2"/>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耐受地震能力（烈度）</w:t>
            </w:r>
          </w:p>
        </w:tc>
        <w:tc>
          <w:tcPr>
            <w:tcW w:w="972"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度</w:t>
            </w:r>
          </w:p>
        </w:tc>
        <w:tc>
          <w:tcPr>
            <w:tcW w:w="1058" w:type="dxa"/>
            <w:vAlign w:val="center"/>
          </w:tcPr>
          <w:p>
            <w:pPr>
              <w:adjustRightInd w:val="0"/>
              <w:spacing w:line="240" w:lineRule="auto"/>
              <w:ind w:firstLine="0" w:firstLineChars="0"/>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Ⅷ</w:t>
            </w: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072"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p>
        </w:tc>
        <w:tc>
          <w:tcPr>
            <w:tcW w:w="1518"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highlight w:val="none"/>
              </w:rPr>
            </w:pPr>
            <w:r>
              <w:rPr>
                <w:rFonts w:hint="default" w:ascii="Times New Roman" w:hAnsi="Times New Roman" w:cs="Times New Roman"/>
                <w:highlight w:val="none"/>
              </w:rPr>
              <w:t>（投标人填写）</w:t>
            </w:r>
          </w:p>
        </w:tc>
        <w:tc>
          <w:tcPr>
            <w:tcW w:w="1665" w:type="dxa"/>
            <w:vAlign w:val="center"/>
          </w:tcPr>
          <w:p>
            <w:pPr>
              <w:pStyle w:val="18"/>
              <w:pBdr>
                <w:bottom w:val="none" w:color="auto" w:sz="0" w:space="0"/>
              </w:pBdr>
              <w:tabs>
                <w:tab w:val="clear" w:pos="4153"/>
                <w:tab w:val="clear" w:pos="8306"/>
              </w:tabs>
              <w:adjustRightInd w:val="0"/>
              <w:snapToGrid/>
              <w:ind w:firstLine="0" w:firstLineChars="0"/>
              <w:rPr>
                <w:rFonts w:hint="default" w:ascii="Times New Roman" w:hAnsi="Times New Roman" w:cs="Times New Roman"/>
                <w:color w:val="FF0000"/>
                <w:highlight w:val="none"/>
              </w:rPr>
            </w:pPr>
          </w:p>
        </w:tc>
      </w:tr>
      <w:bookmarkEnd w:id="397"/>
      <w:bookmarkEnd w:id="398"/>
      <w:bookmarkEnd w:id="399"/>
      <w:bookmarkEnd w:id="400"/>
    </w:tbl>
    <w:p>
      <w:pPr>
        <w:pStyle w:val="35"/>
        <w:rPr>
          <w:sz w:val="21"/>
          <w:szCs w:val="21"/>
          <w:highlight w:val="none"/>
        </w:rPr>
      </w:pPr>
      <w:bookmarkStart w:id="407" w:name="_Toc78989283"/>
      <w:bookmarkStart w:id="408" w:name="_Toc15095"/>
      <w:r>
        <w:rPr>
          <w:sz w:val="21"/>
          <w:szCs w:val="21"/>
          <w:highlight w:val="none"/>
        </w:rPr>
        <w:t xml:space="preserve">2  </w:t>
      </w:r>
      <w:r>
        <w:rPr>
          <w:rFonts w:hint="eastAsia"/>
          <w:b w:val="0"/>
          <w:bCs/>
          <w:sz w:val="21"/>
          <w:szCs w:val="21"/>
          <w:highlight w:val="none"/>
        </w:rPr>
        <w:t>设备详细技术要求</w:t>
      </w:r>
      <w:bookmarkEnd w:id="407"/>
      <w:bookmarkEnd w:id="408"/>
    </w:p>
    <w:p>
      <w:pPr>
        <w:pStyle w:val="36"/>
        <w:rPr>
          <w:sz w:val="21"/>
          <w:szCs w:val="21"/>
          <w:highlight w:val="none"/>
        </w:rPr>
      </w:pPr>
      <w:bookmarkStart w:id="409" w:name="_Toc78989284"/>
      <w:bookmarkStart w:id="410" w:name="_Toc11657"/>
      <w:r>
        <w:rPr>
          <w:sz w:val="21"/>
          <w:szCs w:val="21"/>
          <w:highlight w:val="none"/>
        </w:rPr>
        <w:t xml:space="preserve">2.1 </w:t>
      </w:r>
      <w:r>
        <w:rPr>
          <w:rFonts w:hint="eastAsia"/>
          <w:b w:val="0"/>
          <w:bCs/>
          <w:sz w:val="21"/>
          <w:szCs w:val="21"/>
          <w:highlight w:val="none"/>
        </w:rPr>
        <w:t>供货需求及供货范围</w:t>
      </w:r>
      <w:bookmarkEnd w:id="409"/>
      <w:bookmarkEnd w:id="410"/>
    </w:p>
    <w:p>
      <w:pPr>
        <w:ind w:firstLine="400"/>
        <w:contextualSpacing/>
        <w:rPr>
          <w:rFonts w:hAnsi="宋体"/>
          <w:szCs w:val="21"/>
          <w:highlight w:val="none"/>
        </w:rPr>
      </w:pPr>
      <w:bookmarkStart w:id="411" w:name="_Toc494114018"/>
      <w:r>
        <w:rPr>
          <w:rFonts w:hint="eastAsia" w:hAnsi="宋体"/>
          <w:szCs w:val="21"/>
          <w:highlight w:val="none"/>
        </w:rPr>
        <w:t>项目需求</w:t>
      </w:r>
      <w:r>
        <w:rPr>
          <w:rFonts w:hAnsi="宋体"/>
          <w:szCs w:val="21"/>
          <w:highlight w:val="none"/>
        </w:rPr>
        <w:t>的</w:t>
      </w:r>
      <w:r>
        <w:rPr>
          <w:rFonts w:hint="eastAsia" w:hAnsi="宋体"/>
          <w:szCs w:val="21"/>
          <w:highlight w:val="none"/>
        </w:rPr>
        <w:t>设备具体规格型号、数量及</w:t>
      </w:r>
      <w:r>
        <w:rPr>
          <w:rFonts w:hAnsi="宋体"/>
          <w:szCs w:val="21"/>
          <w:highlight w:val="none"/>
        </w:rPr>
        <w:t>投标方保证值</w:t>
      </w:r>
      <w:r>
        <w:rPr>
          <w:rFonts w:hint="eastAsia" w:hAnsi="宋体"/>
          <w:szCs w:val="21"/>
          <w:highlight w:val="none"/>
        </w:rPr>
        <w:t>见表2.1：供货范围及设备技术规格一览表。投标方应如实填写“投标方保证”栏。</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表2.1</w:t>
      </w:r>
      <w:r>
        <w:rPr>
          <w:rFonts w:hint="eastAsia" w:ascii="Times New Roman" w:hAnsi="Times New Roman" w:eastAsia="黑体" w:cs="Times New Roman"/>
          <w:b w:val="0"/>
          <w:bCs/>
          <w:kern w:val="0"/>
          <w:sz w:val="18"/>
          <w:szCs w:val="24"/>
          <w:highlight w:val="none"/>
          <w:lang w:val="en-US" w:eastAsia="zh-CN" w:bidi="ar-SA"/>
        </w:rPr>
        <w:t xml:space="preserve"> </w:t>
      </w:r>
      <w:r>
        <w:rPr>
          <w:rFonts w:hint="default" w:ascii="Times New Roman" w:hAnsi="Times New Roman" w:eastAsia="黑体" w:cs="Times New Roman"/>
          <w:b w:val="0"/>
          <w:bCs/>
          <w:kern w:val="0"/>
          <w:sz w:val="18"/>
          <w:szCs w:val="24"/>
          <w:highlight w:val="none"/>
          <w:lang w:val="en-US" w:eastAsia="zh-CN" w:bidi="ar-SA"/>
        </w:rPr>
        <w:t>供货范围及设备技术规格一览表（投标方填写）</w:t>
      </w:r>
    </w:p>
    <w:tbl>
      <w:tblPr>
        <w:tblStyle w:val="27"/>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7"/>
        <w:gridCol w:w="557"/>
        <w:gridCol w:w="556"/>
        <w:gridCol w:w="2249"/>
        <w:gridCol w:w="1522"/>
        <w:gridCol w:w="2489"/>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57" w:type="dxa"/>
            <w:vAlign w:val="center"/>
          </w:tcPr>
          <w:p>
            <w:pPr>
              <w:pStyle w:val="38"/>
              <w:rPr>
                <w:rFonts w:ascii="宋体" w:hAnsi="宋体" w:eastAsia="宋体"/>
                <w:szCs w:val="18"/>
                <w:highlight w:val="none"/>
              </w:rPr>
            </w:pPr>
            <w:r>
              <w:rPr>
                <w:rFonts w:ascii="宋体" w:hAnsi="宋体" w:eastAsia="宋体"/>
                <w:szCs w:val="18"/>
                <w:highlight w:val="none"/>
              </w:rPr>
              <w:t>序号</w:t>
            </w:r>
          </w:p>
        </w:tc>
        <w:tc>
          <w:tcPr>
            <w:tcW w:w="557" w:type="dxa"/>
            <w:vAlign w:val="center"/>
          </w:tcPr>
          <w:p>
            <w:pPr>
              <w:pStyle w:val="38"/>
              <w:rPr>
                <w:rFonts w:ascii="宋体" w:hAnsi="宋体" w:eastAsia="宋体"/>
                <w:szCs w:val="18"/>
                <w:highlight w:val="none"/>
              </w:rPr>
            </w:pPr>
            <w:r>
              <w:rPr>
                <w:rFonts w:ascii="宋体" w:hAnsi="宋体" w:eastAsia="宋体"/>
                <w:szCs w:val="18"/>
                <w:highlight w:val="none"/>
              </w:rPr>
              <w:t>名称</w:t>
            </w:r>
          </w:p>
        </w:tc>
        <w:tc>
          <w:tcPr>
            <w:tcW w:w="556" w:type="dxa"/>
            <w:vAlign w:val="center"/>
          </w:tcPr>
          <w:p>
            <w:pPr>
              <w:pStyle w:val="38"/>
              <w:rPr>
                <w:rFonts w:ascii="宋体" w:hAnsi="宋体" w:eastAsia="宋体"/>
                <w:szCs w:val="18"/>
                <w:highlight w:val="none"/>
              </w:rPr>
            </w:pPr>
            <w:r>
              <w:rPr>
                <w:rFonts w:ascii="宋体" w:hAnsi="宋体" w:eastAsia="宋体"/>
                <w:szCs w:val="18"/>
                <w:highlight w:val="none"/>
              </w:rPr>
              <w:t>单位</w:t>
            </w:r>
          </w:p>
        </w:tc>
        <w:tc>
          <w:tcPr>
            <w:tcW w:w="2249" w:type="dxa"/>
            <w:vAlign w:val="center"/>
          </w:tcPr>
          <w:p>
            <w:pPr>
              <w:pStyle w:val="38"/>
              <w:rPr>
                <w:rFonts w:ascii="宋体" w:hAnsi="宋体" w:eastAsia="宋体"/>
                <w:szCs w:val="18"/>
                <w:highlight w:val="none"/>
              </w:rPr>
            </w:pPr>
            <w:r>
              <w:rPr>
                <w:rFonts w:ascii="宋体" w:hAnsi="宋体" w:eastAsia="宋体"/>
                <w:szCs w:val="18"/>
                <w:highlight w:val="none"/>
              </w:rPr>
              <w:t>项目要求型式、规格</w:t>
            </w:r>
          </w:p>
        </w:tc>
        <w:tc>
          <w:tcPr>
            <w:tcW w:w="1522" w:type="dxa"/>
            <w:vAlign w:val="center"/>
          </w:tcPr>
          <w:p>
            <w:pPr>
              <w:pStyle w:val="38"/>
              <w:rPr>
                <w:rFonts w:ascii="宋体" w:hAnsi="宋体" w:eastAsia="宋体"/>
                <w:szCs w:val="18"/>
                <w:highlight w:val="none"/>
              </w:rPr>
            </w:pPr>
            <w:r>
              <w:rPr>
                <w:rFonts w:ascii="宋体" w:hAnsi="宋体" w:eastAsia="宋体"/>
                <w:szCs w:val="18"/>
                <w:highlight w:val="none"/>
              </w:rPr>
              <w:t>项目要求数量</w:t>
            </w:r>
          </w:p>
        </w:tc>
        <w:tc>
          <w:tcPr>
            <w:tcW w:w="2489" w:type="dxa"/>
            <w:vAlign w:val="center"/>
          </w:tcPr>
          <w:p>
            <w:pPr>
              <w:pStyle w:val="38"/>
              <w:rPr>
                <w:rFonts w:ascii="宋体" w:hAnsi="宋体" w:eastAsia="宋体"/>
                <w:szCs w:val="18"/>
                <w:highlight w:val="none"/>
              </w:rPr>
            </w:pPr>
            <w:r>
              <w:rPr>
                <w:rFonts w:ascii="宋体" w:hAnsi="宋体" w:eastAsia="宋体"/>
                <w:szCs w:val="18"/>
                <w:highlight w:val="none"/>
              </w:rPr>
              <w:t>投标方保证型式、规格</w:t>
            </w:r>
          </w:p>
        </w:tc>
        <w:tc>
          <w:tcPr>
            <w:tcW w:w="1764" w:type="dxa"/>
            <w:vAlign w:val="center"/>
          </w:tcPr>
          <w:p>
            <w:pPr>
              <w:pStyle w:val="38"/>
              <w:rPr>
                <w:rFonts w:ascii="宋体" w:hAnsi="宋体" w:eastAsia="宋体"/>
                <w:szCs w:val="18"/>
                <w:highlight w:val="none"/>
              </w:rPr>
            </w:pPr>
            <w:r>
              <w:rPr>
                <w:rFonts w:ascii="宋体" w:hAnsi="宋体" w:eastAsia="宋体"/>
                <w:szCs w:val="18"/>
                <w:highlight w:val="none"/>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57" w:type="dxa"/>
            <w:vAlign w:val="center"/>
          </w:tcPr>
          <w:p>
            <w:pPr>
              <w:pStyle w:val="70"/>
              <w:jc w:val="center"/>
              <w:rPr>
                <w:rFonts w:ascii="宋体" w:hAnsi="宋体" w:eastAsia="宋体" w:cs="Times New Roman"/>
                <w:szCs w:val="18"/>
                <w:highlight w:val="none"/>
              </w:rPr>
            </w:pPr>
          </w:p>
        </w:tc>
        <w:tc>
          <w:tcPr>
            <w:tcW w:w="557" w:type="dxa"/>
            <w:vAlign w:val="center"/>
          </w:tcPr>
          <w:p>
            <w:pPr>
              <w:pStyle w:val="70"/>
              <w:jc w:val="center"/>
              <w:rPr>
                <w:rFonts w:ascii="宋体" w:hAnsi="宋体" w:eastAsia="宋体" w:cs="Times New Roman"/>
                <w:szCs w:val="18"/>
                <w:highlight w:val="none"/>
              </w:rPr>
            </w:pPr>
          </w:p>
        </w:tc>
        <w:tc>
          <w:tcPr>
            <w:tcW w:w="556" w:type="dxa"/>
            <w:vAlign w:val="center"/>
          </w:tcPr>
          <w:p>
            <w:pPr>
              <w:pStyle w:val="70"/>
              <w:jc w:val="center"/>
              <w:rPr>
                <w:rFonts w:ascii="宋体" w:hAnsi="宋体" w:eastAsia="宋体" w:cs="Times New Roman"/>
                <w:szCs w:val="18"/>
                <w:highlight w:val="none"/>
              </w:rPr>
            </w:pPr>
          </w:p>
        </w:tc>
        <w:tc>
          <w:tcPr>
            <w:tcW w:w="2249" w:type="dxa"/>
            <w:vAlign w:val="center"/>
          </w:tcPr>
          <w:p>
            <w:pPr>
              <w:pStyle w:val="70"/>
              <w:jc w:val="center"/>
              <w:rPr>
                <w:rFonts w:ascii="宋体" w:hAnsi="宋体" w:eastAsia="宋体" w:cs="Times New Roman"/>
                <w:szCs w:val="18"/>
                <w:highlight w:val="none"/>
              </w:rPr>
            </w:pPr>
          </w:p>
        </w:tc>
        <w:tc>
          <w:tcPr>
            <w:tcW w:w="1522" w:type="dxa"/>
            <w:vAlign w:val="center"/>
          </w:tcPr>
          <w:p>
            <w:pPr>
              <w:pStyle w:val="70"/>
              <w:jc w:val="center"/>
              <w:rPr>
                <w:rFonts w:ascii="宋体" w:hAnsi="宋体" w:eastAsia="宋体" w:cs="Times New Roman"/>
                <w:szCs w:val="18"/>
                <w:highlight w:val="none"/>
              </w:rPr>
            </w:pPr>
          </w:p>
        </w:tc>
        <w:tc>
          <w:tcPr>
            <w:tcW w:w="2489" w:type="dxa"/>
            <w:vAlign w:val="center"/>
          </w:tcPr>
          <w:p>
            <w:pPr>
              <w:pStyle w:val="70"/>
              <w:jc w:val="center"/>
              <w:rPr>
                <w:rFonts w:ascii="宋体" w:hAnsi="宋体" w:eastAsia="宋体" w:cs="Times New Roman"/>
                <w:szCs w:val="18"/>
                <w:highlight w:val="none"/>
              </w:rPr>
            </w:pPr>
          </w:p>
        </w:tc>
        <w:tc>
          <w:tcPr>
            <w:tcW w:w="1764" w:type="dxa"/>
            <w:vAlign w:val="center"/>
          </w:tcPr>
          <w:p>
            <w:pPr>
              <w:pStyle w:val="70"/>
              <w:jc w:val="center"/>
              <w:rPr>
                <w:rFonts w:ascii="宋体" w:hAnsi="宋体" w:eastAsia="宋体" w:cs="Times New Roman"/>
                <w:szCs w:val="18"/>
                <w:highlight w:val="none"/>
              </w:rPr>
            </w:pPr>
          </w:p>
        </w:tc>
      </w:tr>
    </w:tbl>
    <w:p>
      <w:pPr>
        <w:pStyle w:val="36"/>
        <w:rPr>
          <w:sz w:val="21"/>
          <w:szCs w:val="21"/>
          <w:highlight w:val="none"/>
        </w:rPr>
      </w:pPr>
      <w:bookmarkStart w:id="412" w:name="_Toc78989285"/>
      <w:bookmarkStart w:id="413" w:name="_Toc22355"/>
      <w:r>
        <w:rPr>
          <w:sz w:val="21"/>
          <w:szCs w:val="21"/>
          <w:highlight w:val="none"/>
        </w:rPr>
        <w:t xml:space="preserve">2.2 </w:t>
      </w:r>
      <w:r>
        <w:rPr>
          <w:rFonts w:hint="eastAsia"/>
          <w:b w:val="0"/>
          <w:bCs/>
          <w:sz w:val="21"/>
          <w:szCs w:val="21"/>
          <w:highlight w:val="none"/>
        </w:rPr>
        <w:t>标准技术特性参数表</w:t>
      </w:r>
      <w:bookmarkEnd w:id="411"/>
      <w:bookmarkEnd w:id="412"/>
      <w:bookmarkEnd w:id="413"/>
    </w:p>
    <w:p>
      <w:pPr>
        <w:pStyle w:val="63"/>
        <w:adjustRightInd w:val="0"/>
        <w:snapToGrid w:val="0"/>
        <w:spacing w:line="360" w:lineRule="auto"/>
        <w:rPr>
          <w:highlight w:val="none"/>
        </w:rPr>
      </w:pPr>
      <w:bookmarkStart w:id="414" w:name="_Toc283142574"/>
      <w:r>
        <w:rPr>
          <w:szCs w:val="24"/>
          <w:highlight w:val="none"/>
        </w:rPr>
        <w:t>投标方应认真逐项填写所供设备技术参数和性能要求响应表（见表2.2）中</w:t>
      </w:r>
      <w:r>
        <w:rPr>
          <w:rFonts w:hint="eastAsia"/>
          <w:szCs w:val="24"/>
          <w:highlight w:val="none"/>
          <w:lang w:eastAsia="zh-CN"/>
        </w:rPr>
        <w:t>“</w:t>
      </w:r>
      <w:r>
        <w:rPr>
          <w:szCs w:val="24"/>
          <w:highlight w:val="none"/>
        </w:rPr>
        <w:t>投标方保证值</w:t>
      </w:r>
      <w:r>
        <w:rPr>
          <w:rFonts w:hint="eastAsia"/>
          <w:szCs w:val="24"/>
          <w:highlight w:val="none"/>
          <w:lang w:eastAsia="zh-CN"/>
        </w:rPr>
        <w:t>”</w:t>
      </w:r>
      <w:r>
        <w:rPr>
          <w:highlight w:val="none"/>
        </w:rPr>
        <w:t>投标人应认真逐项填写技术参数表中投标人响应值，不能空格，也不能以</w:t>
      </w:r>
      <w:r>
        <w:rPr>
          <w:rFonts w:hint="eastAsia" w:ascii="Times New Roman" w:hAnsi="Times New Roman" w:cs="Times New Roman"/>
          <w:highlight w:val="none"/>
          <w:lang w:eastAsia="zh-CN"/>
        </w:rPr>
        <w:t>“</w:t>
      </w:r>
      <w:r>
        <w:rPr>
          <w:rFonts w:hint="default" w:ascii="Times New Roman" w:hAnsi="Times New Roman" w:cs="Times New Roman"/>
          <w:highlight w:val="none"/>
        </w:rPr>
        <w:t>响应</w:t>
      </w:r>
      <w:r>
        <w:rPr>
          <w:rFonts w:hint="eastAsia" w:ascii="Times New Roman" w:hAnsi="Times New Roman" w:cs="Times New Roman"/>
          <w:highlight w:val="none"/>
          <w:lang w:eastAsia="zh-CN"/>
        </w:rPr>
        <w:t>”</w:t>
      </w:r>
      <w:r>
        <w:rPr>
          <w:highlight w:val="none"/>
        </w:rPr>
        <w:t>两字代替，不允许改动项目单位要求值。如有差异，请填写投标方技术偏差表。</w:t>
      </w:r>
    </w:p>
    <w:p>
      <w:pPr>
        <w:pStyle w:val="63"/>
        <w:adjustRightInd w:val="0"/>
        <w:snapToGrid w:val="0"/>
        <w:spacing w:line="360" w:lineRule="auto"/>
        <w:rPr>
          <w:rFonts w:eastAsia="宋体"/>
          <w:szCs w:val="21"/>
          <w:highlight w:val="none"/>
        </w:rPr>
      </w:pPr>
      <w:r>
        <w:rPr>
          <w:highlight w:val="none"/>
        </w:rPr>
        <w:t>注：</w:t>
      </w:r>
      <w:r>
        <w:rPr>
          <w:rFonts w:eastAsia="宋体"/>
          <w:szCs w:val="21"/>
          <w:highlight w:val="none"/>
        </w:rPr>
        <w:t>需按照以下类型参数填写方式准确填写：</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pPr>
      <w:r>
        <w:rPr>
          <w:rFonts w:hint="default" w:ascii="Times New Roman" w:hAnsi="Times New Roman" w:eastAsia="宋体" w:cs="Times New Roman"/>
          <w:szCs w:val="21"/>
          <w:highlight w:val="none"/>
        </w:rPr>
        <w:t>针对标准值</w:t>
      </w:r>
      <w:r>
        <w:rPr>
          <w:rFonts w:ascii="Times New Roman" w:hAnsi="Times New Roman" w:eastAsia="宋体" w:cs="Times New Roman"/>
          <w:szCs w:val="21"/>
          <w:highlight w:val="none"/>
        </w:rPr>
        <w:t>特性</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单一</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，项目单位无需填写，</w:t>
      </w:r>
      <w:r>
        <w:rPr>
          <w:rFonts w:ascii="Times New Roman" w:hAnsi="Times New Roman" w:eastAsia="宋体" w:cs="Times New Roman"/>
          <w:szCs w:val="21"/>
          <w:highlight w:val="none"/>
        </w:rPr>
        <w:t>投标人必须</w:t>
      </w:r>
      <w:r>
        <w:rPr>
          <w:rFonts w:hint="default" w:ascii="Times New Roman" w:hAnsi="Times New Roman" w:eastAsia="宋体" w:cs="Times New Roman"/>
          <w:szCs w:val="21"/>
          <w:highlight w:val="none"/>
        </w:rPr>
        <w:t>完全</w:t>
      </w:r>
      <w:r>
        <w:rPr>
          <w:rFonts w:ascii="Times New Roman" w:hAnsi="Times New Roman" w:eastAsia="宋体" w:cs="Times New Roman"/>
          <w:szCs w:val="21"/>
          <w:highlight w:val="none"/>
        </w:rPr>
        <w:t>响应</w:t>
      </w:r>
      <w:r>
        <w:rPr>
          <w:rFonts w:hint="default" w:ascii="Times New Roman" w:hAnsi="Times New Roman" w:eastAsia="宋体" w:cs="Times New Roman"/>
          <w:szCs w:val="21"/>
          <w:highlight w:val="none"/>
        </w:rPr>
        <w:t>，如有</w:t>
      </w:r>
      <w:r>
        <w:rPr>
          <w:rFonts w:ascii="Times New Roman" w:hAnsi="Times New Roman" w:eastAsia="宋体" w:cs="Times New Roman"/>
          <w:szCs w:val="21"/>
          <w:highlight w:val="none"/>
        </w:rPr>
        <w:t>偏差</w:t>
      </w:r>
      <w:r>
        <w:rPr>
          <w:rFonts w:hint="default" w:ascii="Times New Roman" w:hAnsi="Times New Roman" w:eastAsia="宋体" w:cs="Times New Roman"/>
          <w:szCs w:val="21"/>
          <w:highlight w:val="none"/>
        </w:rPr>
        <w:t>逐项填写</w:t>
      </w:r>
      <w:r>
        <w:rPr>
          <w:rFonts w:ascii="Times New Roman" w:hAnsi="Times New Roman" w:eastAsia="宋体" w:cs="Times New Roman"/>
          <w:szCs w:val="21"/>
          <w:highlight w:val="none"/>
        </w:rPr>
        <w:t>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3.</w:t>
      </w:r>
      <w:r>
        <w:rPr>
          <w:rFonts w:ascii="Times New Roman" w:hAnsi="Times New Roman" w:eastAsia="宋体" w:cs="Times New Roman"/>
          <w:szCs w:val="21"/>
          <w:highlight w:val="none"/>
        </w:rPr>
        <w:t>1</w:t>
      </w:r>
      <w:r>
        <w:rPr>
          <w:rFonts w:hint="default" w:ascii="Times New Roman" w:hAnsi="Times New Roman" w:eastAsia="宋体" w:cs="Times New Roman"/>
          <w:szCs w:val="21"/>
          <w:highlight w:val="none"/>
        </w:rPr>
        <w:t>投标方技术偏差</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部分</w:t>
      </w:r>
      <w:r>
        <w:rPr>
          <w:rFonts w:hint="default" w:ascii="Times New Roman" w:hAnsi="Times New Roman" w:eastAsia="宋体" w:cs="Times New Roman"/>
          <w:szCs w:val="21"/>
          <w:highlight w:val="none"/>
        </w:rPr>
        <w:t>；</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pPr>
      <w:r>
        <w:rPr>
          <w:rFonts w:hint="default" w:ascii="Times New Roman" w:hAnsi="Times New Roman" w:eastAsia="宋体" w:cs="Times New Roman"/>
          <w:szCs w:val="21"/>
          <w:highlight w:val="none"/>
        </w:rPr>
        <w:t>针对</w:t>
      </w:r>
      <w:r>
        <w:rPr>
          <w:rFonts w:ascii="Times New Roman" w:hAnsi="Times New Roman" w:eastAsia="宋体" w:cs="Times New Roman"/>
          <w:szCs w:val="21"/>
          <w:highlight w:val="none"/>
        </w:rPr>
        <w:t>标准值特性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可选</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w:t>
      </w:r>
      <w:r>
        <w:rPr>
          <w:rFonts w:ascii="Times New Roman" w:hAnsi="Times New Roman" w:eastAsia="宋体" w:cs="Times New Roman"/>
          <w:szCs w:val="21"/>
          <w:highlight w:val="none"/>
        </w:rPr>
        <w:t>单位可选定</w:t>
      </w:r>
      <w:r>
        <w:rPr>
          <w:rFonts w:hint="default" w:ascii="Times New Roman" w:hAnsi="Times New Roman" w:eastAsia="宋体" w:cs="Times New Roman"/>
          <w:szCs w:val="21"/>
          <w:highlight w:val="none"/>
        </w:rPr>
        <w:t>参数</w:t>
      </w:r>
      <w:r>
        <w:rPr>
          <w:rFonts w:ascii="Times New Roman" w:hAnsi="Times New Roman" w:eastAsia="宋体" w:cs="Times New Roman"/>
          <w:szCs w:val="21"/>
          <w:highlight w:val="none"/>
        </w:rPr>
        <w:t>，投标人必须</w:t>
      </w:r>
      <w:r>
        <w:rPr>
          <w:rFonts w:hint="default" w:ascii="Times New Roman" w:hAnsi="Times New Roman" w:eastAsia="宋体" w:cs="Times New Roman"/>
          <w:szCs w:val="21"/>
          <w:highlight w:val="none"/>
        </w:rPr>
        <w:t>完全</w:t>
      </w:r>
      <w:r>
        <w:rPr>
          <w:rFonts w:ascii="Times New Roman" w:hAnsi="Times New Roman" w:eastAsia="宋体" w:cs="Times New Roman"/>
          <w:szCs w:val="21"/>
          <w:highlight w:val="none"/>
        </w:rPr>
        <w:t>响应</w:t>
      </w:r>
      <w:r>
        <w:rPr>
          <w:rFonts w:hint="default" w:ascii="Times New Roman" w:hAnsi="Times New Roman" w:eastAsia="宋体" w:cs="Times New Roman"/>
          <w:szCs w:val="21"/>
          <w:highlight w:val="none"/>
        </w:rPr>
        <w:t>，如有</w:t>
      </w:r>
      <w:r>
        <w:rPr>
          <w:rFonts w:ascii="Times New Roman" w:hAnsi="Times New Roman" w:eastAsia="宋体" w:cs="Times New Roman"/>
          <w:szCs w:val="21"/>
          <w:highlight w:val="none"/>
        </w:rPr>
        <w:t>偏差</w:t>
      </w:r>
      <w:r>
        <w:rPr>
          <w:rFonts w:hint="default" w:ascii="Times New Roman" w:hAnsi="Times New Roman" w:eastAsia="宋体" w:cs="Times New Roman"/>
          <w:szCs w:val="21"/>
          <w:highlight w:val="none"/>
        </w:rPr>
        <w:t>逐项填写</w:t>
      </w:r>
      <w:r>
        <w:rPr>
          <w:rFonts w:ascii="Times New Roman" w:hAnsi="Times New Roman" w:eastAsia="宋体" w:cs="Times New Roman"/>
          <w:szCs w:val="21"/>
          <w:highlight w:val="none"/>
        </w:rPr>
        <w:t>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3.</w:t>
      </w:r>
      <w:r>
        <w:rPr>
          <w:rFonts w:ascii="Times New Roman" w:hAnsi="Times New Roman" w:eastAsia="宋体" w:cs="Times New Roman"/>
          <w:szCs w:val="21"/>
          <w:highlight w:val="none"/>
        </w:rPr>
        <w:t>1</w:t>
      </w:r>
      <w:r>
        <w:rPr>
          <w:rFonts w:hint="default" w:ascii="Times New Roman" w:hAnsi="Times New Roman" w:eastAsia="宋体" w:cs="Times New Roman"/>
          <w:szCs w:val="21"/>
          <w:highlight w:val="none"/>
        </w:rPr>
        <w:t>投标方技术偏差</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部分</w:t>
      </w:r>
      <w:r>
        <w:rPr>
          <w:rFonts w:hint="default" w:ascii="Times New Roman" w:hAnsi="Times New Roman" w:eastAsia="宋体" w:cs="Times New Roman"/>
          <w:szCs w:val="21"/>
          <w:highlight w:val="none"/>
        </w:rPr>
        <w:t>；</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pPr>
      <w:r>
        <w:rPr>
          <w:rFonts w:hint="default" w:ascii="Times New Roman" w:hAnsi="Times New Roman" w:eastAsia="宋体" w:cs="Times New Roman"/>
          <w:szCs w:val="21"/>
          <w:highlight w:val="none"/>
        </w:rPr>
        <w:t>针对标准值特性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投标人响应</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，有标准参数值要求，投标方需根据自身实际情况，提供限制要求范围内的响应值，同时需将此部分逐项填写</w:t>
      </w:r>
      <w:r>
        <w:rPr>
          <w:rFonts w:ascii="Times New Roman" w:hAnsi="Times New Roman" w:eastAsia="宋体" w:cs="Times New Roman"/>
          <w:szCs w:val="21"/>
          <w:highlight w:val="none"/>
        </w:rPr>
        <w:t>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3.</w:t>
      </w:r>
      <w:r>
        <w:rPr>
          <w:rFonts w:ascii="Times New Roman" w:hAnsi="Times New Roman" w:eastAsia="宋体" w:cs="Times New Roman"/>
          <w:szCs w:val="21"/>
          <w:highlight w:val="none"/>
        </w:rPr>
        <w:t>1</w:t>
      </w:r>
      <w:r>
        <w:rPr>
          <w:rFonts w:hint="default" w:ascii="Times New Roman" w:hAnsi="Times New Roman" w:eastAsia="宋体" w:cs="Times New Roman"/>
          <w:szCs w:val="21"/>
          <w:highlight w:val="none"/>
        </w:rPr>
        <w:t>投标方技术偏差</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部分；</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pPr>
      <w:r>
        <w:rPr>
          <w:rFonts w:hint="default" w:ascii="Times New Roman" w:hAnsi="Times New Roman" w:eastAsia="宋体" w:cs="Times New Roman"/>
          <w:szCs w:val="21"/>
          <w:highlight w:val="none"/>
        </w:rPr>
        <w:t>针对</w:t>
      </w:r>
      <w:r>
        <w:rPr>
          <w:rFonts w:ascii="Times New Roman" w:hAnsi="Times New Roman" w:eastAsia="宋体" w:cs="Times New Roman"/>
          <w:szCs w:val="21"/>
          <w:highlight w:val="none"/>
        </w:rPr>
        <w:t>标准值特性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投标人提供</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，无标准参数值要求，投标方根据实际情况填写投标响应值；</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pPr>
      <w:r>
        <w:rPr>
          <w:rFonts w:hint="default" w:ascii="Times New Roman" w:hAnsi="Times New Roman" w:eastAsia="宋体" w:cs="Times New Roman"/>
          <w:szCs w:val="21"/>
          <w:highlight w:val="none"/>
        </w:rPr>
        <w:t>针对</w:t>
      </w:r>
      <w:r>
        <w:rPr>
          <w:rFonts w:ascii="Times New Roman" w:hAnsi="Times New Roman" w:eastAsia="宋体" w:cs="Times New Roman"/>
          <w:szCs w:val="21"/>
          <w:highlight w:val="none"/>
        </w:rPr>
        <w:t>标准值特性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扩建</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，项目单位根据原项目情况填写，投标方根据实际情况填写投标响应值；</w:t>
      </w:r>
    </w:p>
    <w:p>
      <w:pPr>
        <w:pStyle w:val="63"/>
        <w:numPr>
          <w:ilvl w:val="0"/>
          <w:numId w:val="3"/>
        </w:numPr>
        <w:adjustRightInd w:val="0"/>
        <w:snapToGrid w:val="0"/>
        <w:spacing w:line="360"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针对</w:t>
      </w:r>
      <w:r>
        <w:rPr>
          <w:rFonts w:ascii="Times New Roman" w:hAnsi="Times New Roman" w:eastAsia="宋体" w:cs="Times New Roman"/>
          <w:szCs w:val="21"/>
          <w:highlight w:val="none"/>
        </w:rPr>
        <w:t>标准值特性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特殊</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，项目单位提出的所有特殊要求，需附对应审批流程，投标方根据实际情况填写投标响应值。</w:t>
      </w:r>
    </w:p>
    <w:p>
      <w:pPr>
        <w:pStyle w:val="63"/>
        <w:numPr>
          <w:ilvl w:val="0"/>
          <w:numId w:val="3"/>
        </w:numPr>
        <w:adjustRightInd w:val="0"/>
        <w:snapToGrid w:val="0"/>
        <w:spacing w:line="360"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项目单位要求值的</w:t>
      </w:r>
      <w:r>
        <w:rPr>
          <w:rFonts w:ascii="Times New Roman" w:hAnsi="Times New Roman" w:eastAsia="宋体" w:cs="Times New Roman"/>
          <w:szCs w:val="21"/>
          <w:highlight w:val="none"/>
        </w:rPr>
        <w:t>数据填入格式</w:t>
      </w:r>
      <w:r>
        <w:rPr>
          <w:rFonts w:hint="default" w:ascii="Times New Roman" w:hAnsi="Times New Roman" w:eastAsia="宋体" w:cs="Times New Roman"/>
          <w:szCs w:val="21"/>
          <w:highlight w:val="none"/>
        </w:rPr>
        <w:t>：1）标准</w:t>
      </w:r>
      <w:r>
        <w:rPr>
          <w:rFonts w:ascii="Times New Roman" w:hAnsi="Times New Roman" w:eastAsia="宋体" w:cs="Times New Roman"/>
          <w:szCs w:val="21"/>
          <w:highlight w:val="none"/>
        </w:rPr>
        <w:t>参数值要求值仅为</w:t>
      </w:r>
      <w:r>
        <w:rPr>
          <w:rFonts w:hint="default" w:ascii="Times New Roman" w:hAnsi="Times New Roman" w:eastAsia="宋体" w:cs="Times New Roman"/>
          <w:szCs w:val="21"/>
          <w:highlight w:val="none"/>
        </w:rPr>
        <w:t>整数</w:t>
      </w:r>
      <w:r>
        <w:rPr>
          <w:rFonts w:ascii="Times New Roman" w:hAnsi="Times New Roman" w:eastAsia="宋体" w:cs="Times New Roman"/>
          <w:szCs w:val="21"/>
          <w:highlight w:val="none"/>
        </w:rPr>
        <w:t>、</w:t>
      </w:r>
      <w:r>
        <w:rPr>
          <w:rFonts w:hint="default" w:ascii="Times New Roman" w:hAnsi="Times New Roman" w:eastAsia="宋体" w:cs="Times New Roman"/>
          <w:szCs w:val="21"/>
          <w:highlight w:val="none"/>
        </w:rPr>
        <w:t>带</w:t>
      </w:r>
      <w:r>
        <w:rPr>
          <w:rFonts w:ascii="Times New Roman" w:hAnsi="Times New Roman" w:eastAsia="宋体" w:cs="Times New Roman"/>
          <w:szCs w:val="21"/>
          <w:highlight w:val="none"/>
        </w:rPr>
        <w:t>小数</w:t>
      </w:r>
      <w:r>
        <w:rPr>
          <w:rFonts w:hint="default" w:ascii="Times New Roman" w:hAnsi="Times New Roman" w:eastAsia="宋体" w:cs="Times New Roman"/>
          <w:szCs w:val="21"/>
          <w:highlight w:val="none"/>
        </w:rPr>
        <w:t>点</w:t>
      </w:r>
      <w:r>
        <w:rPr>
          <w:rFonts w:ascii="Times New Roman" w:hAnsi="Times New Roman" w:eastAsia="宋体" w:cs="Times New Roman"/>
          <w:szCs w:val="21"/>
          <w:highlight w:val="none"/>
        </w:rPr>
        <w:t>数字（</w:t>
      </w:r>
      <w:r>
        <w:rPr>
          <w:rFonts w:hint="default" w:ascii="Times New Roman" w:hAnsi="Times New Roman" w:eastAsia="宋体" w:cs="Times New Roman"/>
          <w:szCs w:val="21"/>
          <w:highlight w:val="none"/>
        </w:rPr>
        <w:t>且不含</w:t>
      </w:r>
      <w:r>
        <w:rPr>
          <w:rFonts w:ascii="Times New Roman" w:hAnsi="Times New Roman" w:eastAsia="宋体" w:cs="Times New Roman"/>
          <w:szCs w:val="21"/>
          <w:highlight w:val="none"/>
        </w:rPr>
        <w:t>根号</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分号等）</w:t>
      </w:r>
      <w:r>
        <w:rPr>
          <w:rFonts w:hint="default" w:ascii="Times New Roman" w:hAnsi="Times New Roman" w:eastAsia="宋体" w:cs="Times New Roman"/>
          <w:szCs w:val="21"/>
          <w:highlight w:val="none"/>
        </w:rPr>
        <w:t>的</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项目单位要求值</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输入</w:t>
      </w:r>
      <w:r>
        <w:rPr>
          <w:rFonts w:hint="default" w:ascii="Times New Roman" w:hAnsi="Times New Roman" w:eastAsia="宋体" w:cs="Times New Roman"/>
          <w:szCs w:val="21"/>
          <w:highlight w:val="none"/>
        </w:rPr>
        <w:t>的字符应为</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数值</w:t>
      </w:r>
      <w:r>
        <w:rPr>
          <w:rFonts w:hint="default" w:ascii="Times New Roman" w:hAnsi="Times New Roman" w:eastAsia="宋体" w:cs="Times New Roman"/>
          <w:szCs w:val="21"/>
          <w:highlight w:val="none"/>
        </w:rPr>
        <w:t>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；凡是</w:t>
      </w:r>
      <w:r>
        <w:rPr>
          <w:rFonts w:ascii="Times New Roman" w:hAnsi="Times New Roman" w:eastAsia="宋体" w:cs="Times New Roman"/>
          <w:szCs w:val="21"/>
          <w:highlight w:val="none"/>
        </w:rPr>
        <w:t>带数字之外符号的，</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项目单位要求值</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输入</w:t>
      </w:r>
      <w:r>
        <w:rPr>
          <w:rFonts w:hint="default" w:ascii="Times New Roman" w:hAnsi="Times New Roman" w:eastAsia="宋体" w:cs="Times New Roman"/>
          <w:szCs w:val="21"/>
          <w:highlight w:val="none"/>
        </w:rPr>
        <w:t>的字符应为</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文本型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；2）需要</w:t>
      </w:r>
      <w:r>
        <w:rPr>
          <w:rFonts w:ascii="Times New Roman" w:hAnsi="Times New Roman" w:eastAsia="宋体" w:cs="Times New Roman"/>
          <w:szCs w:val="21"/>
          <w:highlight w:val="none"/>
        </w:rPr>
        <w:t>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标准</w:t>
      </w:r>
      <w:r>
        <w:rPr>
          <w:rFonts w:ascii="Times New Roman" w:hAnsi="Times New Roman" w:eastAsia="宋体" w:cs="Times New Roman"/>
          <w:szCs w:val="21"/>
          <w:highlight w:val="none"/>
        </w:rPr>
        <w:t>参数值</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多个</w:t>
      </w:r>
      <w:r>
        <w:rPr>
          <w:rFonts w:ascii="Times New Roman" w:hAnsi="Times New Roman" w:eastAsia="宋体" w:cs="Times New Roman"/>
          <w:szCs w:val="21"/>
          <w:highlight w:val="none"/>
        </w:rPr>
        <w:t>选项选择的，按照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标准</w:t>
      </w:r>
      <w:r>
        <w:rPr>
          <w:rFonts w:ascii="Times New Roman" w:hAnsi="Times New Roman" w:eastAsia="宋体" w:cs="Times New Roman"/>
          <w:szCs w:val="21"/>
          <w:highlight w:val="none"/>
        </w:rPr>
        <w:t>参数值</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同样格式进行选择，</w:t>
      </w:r>
      <w:r>
        <w:rPr>
          <w:rFonts w:ascii="Times New Roman" w:hAnsi="Times New Roman" w:eastAsia="宋体" w:cs="Times New Roman"/>
          <w:szCs w:val="21"/>
          <w:highlight w:val="none"/>
        </w:rPr>
        <w:t>输入的字符应为</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枚举</w:t>
      </w:r>
      <w:r>
        <w:rPr>
          <w:rFonts w:ascii="Times New Roman" w:hAnsi="Times New Roman" w:eastAsia="宋体" w:cs="Times New Roman"/>
          <w:szCs w:val="21"/>
          <w:highlight w:val="none"/>
        </w:rPr>
        <w:t>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3</w:t>
      </w:r>
      <w:r>
        <w:rPr>
          <w:rFonts w:hint="default" w:ascii="Times New Roman" w:hAnsi="Times New Roman" w:eastAsia="宋体" w:cs="Times New Roman"/>
          <w:szCs w:val="21"/>
          <w:highlight w:val="none"/>
        </w:rPr>
        <w:t>）项目单位</w:t>
      </w:r>
      <w:r>
        <w:rPr>
          <w:rFonts w:ascii="Times New Roman" w:hAnsi="Times New Roman" w:eastAsia="宋体" w:cs="Times New Roman"/>
          <w:szCs w:val="21"/>
          <w:highlight w:val="none"/>
        </w:rPr>
        <w:t>录入时应采用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中文半角</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输入</w:t>
      </w:r>
      <w:r>
        <w:rPr>
          <w:rFonts w:ascii="Times New Roman" w:hAnsi="Times New Roman" w:eastAsia="宋体" w:cs="Times New Roman"/>
          <w:szCs w:val="21"/>
          <w:highlight w:val="none"/>
        </w:rPr>
        <w:t>法。4</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字符与字符之间无空格</w:t>
      </w:r>
      <w:r>
        <w:rPr>
          <w:rFonts w:hint="default" w:ascii="Times New Roman" w:hAnsi="Times New Roman" w:eastAsia="宋体" w:cs="Times New Roman"/>
          <w:szCs w:val="21"/>
          <w:highlight w:val="none"/>
        </w:rPr>
        <w:t>。</w:t>
      </w:r>
    </w:p>
    <w:p>
      <w:pPr>
        <w:pStyle w:val="63"/>
        <w:numPr>
          <w:ilvl w:val="0"/>
          <w:numId w:val="3"/>
        </w:numPr>
        <w:adjustRightInd w:val="0"/>
        <w:snapToGrid w:val="0"/>
        <w:spacing w:line="360" w:lineRule="auto"/>
        <w:ind w:firstLineChars="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投标人响应</w:t>
      </w:r>
      <w:r>
        <w:rPr>
          <w:rFonts w:ascii="Times New Roman" w:hAnsi="Times New Roman" w:eastAsia="宋体" w:cs="Times New Roman"/>
          <w:szCs w:val="21"/>
          <w:highlight w:val="none"/>
        </w:rPr>
        <w:t>值</w:t>
      </w:r>
      <w:r>
        <w:rPr>
          <w:rFonts w:hint="default" w:ascii="Times New Roman" w:hAnsi="Times New Roman" w:eastAsia="宋体" w:cs="Times New Roman"/>
          <w:szCs w:val="21"/>
          <w:highlight w:val="none"/>
        </w:rPr>
        <w:t>的</w:t>
      </w:r>
      <w:r>
        <w:rPr>
          <w:rFonts w:ascii="Times New Roman" w:hAnsi="Times New Roman" w:eastAsia="宋体" w:cs="Times New Roman"/>
          <w:szCs w:val="21"/>
          <w:highlight w:val="none"/>
        </w:rPr>
        <w:t>数据填入格式</w:t>
      </w:r>
      <w:r>
        <w:rPr>
          <w:rFonts w:hint="default" w:ascii="Times New Roman" w:hAnsi="Times New Roman" w:eastAsia="宋体" w:cs="Times New Roman"/>
          <w:szCs w:val="21"/>
          <w:highlight w:val="none"/>
        </w:rPr>
        <w:t>：1）标准</w:t>
      </w:r>
      <w:r>
        <w:rPr>
          <w:rFonts w:ascii="Times New Roman" w:hAnsi="Times New Roman" w:eastAsia="宋体" w:cs="Times New Roman"/>
          <w:szCs w:val="21"/>
          <w:highlight w:val="none"/>
        </w:rPr>
        <w:t>参数值</w:t>
      </w:r>
      <w:r>
        <w:rPr>
          <w:rFonts w:hint="default" w:ascii="Times New Roman" w:hAnsi="Times New Roman" w:eastAsia="宋体" w:cs="Times New Roman"/>
          <w:szCs w:val="21"/>
          <w:highlight w:val="none"/>
        </w:rPr>
        <w:t>和</w:t>
      </w:r>
      <w:r>
        <w:rPr>
          <w:rFonts w:ascii="Times New Roman" w:hAnsi="Times New Roman" w:eastAsia="宋体" w:cs="Times New Roman"/>
          <w:szCs w:val="21"/>
          <w:highlight w:val="none"/>
        </w:rPr>
        <w:t>项目单位要求值仅为</w:t>
      </w:r>
      <w:r>
        <w:rPr>
          <w:rFonts w:hint="default" w:ascii="Times New Roman" w:hAnsi="Times New Roman" w:eastAsia="宋体" w:cs="Times New Roman"/>
          <w:szCs w:val="21"/>
          <w:highlight w:val="none"/>
        </w:rPr>
        <w:t>整数</w:t>
      </w:r>
      <w:r>
        <w:rPr>
          <w:rFonts w:ascii="Times New Roman" w:hAnsi="Times New Roman" w:eastAsia="宋体" w:cs="Times New Roman"/>
          <w:szCs w:val="21"/>
          <w:highlight w:val="none"/>
        </w:rPr>
        <w:t>、</w:t>
      </w:r>
      <w:r>
        <w:rPr>
          <w:rFonts w:hint="default" w:ascii="Times New Roman" w:hAnsi="Times New Roman" w:eastAsia="宋体" w:cs="Times New Roman"/>
          <w:szCs w:val="21"/>
          <w:highlight w:val="none"/>
        </w:rPr>
        <w:t>带</w:t>
      </w:r>
      <w:r>
        <w:rPr>
          <w:rFonts w:ascii="Times New Roman" w:hAnsi="Times New Roman" w:eastAsia="宋体" w:cs="Times New Roman"/>
          <w:szCs w:val="21"/>
          <w:highlight w:val="none"/>
        </w:rPr>
        <w:t>小数</w:t>
      </w:r>
      <w:r>
        <w:rPr>
          <w:rFonts w:hint="default" w:ascii="Times New Roman" w:hAnsi="Times New Roman" w:eastAsia="宋体" w:cs="Times New Roman"/>
          <w:szCs w:val="21"/>
          <w:highlight w:val="none"/>
        </w:rPr>
        <w:t>点</w:t>
      </w:r>
      <w:r>
        <w:rPr>
          <w:rFonts w:ascii="Times New Roman" w:hAnsi="Times New Roman" w:eastAsia="宋体" w:cs="Times New Roman"/>
          <w:szCs w:val="21"/>
          <w:highlight w:val="none"/>
        </w:rPr>
        <w:t>数字（</w:t>
      </w:r>
      <w:r>
        <w:rPr>
          <w:rFonts w:hint="default" w:ascii="Times New Roman" w:hAnsi="Times New Roman" w:eastAsia="宋体" w:cs="Times New Roman"/>
          <w:szCs w:val="21"/>
          <w:highlight w:val="none"/>
        </w:rPr>
        <w:t>且不含</w:t>
      </w:r>
      <w:r>
        <w:rPr>
          <w:rFonts w:ascii="Times New Roman" w:hAnsi="Times New Roman" w:eastAsia="宋体" w:cs="Times New Roman"/>
          <w:szCs w:val="21"/>
          <w:highlight w:val="none"/>
        </w:rPr>
        <w:t>根号</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分号等）</w:t>
      </w:r>
      <w:r>
        <w:rPr>
          <w:rFonts w:hint="default" w:ascii="Times New Roman" w:hAnsi="Times New Roman" w:eastAsia="宋体" w:cs="Times New Roman"/>
          <w:szCs w:val="21"/>
          <w:highlight w:val="none"/>
        </w:rPr>
        <w:t>的</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投标人响应</w:t>
      </w:r>
      <w:r>
        <w:rPr>
          <w:rFonts w:ascii="Times New Roman" w:hAnsi="Times New Roman" w:eastAsia="宋体" w:cs="Times New Roman"/>
          <w:szCs w:val="21"/>
          <w:highlight w:val="none"/>
        </w:rPr>
        <w:t>值</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输入</w:t>
      </w:r>
      <w:r>
        <w:rPr>
          <w:rFonts w:hint="default" w:ascii="Times New Roman" w:hAnsi="Times New Roman" w:eastAsia="宋体" w:cs="Times New Roman"/>
          <w:szCs w:val="21"/>
          <w:highlight w:val="none"/>
        </w:rPr>
        <w:t>的字符应为</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数值</w:t>
      </w:r>
      <w:r>
        <w:rPr>
          <w:rFonts w:hint="default" w:ascii="Times New Roman" w:hAnsi="Times New Roman" w:eastAsia="宋体" w:cs="Times New Roman"/>
          <w:szCs w:val="21"/>
          <w:highlight w:val="none"/>
        </w:rPr>
        <w:t>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；凡是</w:t>
      </w:r>
      <w:r>
        <w:rPr>
          <w:rFonts w:ascii="Times New Roman" w:hAnsi="Times New Roman" w:eastAsia="宋体" w:cs="Times New Roman"/>
          <w:szCs w:val="21"/>
          <w:highlight w:val="none"/>
        </w:rPr>
        <w:t>带数字之外符号的，</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投标人响应</w:t>
      </w:r>
      <w:r>
        <w:rPr>
          <w:rFonts w:ascii="Times New Roman" w:hAnsi="Times New Roman" w:eastAsia="宋体" w:cs="Times New Roman"/>
          <w:szCs w:val="21"/>
          <w:highlight w:val="none"/>
        </w:rPr>
        <w:t>值</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输入</w:t>
      </w:r>
      <w:r>
        <w:rPr>
          <w:rFonts w:hint="default" w:ascii="Times New Roman" w:hAnsi="Times New Roman" w:eastAsia="宋体" w:cs="Times New Roman"/>
          <w:szCs w:val="21"/>
          <w:highlight w:val="none"/>
        </w:rPr>
        <w:t>的字符应为</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文本型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；2）需要</w:t>
      </w:r>
      <w:r>
        <w:rPr>
          <w:rFonts w:ascii="Times New Roman" w:hAnsi="Times New Roman" w:eastAsia="宋体" w:cs="Times New Roman"/>
          <w:szCs w:val="21"/>
          <w:highlight w:val="none"/>
        </w:rPr>
        <w:t>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标准</w:t>
      </w:r>
      <w:r>
        <w:rPr>
          <w:rFonts w:ascii="Times New Roman" w:hAnsi="Times New Roman" w:eastAsia="宋体" w:cs="Times New Roman"/>
          <w:szCs w:val="21"/>
          <w:highlight w:val="none"/>
        </w:rPr>
        <w:t>参数值</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项目单位要求值</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多个</w:t>
      </w:r>
      <w:r>
        <w:rPr>
          <w:rFonts w:ascii="Times New Roman" w:hAnsi="Times New Roman" w:eastAsia="宋体" w:cs="Times New Roman"/>
          <w:szCs w:val="21"/>
          <w:highlight w:val="none"/>
        </w:rPr>
        <w:t>选项选择的，按照</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标准</w:t>
      </w:r>
      <w:r>
        <w:rPr>
          <w:rFonts w:ascii="Times New Roman" w:hAnsi="Times New Roman" w:eastAsia="宋体" w:cs="Times New Roman"/>
          <w:szCs w:val="21"/>
          <w:highlight w:val="none"/>
        </w:rPr>
        <w:t>参数值</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项目单位要求值</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同样格式进行选择，</w:t>
      </w:r>
      <w:r>
        <w:rPr>
          <w:rFonts w:ascii="Times New Roman" w:hAnsi="Times New Roman" w:eastAsia="宋体" w:cs="Times New Roman"/>
          <w:szCs w:val="21"/>
          <w:highlight w:val="none"/>
        </w:rPr>
        <w:t>输入的字符应为</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枚举</w:t>
      </w:r>
      <w:r>
        <w:rPr>
          <w:rFonts w:ascii="Times New Roman" w:hAnsi="Times New Roman" w:eastAsia="宋体" w:cs="Times New Roman"/>
          <w:szCs w:val="21"/>
          <w:highlight w:val="none"/>
        </w:rPr>
        <w:t>型</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3</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投标人录入时应采用</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中文半角</w:t>
      </w:r>
      <w:r>
        <w:rPr>
          <w:rFonts w:hint="eastAsia"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输入</w:t>
      </w:r>
      <w:r>
        <w:rPr>
          <w:rFonts w:ascii="Times New Roman" w:hAnsi="Times New Roman" w:eastAsia="宋体" w:cs="Times New Roman"/>
          <w:szCs w:val="21"/>
          <w:highlight w:val="none"/>
        </w:rPr>
        <w:t>法。4</w:t>
      </w:r>
      <w:r>
        <w:rPr>
          <w:rFonts w:hint="default" w:ascii="Times New Roman" w:hAnsi="Times New Roman" w:eastAsia="宋体" w:cs="Times New Roman"/>
          <w:szCs w:val="21"/>
          <w:highlight w:val="none"/>
        </w:rPr>
        <w:t>）</w:t>
      </w:r>
      <w:r>
        <w:rPr>
          <w:rFonts w:ascii="Times New Roman" w:hAnsi="Times New Roman" w:eastAsia="宋体" w:cs="Times New Roman"/>
          <w:szCs w:val="21"/>
          <w:highlight w:val="none"/>
        </w:rPr>
        <w:t>字符与字符之间无空格</w:t>
      </w:r>
      <w:r>
        <w:rPr>
          <w:rFonts w:hint="default" w:ascii="Times New Roman" w:hAnsi="Times New Roman" w:eastAsia="宋体" w:cs="Times New Roman"/>
          <w:szCs w:val="21"/>
          <w:highlight w:val="none"/>
        </w:rPr>
        <w:t>。</w:t>
      </w:r>
    </w:p>
    <w:p>
      <w:pPr>
        <w:pStyle w:val="63"/>
        <w:numPr>
          <w:ilvl w:val="0"/>
          <w:numId w:val="3"/>
        </w:numPr>
        <w:adjustRightInd w:val="0"/>
        <w:snapToGrid w:val="0"/>
        <w:spacing w:line="360" w:lineRule="auto"/>
        <w:ind w:firstLineChars="0"/>
        <w:rPr>
          <w:rFonts w:ascii="Times New Roman" w:hAnsi="Times New Roman" w:eastAsia="宋体" w:cs="Times New Roman"/>
          <w:szCs w:val="21"/>
          <w:highlight w:val="none"/>
        </w:rPr>
        <w:sectPr>
          <w:headerReference r:id="rId14" w:type="first"/>
          <w:footerReference r:id="rId17" w:type="first"/>
          <w:headerReference r:id="rId12" w:type="default"/>
          <w:footerReference r:id="rId15" w:type="default"/>
          <w:headerReference r:id="rId13" w:type="even"/>
          <w:footerReference r:id="rId16" w:type="even"/>
          <w:pgSz w:w="11906" w:h="16838"/>
          <w:pgMar w:top="1440" w:right="1797" w:bottom="1440" w:left="1797" w:header="851" w:footer="992" w:gutter="0"/>
          <w:cols w:space="720" w:num="1"/>
          <w:docGrid w:type="lines" w:linePitch="312" w:charSpace="0"/>
        </w:sectPr>
      </w:pPr>
      <w:r>
        <w:rPr>
          <w:rFonts w:ascii="Times New Roman" w:hAnsi="Times New Roman" w:eastAsia="宋体" w:cs="Times New Roman"/>
          <w:szCs w:val="21"/>
          <w:highlight w:val="none"/>
        </w:rPr>
        <w:t>若</w:t>
      </w:r>
      <w:r>
        <w:rPr>
          <w:rFonts w:hint="default" w:ascii="Times New Roman" w:hAnsi="Times New Roman" w:eastAsia="宋体" w:cs="Times New Roman"/>
          <w:szCs w:val="21"/>
          <w:highlight w:val="none"/>
        </w:rPr>
        <w:t>投标人响应</w:t>
      </w:r>
      <w:r>
        <w:rPr>
          <w:rFonts w:ascii="Times New Roman" w:hAnsi="Times New Roman" w:eastAsia="宋体" w:cs="Times New Roman"/>
          <w:szCs w:val="21"/>
          <w:highlight w:val="none"/>
        </w:rPr>
        <w:t>值</w:t>
      </w:r>
      <w:r>
        <w:rPr>
          <w:rFonts w:hint="default" w:ascii="Times New Roman" w:hAnsi="Times New Roman" w:eastAsia="宋体" w:cs="Times New Roman"/>
          <w:szCs w:val="21"/>
          <w:highlight w:val="none"/>
        </w:rPr>
        <w:t>存在偏差</w:t>
      </w:r>
      <w:r>
        <w:rPr>
          <w:rFonts w:ascii="Times New Roman" w:hAnsi="Times New Roman" w:eastAsia="宋体" w:cs="Times New Roman"/>
          <w:szCs w:val="21"/>
          <w:highlight w:val="none"/>
        </w:rPr>
        <w:t>，</w:t>
      </w:r>
      <w:r>
        <w:rPr>
          <w:rFonts w:hint="default" w:ascii="Times New Roman" w:hAnsi="Times New Roman" w:eastAsia="宋体" w:cs="Times New Roman"/>
          <w:szCs w:val="21"/>
          <w:highlight w:val="none"/>
        </w:rPr>
        <w:t>请</w:t>
      </w:r>
      <w:r>
        <w:rPr>
          <w:rFonts w:ascii="Times New Roman" w:hAnsi="Times New Roman" w:eastAsia="宋体" w:cs="Times New Roman"/>
          <w:szCs w:val="21"/>
          <w:highlight w:val="none"/>
        </w:rPr>
        <w:t>填写</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偏差说明</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表2.2  技术参数和性能要求响应表</w:t>
      </w:r>
    </w:p>
    <w:tbl>
      <w:tblPr>
        <w:tblStyle w:val="27"/>
        <w:tblW w:w="14600" w:type="dxa"/>
        <w:jc w:val="center"/>
        <w:tblLayout w:type="fixed"/>
        <w:tblCellMar>
          <w:top w:w="15" w:type="dxa"/>
          <w:left w:w="15" w:type="dxa"/>
          <w:bottom w:w="15" w:type="dxa"/>
          <w:right w:w="15" w:type="dxa"/>
        </w:tblCellMar>
      </w:tblPr>
      <w:tblGrid>
        <w:gridCol w:w="739"/>
        <w:gridCol w:w="2540"/>
        <w:gridCol w:w="2973"/>
        <w:gridCol w:w="1419"/>
        <w:gridCol w:w="1548"/>
        <w:gridCol w:w="1317"/>
        <w:gridCol w:w="1527"/>
        <w:gridCol w:w="1422"/>
        <w:gridCol w:w="1115"/>
      </w:tblGrid>
      <w:tr>
        <w:tblPrEx>
          <w:tblCellMar>
            <w:top w:w="15" w:type="dxa"/>
            <w:left w:w="15" w:type="dxa"/>
            <w:bottom w:w="15" w:type="dxa"/>
            <w:right w:w="15" w:type="dxa"/>
          </w:tblCellMar>
        </w:tblPrEx>
        <w:trPr>
          <w:trHeight w:val="300" w:hRule="atLeast"/>
          <w:tblHeader/>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序号</w:t>
            </w:r>
          </w:p>
        </w:tc>
        <w:tc>
          <w:tcPr>
            <w:tcW w:w="254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rPr>
                <w:b/>
                <w:bCs/>
                <w:color w:val="000000"/>
                <w:kern w:val="0"/>
                <w:sz w:val="18"/>
                <w:szCs w:val="18"/>
                <w:highlight w:val="none"/>
              </w:rPr>
            </w:pPr>
            <w:r>
              <w:rPr>
                <w:b/>
                <w:bCs/>
                <w:color w:val="000000"/>
                <w:kern w:val="0"/>
                <w:sz w:val="18"/>
                <w:szCs w:val="18"/>
                <w:highlight w:val="none"/>
              </w:rPr>
              <w:t>参数类型</w:t>
            </w:r>
          </w:p>
        </w:tc>
        <w:tc>
          <w:tcPr>
            <w:tcW w:w="297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标准参数值</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标准值特性</w:t>
            </w:r>
          </w:p>
        </w:tc>
        <w:tc>
          <w:tcPr>
            <w:tcW w:w="154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项目单位要求值</w:t>
            </w:r>
          </w:p>
        </w:tc>
        <w:tc>
          <w:tcPr>
            <w:tcW w:w="131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投标人响应值</w:t>
            </w:r>
          </w:p>
        </w:tc>
        <w:tc>
          <w:tcPr>
            <w:tcW w:w="15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证明材料</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偏差说明</w:t>
            </w:r>
          </w:p>
        </w:tc>
        <w:tc>
          <w:tcPr>
            <w:tcW w:w="11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rPr>
                <w:b/>
                <w:bCs/>
                <w:color w:val="000000"/>
                <w:kern w:val="0"/>
                <w:sz w:val="18"/>
                <w:szCs w:val="18"/>
                <w:highlight w:val="none"/>
              </w:rPr>
            </w:pPr>
            <w:r>
              <w:rPr>
                <w:b/>
                <w:bCs/>
                <w:color w:val="000000"/>
                <w:kern w:val="0"/>
                <w:sz w:val="18"/>
                <w:szCs w:val="18"/>
                <w:highlight w:val="none"/>
              </w:rPr>
              <w:t>评标专家审核</w:t>
            </w: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一</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
                <w:sz w:val="18"/>
                <w:szCs w:val="18"/>
                <w:highlight w:val="none"/>
              </w:rPr>
              <w:t>主要参数</w:t>
            </w: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电缆附件额定电压（kV）</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8.7/15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电缆附件导体材料</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电工铜</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冷缩电缆终端、中间头主体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液体</w:t>
            </w:r>
            <w:r>
              <w:rPr>
                <w:sz w:val="18"/>
                <w:szCs w:val="18"/>
                <w:highlight w:val="none"/>
              </w:rPr>
              <w:t>硅橡胶</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可分离连接器主体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液体</w:t>
            </w:r>
            <w:r>
              <w:rPr>
                <w:sz w:val="18"/>
                <w:szCs w:val="18"/>
                <w:highlight w:val="none"/>
              </w:rPr>
              <w:t>硅橡胶或三元乙丙橡胶</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长期运行温度（℃）</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90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rFonts w:hint="eastAsia"/>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rPr>
                <w:sz w:val="18"/>
                <w:szCs w:val="18"/>
                <w:highlight w:val="none"/>
              </w:rPr>
            </w:pPr>
            <w:r>
              <w:rPr>
                <w:sz w:val="18"/>
                <w:szCs w:val="18"/>
                <w:highlight w:val="none"/>
              </w:rPr>
              <w:t>短路持续时间不超过5s时温度（℃）</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auto"/>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rFonts w:hint="eastAsia"/>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二</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
                <w:sz w:val="18"/>
                <w:szCs w:val="18"/>
                <w:highlight w:val="none"/>
              </w:rPr>
              <w:t>户内终端</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NLS 8.7/15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截面积</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3×400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冷缩扩张率</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电缆主绝缘扩张率</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试验性能要求</w:t>
            </w:r>
          </w:p>
        </w:tc>
      </w:tr>
      <w:tr>
        <w:tblPrEx>
          <w:tblCellMar>
            <w:top w:w="15" w:type="dxa"/>
            <w:left w:w="15" w:type="dxa"/>
            <w:bottom w:w="15" w:type="dxa"/>
            <w:right w:w="15" w:type="dxa"/>
          </w:tblCellMar>
        </w:tblPrEx>
        <w:trPr>
          <w:trHeight w:val="5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w:t>
            </w:r>
            <w:r>
              <w:rPr>
                <w:i/>
                <w:sz w:val="18"/>
                <w:szCs w:val="18"/>
                <w:highlight w:val="none"/>
              </w:rPr>
              <w:t>U</w:t>
            </w:r>
            <w:r>
              <w:rPr>
                <w:sz w:val="18"/>
                <w:szCs w:val="18"/>
                <w:highlight w:val="none"/>
                <w:vertAlign w:val="subscript"/>
              </w:rPr>
              <w:t>0</w:t>
            </w:r>
            <w:r>
              <w:rPr>
                <w:sz w:val="18"/>
                <w:szCs w:val="18"/>
                <w:highlight w:val="none"/>
              </w:rPr>
              <w:t>，5min（交流）；4</w:t>
            </w:r>
            <w:r>
              <w:rPr>
                <w:i/>
                <w:sz w:val="18"/>
                <w:szCs w:val="18"/>
                <w:highlight w:val="none"/>
              </w:rPr>
              <w:t>U</w:t>
            </w:r>
            <w:r>
              <w:rPr>
                <w:sz w:val="18"/>
                <w:szCs w:val="18"/>
                <w:highlight w:val="none"/>
                <w:vertAlign w:val="subscript"/>
              </w:rPr>
              <w:t>0</w:t>
            </w:r>
            <w:r>
              <w:rPr>
                <w:sz w:val="18"/>
                <w:szCs w:val="18"/>
                <w:highlight w:val="none"/>
              </w:rPr>
              <w:t>，15min（直流）；不闪络、不击穿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下局部放电，不大于（</w:t>
            </w:r>
            <w:r>
              <w:rPr>
                <w:rFonts w:hint="eastAsia"/>
                <w:sz w:val="18"/>
                <w:szCs w:val="18"/>
                <w:highlight w:val="none"/>
                <w:lang w:eastAsia="zh-CN"/>
              </w:rPr>
              <w:t>pC</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冲击电压试验（在导体温度（95-100）°C下）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8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导体施加电压2.5U</w:t>
            </w:r>
            <w:r>
              <w:rPr>
                <w:sz w:val="18"/>
                <w:szCs w:val="18"/>
                <w:highlight w:val="none"/>
                <w:vertAlign w:val="subscript"/>
              </w:rPr>
              <w:t>0</w:t>
            </w:r>
            <w:r>
              <w:rPr>
                <w:sz w:val="18"/>
                <w:szCs w:val="18"/>
                <w:highlight w:val="none"/>
              </w:rPr>
              <w:t>，并加热至（95-100）°C，其中每一循环至少8h，温度稳定时间至少2h，冷却时间至少3h，共60次循环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w:t>
            </w:r>
            <w:r>
              <w:rPr>
                <w:color w:val="000000"/>
                <w:sz w:val="18"/>
                <w:szCs w:val="18"/>
                <w:highlight w:val="none"/>
              </w:rPr>
              <w:t>局部放电（在导体最高温加5-10°C下和环境温度下）</w:t>
            </w:r>
            <w:r>
              <w:rPr>
                <w:sz w:val="18"/>
                <w:szCs w:val="18"/>
                <w:highlight w:val="none"/>
              </w:rPr>
              <w:t>，不大于（</w:t>
            </w:r>
            <w:r>
              <w:rPr>
                <w:rFonts w:hint="eastAsia"/>
                <w:sz w:val="18"/>
                <w:szCs w:val="18"/>
                <w:highlight w:val="none"/>
                <w:lang w:eastAsia="zh-CN"/>
              </w:rPr>
              <w:t>pC</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在电缆屏蔽的</w:t>
            </w:r>
            <w:r>
              <w:rPr>
                <w:i/>
                <w:color w:val="000000"/>
                <w:sz w:val="18"/>
                <w:szCs w:val="18"/>
                <w:highlight w:val="none"/>
              </w:rPr>
              <w:t>I</w:t>
            </w:r>
            <w:r>
              <w:rPr>
                <w:color w:val="000000"/>
                <w:sz w:val="18"/>
                <w:szCs w:val="18"/>
                <w:highlight w:val="none"/>
                <w:vertAlign w:val="subscript"/>
              </w:rPr>
              <w:t>sc</w:t>
            </w:r>
            <w:r>
              <w:rPr>
                <w:color w:val="000000"/>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r>
              <w:rPr>
                <w:sz w:val="18"/>
                <w:szCs w:val="18"/>
                <w:highlight w:val="none"/>
              </w:rPr>
              <w:t>/</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升高到电缆导体的</w:t>
            </w:r>
            <w:r>
              <w:rPr>
                <w:i/>
                <w:color w:val="000000"/>
                <w:sz w:val="18"/>
                <w:szCs w:val="18"/>
                <w:highlight w:val="none"/>
              </w:rPr>
              <w:t>θ</w:t>
            </w:r>
            <w:r>
              <w:rPr>
                <w:color w:val="000000"/>
                <w:sz w:val="18"/>
                <w:szCs w:val="18"/>
                <w:highlight w:val="none"/>
                <w:vertAlign w:val="subscript"/>
              </w:rPr>
              <w:t>sc</w:t>
            </w:r>
            <w:r>
              <w:rPr>
                <w:color w:val="000000"/>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81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在</w:t>
            </w:r>
            <w:r>
              <w:rPr>
                <w:i/>
                <w:color w:val="000000"/>
                <w:sz w:val="18"/>
                <w:szCs w:val="18"/>
                <w:highlight w:val="none"/>
              </w:rPr>
              <w:t>I</w:t>
            </w:r>
            <w:r>
              <w:rPr>
                <w:color w:val="000000"/>
                <w:sz w:val="18"/>
                <w:szCs w:val="18"/>
                <w:highlight w:val="none"/>
                <w:vertAlign w:val="subscript"/>
              </w:rPr>
              <w:t>d</w:t>
            </w:r>
            <w:r>
              <w:rPr>
                <w:color w:val="000000"/>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9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r>
              <w:rPr>
                <w:i/>
                <w:sz w:val="18"/>
                <w:szCs w:val="18"/>
                <w:highlight w:val="none"/>
              </w:rPr>
              <w:t>U</w:t>
            </w:r>
            <w:r>
              <w:rPr>
                <w:sz w:val="18"/>
                <w:szCs w:val="18"/>
                <w:highlight w:val="none"/>
                <w:vertAlign w:val="subscript"/>
              </w:rPr>
              <w:t>0</w:t>
            </w:r>
            <w:r>
              <w:rPr>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潮湿试验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1.25</w:t>
            </w:r>
            <w:r>
              <w:rPr>
                <w:i/>
                <w:sz w:val="18"/>
                <w:szCs w:val="18"/>
                <w:highlight w:val="none"/>
              </w:rPr>
              <w:t>U</w:t>
            </w:r>
            <w:r>
              <w:rPr>
                <w:sz w:val="18"/>
                <w:szCs w:val="18"/>
                <w:highlight w:val="none"/>
                <w:vertAlign w:val="subscript"/>
              </w:rPr>
              <w:t>0</w:t>
            </w:r>
            <w:r>
              <w:rPr>
                <w:sz w:val="18"/>
                <w:szCs w:val="18"/>
                <w:highlight w:val="none"/>
              </w:rPr>
              <w:t>，300h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13861" w:type="dxa"/>
            <w:gridSpan w:val="8"/>
            <w:tcBorders>
              <w:top w:val="single" w:color="000000" w:sz="4" w:space="0"/>
              <w:left w:val="single" w:color="000000" w:sz="4" w:space="0"/>
              <w:bottom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主要结构尺寸</w:t>
            </w:r>
            <w:r>
              <w:rPr>
                <w:bCs/>
                <w:sz w:val="18"/>
                <w:szCs w:val="18"/>
                <w:highlight w:val="none"/>
              </w:rPr>
              <w:t>（通用部分“表D.1冷缩电缆终端主体结构尺寸要求”）</w:t>
            </w: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Cs/>
                <w:sz w:val="18"/>
                <w:szCs w:val="18"/>
                <w:highlight w:val="none"/>
              </w:rPr>
            </w:pPr>
            <w:r>
              <w:rPr>
                <w:bCs/>
                <w:sz w:val="18"/>
                <w:szCs w:val="18"/>
                <w:highlight w:val="none"/>
              </w:rPr>
              <w:t>绝缘距离L2，不小于（mm）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Cs/>
                <w:sz w:val="18"/>
                <w:szCs w:val="18"/>
                <w:highlight w:val="none"/>
              </w:rPr>
            </w:pPr>
            <w:r>
              <w:rPr>
                <w:bCs/>
                <w:sz w:val="18"/>
                <w:szCs w:val="18"/>
                <w:highlight w:val="none"/>
              </w:rPr>
              <w:t>终端厚度t，不小于（mm）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sz w:val="18"/>
                <w:szCs w:val="18"/>
                <w:highlight w:val="none"/>
              </w:rPr>
              <w:t>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二</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
                <w:sz w:val="18"/>
                <w:szCs w:val="18"/>
                <w:highlight w:val="none"/>
              </w:rPr>
              <w:t>户外终端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WLS 8.7/15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截面积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3×400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冷缩扩张率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电缆主绝缘扩张率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试验性能要求</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4.5</w:t>
            </w:r>
            <w:r>
              <w:rPr>
                <w:i/>
                <w:color w:val="000000"/>
                <w:sz w:val="18"/>
                <w:szCs w:val="18"/>
                <w:highlight w:val="none"/>
              </w:rPr>
              <w:t>U</w:t>
            </w:r>
            <w:r>
              <w:rPr>
                <w:color w:val="000000"/>
                <w:sz w:val="18"/>
                <w:szCs w:val="18"/>
                <w:highlight w:val="none"/>
                <w:vertAlign w:val="subscript"/>
              </w:rPr>
              <w:t>0</w:t>
            </w:r>
            <w:r>
              <w:rPr>
                <w:color w:val="000000"/>
                <w:sz w:val="18"/>
                <w:szCs w:val="18"/>
                <w:highlight w:val="none"/>
              </w:rPr>
              <w:t>，5min（交流）；4</w:t>
            </w:r>
            <w:r>
              <w:rPr>
                <w:i/>
                <w:color w:val="000000"/>
                <w:sz w:val="18"/>
                <w:szCs w:val="18"/>
                <w:highlight w:val="none"/>
              </w:rPr>
              <w:t>U</w:t>
            </w:r>
            <w:r>
              <w:rPr>
                <w:color w:val="000000"/>
                <w:sz w:val="18"/>
                <w:szCs w:val="18"/>
                <w:highlight w:val="none"/>
                <w:vertAlign w:val="subscript"/>
              </w:rPr>
              <w:t>0</w:t>
            </w:r>
            <w:r>
              <w:rPr>
                <w:color w:val="000000"/>
                <w:sz w:val="18"/>
                <w:szCs w:val="18"/>
                <w:highlight w:val="none"/>
              </w:rPr>
              <w:t>，15min（直流）；</w:t>
            </w:r>
            <w:r>
              <w:rPr>
                <w:sz w:val="18"/>
                <w:szCs w:val="18"/>
                <w:highlight w:val="none"/>
              </w:rPr>
              <w:t>不闪络、不击穿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4</w:t>
            </w:r>
            <w:r>
              <w:rPr>
                <w:i/>
                <w:color w:val="000000"/>
                <w:sz w:val="18"/>
                <w:szCs w:val="18"/>
                <w:highlight w:val="none"/>
              </w:rPr>
              <w:t>U</w:t>
            </w:r>
            <w:r>
              <w:rPr>
                <w:color w:val="000000"/>
                <w:sz w:val="18"/>
                <w:szCs w:val="18"/>
                <w:highlight w:val="none"/>
                <w:vertAlign w:val="subscript"/>
              </w:rPr>
              <w:t>0</w:t>
            </w:r>
            <w:r>
              <w:rPr>
                <w:color w:val="000000"/>
                <w:sz w:val="18"/>
                <w:szCs w:val="18"/>
                <w:highlight w:val="none"/>
              </w:rPr>
              <w:t>，1min，（淋雨）</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下局部放电，不大于（</w:t>
            </w:r>
            <w:r>
              <w:rPr>
                <w:rFonts w:hint="eastAsia"/>
                <w:sz w:val="18"/>
                <w:szCs w:val="18"/>
                <w:highlight w:val="none"/>
                <w:lang w:eastAsia="zh-CN"/>
              </w:rPr>
              <w:t>pC</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数值</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导体施加电压2.5</w:t>
            </w:r>
            <w:r>
              <w:rPr>
                <w:i/>
                <w:sz w:val="18"/>
                <w:szCs w:val="18"/>
                <w:highlight w:val="none"/>
              </w:rPr>
              <w:t>U</w:t>
            </w:r>
            <w:r>
              <w:rPr>
                <w:sz w:val="18"/>
                <w:szCs w:val="18"/>
                <w:highlight w:val="none"/>
                <w:vertAlign w:val="subscript"/>
              </w:rPr>
              <w:t>0</w:t>
            </w:r>
            <w:r>
              <w:rPr>
                <w:sz w:val="18"/>
                <w:szCs w:val="18"/>
                <w:highlight w:val="none"/>
              </w:rPr>
              <w:t>，并加热至（95-100）°C，其中每一循环至少8h，温度稳定时间至少2h，冷却时间至少3h，共60次循环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浸水试验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导体加热至（95-100）°C，其中每一循环至少8h，温度稳定时间至少2h，冷却时间至少3h，共10次循环</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局部放电（在导体最高温加5-10°C下和环境温度下）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eastAsia" w:eastAsia="宋体"/>
                <w:sz w:val="18"/>
                <w:szCs w:val="18"/>
                <w:highlight w:val="none"/>
                <w:lang w:eastAsia="zh-CN"/>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下，≤5</w:t>
            </w:r>
            <w:r>
              <w:rPr>
                <w:rFonts w:hint="eastAsia"/>
                <w:sz w:val="18"/>
                <w:szCs w:val="18"/>
                <w:highlight w:val="none"/>
                <w:lang w:eastAsia="zh-CN"/>
              </w:rPr>
              <w:t>pC</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在电缆屏蔽的</w:t>
            </w:r>
            <w:r>
              <w:rPr>
                <w:i/>
                <w:sz w:val="18"/>
                <w:szCs w:val="18"/>
                <w:highlight w:val="none"/>
              </w:rPr>
              <w:t>I</w:t>
            </w:r>
            <w:r>
              <w:rPr>
                <w:sz w:val="18"/>
                <w:szCs w:val="18"/>
                <w:highlight w:val="none"/>
                <w:vertAlign w:val="subscript"/>
              </w:rPr>
              <w:t>sc</w:t>
            </w:r>
            <w:r>
              <w:rPr>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升高到电缆导体的</w:t>
            </w:r>
            <w:r>
              <w:rPr>
                <w:i/>
                <w:sz w:val="18"/>
                <w:szCs w:val="18"/>
                <w:highlight w:val="none"/>
              </w:rPr>
              <w:t>θ</w:t>
            </w:r>
            <w:r>
              <w:rPr>
                <w:sz w:val="18"/>
                <w:szCs w:val="18"/>
                <w:highlight w:val="none"/>
                <w:vertAlign w:val="subscript"/>
              </w:rPr>
              <w:t>sc</w:t>
            </w:r>
            <w:r>
              <w:rPr>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在</w:t>
            </w:r>
            <w:r>
              <w:rPr>
                <w:i/>
                <w:sz w:val="18"/>
                <w:szCs w:val="18"/>
                <w:highlight w:val="none"/>
              </w:rPr>
              <w:t>I</w:t>
            </w:r>
            <w:r>
              <w:rPr>
                <w:sz w:val="18"/>
                <w:szCs w:val="18"/>
                <w:highlight w:val="none"/>
                <w:vertAlign w:val="subscript"/>
              </w:rPr>
              <w:t>d</w:t>
            </w:r>
            <w:r>
              <w:rPr>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r>
              <w:rPr>
                <w:i/>
                <w:sz w:val="18"/>
                <w:szCs w:val="18"/>
                <w:highlight w:val="none"/>
              </w:rPr>
              <w:t>U</w:t>
            </w:r>
            <w:r>
              <w:rPr>
                <w:sz w:val="18"/>
                <w:szCs w:val="18"/>
                <w:highlight w:val="none"/>
                <w:vertAlign w:val="subscript"/>
              </w:rPr>
              <w:t>0</w:t>
            </w:r>
            <w:r>
              <w:rPr>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盐雾试验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1.25</w:t>
            </w:r>
            <w:r>
              <w:rPr>
                <w:i/>
                <w:sz w:val="18"/>
                <w:szCs w:val="18"/>
                <w:highlight w:val="none"/>
              </w:rPr>
              <w:t>U</w:t>
            </w:r>
            <w:r>
              <w:rPr>
                <w:sz w:val="18"/>
                <w:szCs w:val="18"/>
                <w:highlight w:val="none"/>
                <w:vertAlign w:val="subscript"/>
              </w:rPr>
              <w:t>0</w:t>
            </w:r>
            <w:r>
              <w:rPr>
                <w:sz w:val="18"/>
                <w:szCs w:val="18"/>
                <w:highlight w:val="none"/>
              </w:rPr>
              <w:t>，1000h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13861" w:type="dxa"/>
            <w:gridSpan w:val="8"/>
            <w:tcBorders>
              <w:top w:val="single" w:color="000000" w:sz="4" w:space="0"/>
              <w:left w:val="single" w:color="000000" w:sz="4" w:space="0"/>
              <w:bottom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主要结构尺寸</w:t>
            </w:r>
            <w:r>
              <w:rPr>
                <w:bCs/>
                <w:sz w:val="18"/>
                <w:szCs w:val="18"/>
                <w:highlight w:val="none"/>
              </w:rPr>
              <w:t>（通用部分“表D.1冷缩电缆终端主体结构尺寸要求”）</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Cs/>
                <w:sz w:val="18"/>
                <w:szCs w:val="18"/>
                <w:highlight w:val="none"/>
              </w:rPr>
            </w:pPr>
            <w:r>
              <w:rPr>
                <w:bCs/>
                <w:sz w:val="18"/>
                <w:szCs w:val="18"/>
                <w:highlight w:val="none"/>
              </w:rPr>
              <w:t>绝缘距离L2，不小于（mm）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Cs/>
                <w:sz w:val="18"/>
                <w:szCs w:val="18"/>
                <w:highlight w:val="none"/>
              </w:rPr>
            </w:pPr>
            <w:r>
              <w:rPr>
                <w:bCs/>
                <w:sz w:val="18"/>
                <w:szCs w:val="18"/>
                <w:highlight w:val="none"/>
              </w:rPr>
              <w:t>终端厚度t，不小于（mm）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三</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
                <w:sz w:val="18"/>
                <w:szCs w:val="18"/>
                <w:highlight w:val="none"/>
              </w:rPr>
              <w:t>电缆中间接头</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JLS 8.7/15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截面积</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3×400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冷缩扩张率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200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电缆主绝缘扩张率</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试验性能要求</w:t>
            </w: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w:t>
            </w:r>
            <w:r>
              <w:rPr>
                <w:i/>
                <w:sz w:val="18"/>
                <w:szCs w:val="18"/>
                <w:highlight w:val="none"/>
              </w:rPr>
              <w:t>U</w:t>
            </w:r>
            <w:r>
              <w:rPr>
                <w:sz w:val="18"/>
                <w:szCs w:val="18"/>
                <w:highlight w:val="none"/>
                <w:vertAlign w:val="subscript"/>
              </w:rPr>
              <w:t>0</w:t>
            </w:r>
            <w:r>
              <w:rPr>
                <w:sz w:val="18"/>
                <w:szCs w:val="18"/>
                <w:highlight w:val="none"/>
              </w:rPr>
              <w:t>，5min（交流）；4</w:t>
            </w:r>
            <w:r>
              <w:rPr>
                <w:i/>
                <w:sz w:val="18"/>
                <w:szCs w:val="18"/>
                <w:highlight w:val="none"/>
              </w:rPr>
              <w:t>U</w:t>
            </w:r>
            <w:r>
              <w:rPr>
                <w:sz w:val="18"/>
                <w:szCs w:val="18"/>
                <w:highlight w:val="none"/>
                <w:vertAlign w:val="subscript"/>
              </w:rPr>
              <w:t>0</w:t>
            </w:r>
            <w:r>
              <w:rPr>
                <w:sz w:val="18"/>
                <w:szCs w:val="18"/>
                <w:highlight w:val="none"/>
              </w:rPr>
              <w:t>，15min（直流）；不击穿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下局部放电，不大于（</w:t>
            </w:r>
            <w:r>
              <w:rPr>
                <w:rFonts w:hint="eastAsia"/>
                <w:sz w:val="18"/>
                <w:szCs w:val="18"/>
                <w:highlight w:val="none"/>
                <w:lang w:eastAsia="zh-CN"/>
              </w:rPr>
              <w:t>pC</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施加电压2.5</w:t>
            </w:r>
            <w:r>
              <w:rPr>
                <w:i/>
                <w:sz w:val="18"/>
                <w:szCs w:val="18"/>
                <w:highlight w:val="none"/>
              </w:rPr>
              <w:t>U</w:t>
            </w:r>
            <w:r>
              <w:rPr>
                <w:sz w:val="18"/>
                <w:szCs w:val="18"/>
                <w:highlight w:val="none"/>
                <w:vertAlign w:val="subscript"/>
              </w:rPr>
              <w:t>0</w:t>
            </w:r>
            <w:r>
              <w:rPr>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7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恒压负荷循环试验（在水中）</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sz w:val="18"/>
                <w:szCs w:val="18"/>
                <w:highlight w:val="none"/>
              </w:rPr>
            </w:pPr>
            <w:r>
              <w:rPr>
                <w:sz w:val="18"/>
                <w:szCs w:val="18"/>
                <w:highlight w:val="none"/>
              </w:rPr>
              <w:t>施加电压2.5</w:t>
            </w:r>
            <w:r>
              <w:rPr>
                <w:i/>
                <w:sz w:val="18"/>
                <w:szCs w:val="18"/>
                <w:highlight w:val="none"/>
              </w:rPr>
              <w:t>U</w:t>
            </w:r>
            <w:r>
              <w:rPr>
                <w:sz w:val="18"/>
                <w:szCs w:val="18"/>
                <w:highlight w:val="none"/>
                <w:vertAlign w:val="subscript"/>
              </w:rPr>
              <w:t>0</w:t>
            </w:r>
            <w:r>
              <w:rPr>
                <w:sz w:val="18"/>
                <w:szCs w:val="18"/>
                <w:highlight w:val="none"/>
              </w:rPr>
              <w:t>，并加热至（95-100）°C，共30次循环，每一循环至少8h，温度稳定时间至少2h，冷却时间至少3h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恒压负荷循环试验（线芯注水）</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在电缆端部通过导体注水，保持中间接头导体处于1m的水压，施加电压2.5</w:t>
            </w:r>
            <w:r>
              <w:rPr>
                <w:i/>
                <w:sz w:val="18"/>
                <w:szCs w:val="18"/>
                <w:highlight w:val="none"/>
              </w:rPr>
              <w:t>U</w:t>
            </w:r>
            <w:r>
              <w:rPr>
                <w:sz w:val="18"/>
                <w:szCs w:val="18"/>
                <w:highlight w:val="none"/>
                <w:vertAlign w:val="subscript"/>
              </w:rPr>
              <w:t>0</w:t>
            </w:r>
            <w:r>
              <w:rPr>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在1.73</w:t>
            </w:r>
            <w:r>
              <w:rPr>
                <w:i/>
                <w:sz w:val="18"/>
                <w:szCs w:val="18"/>
                <w:highlight w:val="none"/>
              </w:rPr>
              <w:t>U</w:t>
            </w:r>
            <w:r>
              <w:rPr>
                <w:sz w:val="18"/>
                <w:szCs w:val="18"/>
                <w:highlight w:val="none"/>
                <w:vertAlign w:val="subscript"/>
              </w:rPr>
              <w:t>0</w:t>
            </w:r>
            <w:r>
              <w:rPr>
                <w:sz w:val="18"/>
                <w:szCs w:val="18"/>
                <w:highlight w:val="none"/>
              </w:rPr>
              <w:t>下</w:t>
            </w:r>
            <w:r>
              <w:rPr>
                <w:color w:val="000000"/>
                <w:sz w:val="18"/>
                <w:szCs w:val="18"/>
                <w:highlight w:val="none"/>
              </w:rPr>
              <w:t>局部放电（在导体最高温加5-10°C下和环境温度下），不大于（</w:t>
            </w:r>
            <w:r>
              <w:rPr>
                <w:rFonts w:hint="eastAsia"/>
                <w:color w:val="000000"/>
                <w:sz w:val="18"/>
                <w:szCs w:val="18"/>
                <w:highlight w:val="none"/>
                <w:lang w:eastAsia="zh-CN"/>
              </w:rPr>
              <w:t>pC</w:t>
            </w:r>
            <w:r>
              <w:rPr>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数值</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2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在电缆屏蔽的</w:t>
            </w:r>
            <w:r>
              <w:rPr>
                <w:i/>
                <w:sz w:val="18"/>
                <w:szCs w:val="18"/>
                <w:highlight w:val="none"/>
              </w:rPr>
              <w:t>I</w:t>
            </w:r>
            <w:r>
              <w:rPr>
                <w:sz w:val="18"/>
                <w:szCs w:val="18"/>
                <w:highlight w:val="none"/>
                <w:vertAlign w:val="subscript"/>
              </w:rPr>
              <w:t>sc</w:t>
            </w:r>
            <w:r>
              <w:rPr>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54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升高到电缆导体的</w:t>
            </w:r>
            <w:r>
              <w:rPr>
                <w:i/>
                <w:sz w:val="18"/>
                <w:szCs w:val="18"/>
                <w:highlight w:val="none"/>
              </w:rPr>
              <w:t>θ</w:t>
            </w:r>
            <w:r>
              <w:rPr>
                <w:sz w:val="18"/>
                <w:szCs w:val="18"/>
                <w:highlight w:val="none"/>
                <w:vertAlign w:val="subscript"/>
              </w:rPr>
              <w:t>sc</w:t>
            </w:r>
            <w:r>
              <w:rPr>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在</w:t>
            </w:r>
            <w:r>
              <w:rPr>
                <w:i/>
                <w:sz w:val="18"/>
                <w:szCs w:val="18"/>
                <w:highlight w:val="none"/>
              </w:rPr>
              <w:t>I</w:t>
            </w:r>
            <w:r>
              <w:rPr>
                <w:sz w:val="18"/>
                <w:szCs w:val="18"/>
                <w:highlight w:val="none"/>
                <w:vertAlign w:val="subscript"/>
              </w:rPr>
              <w:t>d</w:t>
            </w:r>
            <w:r>
              <w:rPr>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1127"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r>
              <w:rPr>
                <w:i/>
                <w:sz w:val="18"/>
                <w:szCs w:val="18"/>
                <w:highlight w:val="none"/>
              </w:rPr>
              <w:t>U</w:t>
            </w:r>
            <w:r>
              <w:rPr>
                <w:sz w:val="18"/>
                <w:szCs w:val="18"/>
                <w:highlight w:val="none"/>
                <w:vertAlign w:val="subscript"/>
              </w:rPr>
              <w:t>0</w:t>
            </w:r>
            <w:r>
              <w:rPr>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主要结构尺寸</w:t>
            </w:r>
            <w:r>
              <w:rPr>
                <w:bCs/>
                <w:sz w:val="18"/>
                <w:szCs w:val="18"/>
                <w:highlight w:val="none"/>
              </w:rPr>
              <w:t>（通用部分“表E.1</w:t>
            </w:r>
            <w:r>
              <w:rPr>
                <w:rFonts w:hint="eastAsia"/>
                <w:bCs/>
                <w:sz w:val="18"/>
                <w:szCs w:val="18"/>
                <w:highlight w:val="none"/>
              </w:rPr>
              <w:t>冷缩电缆中间接头主体结构尺寸要求</w:t>
            </w:r>
            <w:r>
              <w:rPr>
                <w:bCs/>
                <w:sz w:val="18"/>
                <w:szCs w:val="18"/>
                <w:highlight w:val="none"/>
              </w:rPr>
              <w:t>”）</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Cs/>
                <w:sz w:val="18"/>
                <w:szCs w:val="18"/>
                <w:highlight w:val="none"/>
              </w:rPr>
              <w:t>中间头扩张前整体长度L</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6.1.4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Cs/>
                <w:sz w:val="18"/>
                <w:szCs w:val="18"/>
                <w:highlight w:val="none"/>
              </w:rPr>
              <w:t>冷缩屏蔽管长度C</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6.2.4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185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Cs/>
                <w:sz w:val="18"/>
                <w:szCs w:val="18"/>
                <w:highlight w:val="none"/>
              </w:rPr>
              <w:t>中间头厚度（扩张前）e</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6.3.1</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对应70mm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6.3.2</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对应120mm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6.3.3</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对应300mm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6.3.4</w:t>
            </w:r>
          </w:p>
        </w:tc>
        <w:tc>
          <w:tcPr>
            <w:tcW w:w="2540" w:type="dxa"/>
            <w:tcBorders>
              <w:top w:val="single" w:color="000000" w:sz="4" w:space="0"/>
              <w:left w:val="single" w:color="000000" w:sz="4" w:space="0"/>
              <w:bottom w:val="single" w:color="000000" w:sz="4" w:space="0"/>
              <w:right w:val="single" w:color="000000" w:sz="4" w:space="0"/>
            </w:tcBorders>
          </w:tcPr>
          <w:p>
            <w:pPr>
              <w:ind w:firstLine="0" w:firstLineChars="0"/>
              <w:jc w:val="left"/>
              <w:rPr>
                <w:sz w:val="18"/>
                <w:szCs w:val="18"/>
                <w:highlight w:val="none"/>
              </w:rPr>
            </w:pPr>
            <w:r>
              <w:rPr>
                <w:sz w:val="18"/>
                <w:szCs w:val="18"/>
                <w:highlight w:val="none"/>
              </w:rPr>
              <w:t>对应400mm</w:t>
            </w:r>
            <w:r>
              <w:rPr>
                <w:sz w:val="18"/>
                <w:szCs w:val="18"/>
                <w:highlight w:val="none"/>
                <w:vertAlign w:val="superscript"/>
              </w:rPr>
              <w:t>2</w:t>
            </w:r>
            <w:r>
              <w:rPr>
                <w:sz w:val="18"/>
                <w:szCs w:val="18"/>
                <w:highlight w:val="none"/>
              </w:rPr>
              <w:t>截面，不小于（mm）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Cs/>
                <w:sz w:val="18"/>
                <w:szCs w:val="18"/>
                <w:highlight w:val="none"/>
              </w:rPr>
              <w:t>内绝缘爬电距离L3</w:t>
            </w:r>
            <w:r>
              <w:rPr>
                <w:sz w:val="18"/>
                <w:szCs w:val="18"/>
                <w:highlight w:val="none"/>
              </w:rPr>
              <w:t>，不小于（mm）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75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四</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b/>
                <w:sz w:val="18"/>
                <w:szCs w:val="18"/>
                <w:highlight w:val="none"/>
              </w:rPr>
              <w:t>可分离连接器</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型号</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SYLJ 8.7/15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额定电流（A）</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截面积</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3×120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rPr>
                <w:sz w:val="18"/>
                <w:szCs w:val="18"/>
                <w:highlight w:val="none"/>
              </w:rPr>
            </w:pPr>
            <w:r>
              <w:rPr>
                <w:sz w:val="18"/>
                <w:szCs w:val="18"/>
                <w:highlight w:val="none"/>
              </w:rPr>
              <w:t>标称截面积（mm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sz w:val="18"/>
                <w:szCs w:val="18"/>
                <w:highlight w:val="none"/>
              </w:rPr>
            </w:pPr>
            <w:r>
              <w:rPr>
                <w:sz w:val="18"/>
                <w:szCs w:val="18"/>
                <w:highlight w:val="none"/>
              </w:rPr>
              <w:t>3×400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设计文件</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试验性能要求</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交流耐压和直流耐压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4.5</w:t>
            </w:r>
            <w:r>
              <w:rPr>
                <w:i/>
                <w:color w:val="000000"/>
                <w:sz w:val="18"/>
                <w:szCs w:val="18"/>
                <w:highlight w:val="none"/>
              </w:rPr>
              <w:t>U</w:t>
            </w:r>
            <w:r>
              <w:rPr>
                <w:color w:val="000000"/>
                <w:sz w:val="18"/>
                <w:szCs w:val="18"/>
                <w:highlight w:val="none"/>
                <w:vertAlign w:val="subscript"/>
              </w:rPr>
              <w:t>0</w:t>
            </w:r>
            <w:r>
              <w:rPr>
                <w:color w:val="000000"/>
                <w:sz w:val="18"/>
                <w:szCs w:val="18"/>
                <w:highlight w:val="none"/>
              </w:rPr>
              <w:t>，5min（交流）；4</w:t>
            </w:r>
            <w:r>
              <w:rPr>
                <w:i/>
                <w:color w:val="000000"/>
                <w:sz w:val="18"/>
                <w:szCs w:val="18"/>
                <w:highlight w:val="none"/>
              </w:rPr>
              <w:t>U</w:t>
            </w:r>
            <w:r>
              <w:rPr>
                <w:color w:val="000000"/>
                <w:sz w:val="18"/>
                <w:szCs w:val="18"/>
                <w:highlight w:val="none"/>
                <w:vertAlign w:val="subscript"/>
              </w:rPr>
              <w:t>0</w:t>
            </w:r>
            <w:r>
              <w:rPr>
                <w:color w:val="000000"/>
                <w:sz w:val="18"/>
                <w:szCs w:val="18"/>
                <w:highlight w:val="none"/>
              </w:rPr>
              <w:t>，15min（直流）；不击穿</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在1.73</w:t>
            </w:r>
            <w:r>
              <w:rPr>
                <w:i/>
                <w:color w:val="000000"/>
                <w:sz w:val="18"/>
                <w:szCs w:val="18"/>
                <w:highlight w:val="none"/>
              </w:rPr>
              <w:t>U</w:t>
            </w:r>
            <w:r>
              <w:rPr>
                <w:color w:val="000000"/>
                <w:sz w:val="18"/>
                <w:szCs w:val="18"/>
                <w:highlight w:val="none"/>
                <w:vertAlign w:val="subscript"/>
              </w:rPr>
              <w:t>0</w:t>
            </w:r>
            <w:r>
              <w:rPr>
                <w:color w:val="000000"/>
                <w:sz w:val="18"/>
                <w:szCs w:val="18"/>
                <w:highlight w:val="none"/>
              </w:rPr>
              <w:t>下局部放电，不大于（</w:t>
            </w:r>
            <w:r>
              <w:rPr>
                <w:rFonts w:hint="eastAsia"/>
                <w:color w:val="000000"/>
                <w:sz w:val="18"/>
                <w:szCs w:val="18"/>
                <w:highlight w:val="none"/>
                <w:lang w:eastAsia="zh-CN"/>
              </w:rPr>
              <w:t>pC</w:t>
            </w:r>
            <w:r>
              <w:rPr>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数值</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冲击电压试验（在导体最高温加5-10°C下）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恒压负荷循环试验（在空气中）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施加电压2.5</w:t>
            </w:r>
            <w:r>
              <w:rPr>
                <w:i/>
                <w:color w:val="000000"/>
                <w:sz w:val="18"/>
                <w:szCs w:val="18"/>
                <w:highlight w:val="none"/>
              </w:rPr>
              <w:t>U</w:t>
            </w:r>
            <w:r>
              <w:rPr>
                <w:color w:val="000000"/>
                <w:sz w:val="18"/>
                <w:szCs w:val="18"/>
                <w:highlight w:val="none"/>
                <w:vertAlign w:val="subscript"/>
              </w:rPr>
              <w:t>0</w:t>
            </w:r>
            <w:r>
              <w:rPr>
                <w:color w:val="000000"/>
                <w:sz w:val="18"/>
                <w:szCs w:val="18"/>
                <w:highlight w:val="none"/>
              </w:rPr>
              <w:t>，并加热导体至（95-100）°C，共30次循环，每一循环至少8h，温度稳定时间至少2h，冷却时间至少3h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恒压负荷循环试验（在水中）</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施加电压2.5</w:t>
            </w:r>
            <w:r>
              <w:rPr>
                <w:i/>
                <w:color w:val="000000"/>
                <w:sz w:val="18"/>
                <w:szCs w:val="18"/>
                <w:highlight w:val="none"/>
              </w:rPr>
              <w:t>U</w:t>
            </w:r>
            <w:r>
              <w:rPr>
                <w:color w:val="000000"/>
                <w:sz w:val="18"/>
                <w:szCs w:val="18"/>
                <w:highlight w:val="none"/>
                <w:vertAlign w:val="subscript"/>
              </w:rPr>
              <w:t>0</w:t>
            </w:r>
            <w:r>
              <w:rPr>
                <w:color w:val="000000"/>
                <w:sz w:val="18"/>
                <w:szCs w:val="18"/>
                <w:highlight w:val="none"/>
              </w:rPr>
              <w:t>，并加热至（95-100）°C，共30次循环。每一循环至少8h，温度稳定时间至少2h，冷却时间至少3h</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在1.73</w:t>
            </w:r>
            <w:r>
              <w:rPr>
                <w:i/>
                <w:color w:val="000000"/>
                <w:sz w:val="18"/>
                <w:szCs w:val="18"/>
                <w:highlight w:val="none"/>
              </w:rPr>
              <w:t>U</w:t>
            </w:r>
            <w:r>
              <w:rPr>
                <w:color w:val="000000"/>
                <w:sz w:val="18"/>
                <w:szCs w:val="18"/>
                <w:highlight w:val="none"/>
                <w:vertAlign w:val="subscript"/>
              </w:rPr>
              <w:t>0</w:t>
            </w:r>
            <w:r>
              <w:rPr>
                <w:color w:val="000000"/>
                <w:sz w:val="18"/>
                <w:szCs w:val="18"/>
                <w:highlight w:val="none"/>
              </w:rPr>
              <w:t>下局部放电（在导体最高温加5-10°C下和环境温度下），不大于（</w:t>
            </w:r>
            <w:r>
              <w:rPr>
                <w:rFonts w:hint="eastAsia"/>
                <w:color w:val="000000"/>
                <w:sz w:val="18"/>
                <w:szCs w:val="18"/>
                <w:highlight w:val="none"/>
                <w:lang w:eastAsia="zh-CN"/>
              </w:rPr>
              <w:t>pC</w:t>
            </w:r>
            <w:r>
              <w:rPr>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数值</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短路热稳定（屏蔽）</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在电缆屏蔽的</w:t>
            </w:r>
            <w:r>
              <w:rPr>
                <w:i/>
                <w:color w:val="000000"/>
                <w:sz w:val="18"/>
                <w:szCs w:val="18"/>
                <w:highlight w:val="none"/>
              </w:rPr>
              <w:t>I</w:t>
            </w:r>
            <w:r>
              <w:rPr>
                <w:color w:val="000000"/>
                <w:sz w:val="18"/>
                <w:szCs w:val="18"/>
                <w:highlight w:val="none"/>
                <w:vertAlign w:val="subscript"/>
              </w:rPr>
              <w:t>sc</w:t>
            </w:r>
            <w:r>
              <w:rPr>
                <w:color w:val="000000"/>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短路热稳定（导体）</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升高到电缆导体的</w:t>
            </w:r>
            <w:r>
              <w:rPr>
                <w:i/>
                <w:color w:val="000000"/>
                <w:sz w:val="18"/>
                <w:szCs w:val="18"/>
                <w:highlight w:val="none"/>
              </w:rPr>
              <w:t>θ</w:t>
            </w:r>
            <w:r>
              <w:rPr>
                <w:color w:val="000000"/>
                <w:sz w:val="18"/>
                <w:szCs w:val="18"/>
                <w:highlight w:val="none"/>
                <w:vertAlign w:val="subscript"/>
              </w:rPr>
              <w:t>sc</w:t>
            </w:r>
            <w:r>
              <w:rPr>
                <w:color w:val="000000"/>
                <w:sz w:val="18"/>
                <w:szCs w:val="18"/>
                <w:highlight w:val="none"/>
              </w:rPr>
              <w:t>下，短路2次，无可见损伤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短路动稳定</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在</w:t>
            </w:r>
            <w:r>
              <w:rPr>
                <w:i/>
                <w:color w:val="000000"/>
                <w:sz w:val="18"/>
                <w:szCs w:val="18"/>
                <w:highlight w:val="none"/>
              </w:rPr>
              <w:t>I</w:t>
            </w:r>
            <w:r>
              <w:rPr>
                <w:color w:val="000000"/>
                <w:sz w:val="18"/>
                <w:szCs w:val="18"/>
                <w:highlight w:val="none"/>
                <w:vertAlign w:val="subscript"/>
              </w:rPr>
              <w:t>d</w:t>
            </w:r>
            <w:r>
              <w:rPr>
                <w:color w:val="000000"/>
                <w:sz w:val="18"/>
                <w:szCs w:val="18"/>
                <w:highlight w:val="none"/>
              </w:rPr>
              <w:t>下，短路1次，无可见损伤</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冲击电压试验</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95kV，每个极性冲击10次</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交流耐压</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2.5</w:t>
            </w:r>
            <w:r>
              <w:rPr>
                <w:i/>
                <w:color w:val="000000"/>
                <w:sz w:val="18"/>
                <w:szCs w:val="18"/>
                <w:highlight w:val="none"/>
              </w:rPr>
              <w:t>U</w:t>
            </w:r>
            <w:r>
              <w:rPr>
                <w:color w:val="000000"/>
                <w:sz w:val="18"/>
                <w:szCs w:val="18"/>
                <w:highlight w:val="none"/>
                <w:vertAlign w:val="subscript"/>
              </w:rPr>
              <w:t>0</w:t>
            </w:r>
            <w:r>
              <w:rPr>
                <w:color w:val="000000"/>
                <w:sz w:val="18"/>
                <w:szCs w:val="18"/>
                <w:highlight w:val="none"/>
              </w:rPr>
              <w:t>，15min.</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文本</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屏蔽电阻，不大于（kΩ）</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4.13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在</w:t>
            </w:r>
            <w:r>
              <w:rPr>
                <w:i/>
                <w:color w:val="000000"/>
                <w:sz w:val="18"/>
                <w:szCs w:val="18"/>
                <w:highlight w:val="none"/>
              </w:rPr>
              <w:t>U</w:t>
            </w:r>
            <w:r>
              <w:rPr>
                <w:color w:val="000000"/>
                <w:sz w:val="18"/>
                <w:szCs w:val="18"/>
                <w:highlight w:val="none"/>
                <w:vertAlign w:val="subscript"/>
              </w:rPr>
              <w:t>m</w:t>
            </w:r>
            <w:r>
              <w:rPr>
                <w:color w:val="000000"/>
                <w:sz w:val="18"/>
                <w:szCs w:val="18"/>
                <w:highlight w:val="none"/>
              </w:rPr>
              <w:t>下屏蔽泄漏电流，不大于（mA）</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bCs/>
                <w:kern w:val="0"/>
                <w:szCs w:val="21"/>
                <w:highlight w:val="none"/>
              </w:rPr>
              <w:t>投标人填写（</w:t>
            </w:r>
            <w:r>
              <w:rPr>
                <w:kern w:val="0"/>
                <w:szCs w:val="21"/>
                <w:highlight w:val="none"/>
              </w:rPr>
              <w:t>数值</w:t>
            </w:r>
            <w:r>
              <w:rPr>
                <w:bCs/>
                <w:kern w:val="0"/>
                <w:szCs w:val="21"/>
                <w:highlight w:val="none"/>
              </w:rPr>
              <w:t>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型式试验报告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主要结构尺寸</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前接式可分离连接器</w:t>
            </w:r>
            <w:r>
              <w:rPr>
                <w:bCs/>
                <w:sz w:val="18"/>
                <w:szCs w:val="18"/>
                <w:highlight w:val="none"/>
              </w:rPr>
              <w:t>（通用部分</w:t>
            </w:r>
            <w:r>
              <w:rPr>
                <w:rFonts w:hint="eastAsia"/>
                <w:bCs/>
                <w:sz w:val="18"/>
                <w:szCs w:val="18"/>
                <w:highlight w:val="none"/>
                <w:lang w:eastAsia="zh-CN"/>
              </w:rPr>
              <w:t>“</w:t>
            </w:r>
            <w:r>
              <w:rPr>
                <w:bCs/>
                <w:sz w:val="18"/>
                <w:szCs w:val="18"/>
                <w:highlight w:val="none"/>
              </w:rPr>
              <w:t>表F.1  10kV可分离连接器前接头主体结构尺寸要求</w:t>
            </w:r>
            <w:r>
              <w:rPr>
                <w:rFonts w:hint="eastAsia"/>
                <w:bCs/>
                <w:sz w:val="18"/>
                <w:szCs w:val="18"/>
                <w:highlight w:val="none"/>
                <w:lang w:eastAsia="zh-CN"/>
              </w:rPr>
              <w:t>”</w:t>
            </w:r>
            <w:r>
              <w:rPr>
                <w:bCs/>
                <w:sz w:val="18"/>
                <w:szCs w:val="18"/>
                <w:highlight w:val="none"/>
              </w:rPr>
              <w:t>）</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L1，（mm）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94</w:t>
            </w:r>
            <w:r>
              <w:rPr>
                <w:rFonts w:hint="eastAsia"/>
                <w:sz w:val="18"/>
                <w:szCs w:val="18"/>
                <w:highlight w:val="none"/>
                <w:lang w:val="en-US" w:eastAsia="zh-CN"/>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L2，（mm）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54.5</w:t>
            </w:r>
            <w:r>
              <w:rPr>
                <w:rFonts w:hint="eastAsia"/>
                <w:sz w:val="18"/>
                <w:szCs w:val="18"/>
                <w:highlight w:val="none"/>
                <w:lang w:val="en-US" w:eastAsia="zh-CN"/>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rFonts w:hint="eastAsia"/>
                <w:color w:val="000000"/>
                <w:sz w:val="18"/>
                <w:szCs w:val="18"/>
                <w:highlight w:val="none"/>
              </w:rPr>
              <w:t>L</w:t>
            </w:r>
            <w:r>
              <w:rPr>
                <w:color w:val="000000"/>
                <w:sz w:val="18"/>
                <w:szCs w:val="18"/>
                <w:highlight w:val="none"/>
              </w:rPr>
              <w:t>3</w:t>
            </w:r>
            <w:r>
              <w:rPr>
                <w:rFonts w:hint="eastAsia"/>
                <w:color w:val="000000"/>
                <w:sz w:val="18"/>
                <w:szCs w:val="18"/>
                <w:highlight w:val="none"/>
              </w:rPr>
              <w:t>，（m</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color w:val="000000"/>
                <w:sz w:val="18"/>
                <w:szCs w:val="18"/>
                <w:highlight w:val="none"/>
                <w:lang w:val="en-US"/>
              </w:rPr>
            </w:pPr>
            <w:r>
              <w:rPr>
                <w:rFonts w:hint="eastAsia"/>
                <w:color w:val="000000"/>
                <w:sz w:val="18"/>
                <w:szCs w:val="18"/>
                <w:highlight w:val="none"/>
              </w:rPr>
              <w:t>1</w:t>
            </w:r>
            <w:r>
              <w:rPr>
                <w:color w:val="000000"/>
                <w:sz w:val="18"/>
                <w:szCs w:val="18"/>
                <w:highlight w:val="none"/>
              </w:rPr>
              <w:t>0</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L4</w:t>
            </w:r>
            <w:r>
              <w:rPr>
                <w:rFonts w:hint="eastAsia"/>
                <w:color w:val="000000"/>
                <w:sz w:val="18"/>
                <w:szCs w:val="18"/>
                <w:highlight w:val="none"/>
              </w:rPr>
              <w:t>，（m</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rFonts w:hint="eastAsia"/>
                <w:color w:val="000000"/>
                <w:sz w:val="18"/>
                <w:szCs w:val="18"/>
                <w:highlight w:val="none"/>
              </w:rPr>
              <w:t>1</w:t>
            </w:r>
            <w:r>
              <w:rPr>
                <w:color w:val="000000"/>
                <w:sz w:val="18"/>
                <w:szCs w:val="18"/>
                <w:highlight w:val="none"/>
              </w:rPr>
              <w:t>0</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40</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50.5</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37</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D4，（mm）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45</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5.1.9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1.8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后接式可分离连接器</w:t>
            </w:r>
            <w:r>
              <w:rPr>
                <w:bCs/>
                <w:sz w:val="18"/>
                <w:szCs w:val="18"/>
                <w:highlight w:val="none"/>
              </w:rPr>
              <w:t>（通用部分</w:t>
            </w:r>
            <w:r>
              <w:rPr>
                <w:rFonts w:hint="eastAsia"/>
                <w:bCs/>
                <w:sz w:val="18"/>
                <w:szCs w:val="18"/>
                <w:highlight w:val="none"/>
                <w:lang w:eastAsia="zh-CN"/>
              </w:rPr>
              <w:t>“</w:t>
            </w:r>
            <w:r>
              <w:rPr>
                <w:bCs/>
                <w:sz w:val="18"/>
                <w:szCs w:val="18"/>
                <w:highlight w:val="none"/>
              </w:rPr>
              <w:t>表F.1  10kV可分离连接器前接头主体结构尺寸要求</w:t>
            </w:r>
            <w:r>
              <w:rPr>
                <w:rFonts w:hint="eastAsia"/>
                <w:bCs/>
                <w:sz w:val="18"/>
                <w:szCs w:val="18"/>
                <w:highlight w:val="none"/>
                <w:lang w:eastAsia="zh-CN"/>
              </w:rPr>
              <w:t>”</w:t>
            </w:r>
            <w:r>
              <w:rPr>
                <w:bCs/>
                <w:sz w:val="18"/>
                <w:szCs w:val="18"/>
                <w:highlight w:val="none"/>
              </w:rPr>
              <w:t>）</w:t>
            </w: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L1，（mm）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52</w:t>
            </w:r>
            <w:r>
              <w:rPr>
                <w:rFonts w:hint="eastAsia"/>
                <w:sz w:val="18"/>
                <w:szCs w:val="18"/>
                <w:highlight w:val="none"/>
                <w:lang w:val="en-US" w:eastAsia="zh-CN"/>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L2，（mm）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54.5</w:t>
            </w:r>
            <w:r>
              <w:rPr>
                <w:rFonts w:hint="eastAsia"/>
                <w:sz w:val="18"/>
                <w:szCs w:val="18"/>
                <w:highlight w:val="none"/>
                <w:lang w:val="en-US" w:eastAsia="zh-CN"/>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rFonts w:hint="eastAsia"/>
                <w:color w:val="000000"/>
                <w:sz w:val="18"/>
                <w:szCs w:val="18"/>
                <w:highlight w:val="none"/>
              </w:rPr>
              <w:t>L</w:t>
            </w:r>
            <w:r>
              <w:rPr>
                <w:color w:val="000000"/>
                <w:sz w:val="18"/>
                <w:szCs w:val="18"/>
                <w:highlight w:val="none"/>
              </w:rPr>
              <w:t>3</w:t>
            </w:r>
            <w:r>
              <w:rPr>
                <w:rFonts w:hint="eastAsia"/>
                <w:color w:val="000000"/>
                <w:sz w:val="18"/>
                <w:szCs w:val="18"/>
                <w:highlight w:val="none"/>
              </w:rPr>
              <w:t>，（m</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hint="default"/>
                <w:color w:val="000000"/>
                <w:sz w:val="18"/>
                <w:szCs w:val="18"/>
                <w:highlight w:val="none"/>
                <w:lang w:val="en-US"/>
              </w:rPr>
            </w:pPr>
            <w:r>
              <w:rPr>
                <w:rFonts w:hint="eastAsia"/>
                <w:color w:val="000000"/>
                <w:sz w:val="18"/>
                <w:szCs w:val="18"/>
                <w:highlight w:val="none"/>
              </w:rPr>
              <w:t>1</w:t>
            </w:r>
            <w:r>
              <w:rPr>
                <w:color w:val="000000"/>
                <w:sz w:val="18"/>
                <w:szCs w:val="18"/>
                <w:highlight w:val="none"/>
              </w:rPr>
              <w:t>0</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D1，（mm）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42</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D2，（mm）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50</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D3，（mm）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37</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D4，（mm）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45</w:t>
            </w:r>
            <w:r>
              <w:rPr>
                <w:rFonts w:hint="eastAsia"/>
                <w:sz w:val="18"/>
                <w:szCs w:val="18"/>
                <w:highlight w:val="none"/>
                <w:lang w:val="en-US" w:eastAsia="zh-CN"/>
              </w:rPr>
              <w:t>±0.5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3"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color w:val="000000"/>
                <w:sz w:val="18"/>
                <w:szCs w:val="18"/>
                <w:highlight w:val="none"/>
              </w:rPr>
              <w:t>5.2.8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color w:val="000000"/>
                <w:sz w:val="18"/>
                <w:szCs w:val="18"/>
                <w:highlight w:val="none"/>
              </w:rPr>
            </w:pPr>
            <w:r>
              <w:rPr>
                <w:color w:val="000000"/>
                <w:sz w:val="18"/>
                <w:szCs w:val="18"/>
                <w:highlight w:val="none"/>
              </w:rPr>
              <w:t>d，不小于（mm）</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000000"/>
                <w:sz w:val="18"/>
                <w:szCs w:val="18"/>
                <w:highlight w:val="none"/>
              </w:rPr>
            </w:pPr>
            <w:r>
              <w:rPr>
                <w:sz w:val="18"/>
                <w:szCs w:val="18"/>
                <w:highlight w:val="none"/>
              </w:rPr>
              <w:t>1.8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设计图纸</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五</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
                <w:sz w:val="18"/>
                <w:szCs w:val="18"/>
                <w:highlight w:val="none"/>
              </w:rPr>
            </w:pPr>
            <w:r>
              <w:rPr>
                <w:b/>
                <w:sz w:val="18"/>
                <w:szCs w:val="18"/>
                <w:highlight w:val="none"/>
              </w:rPr>
              <w:t>冷缩电缆附件液体硅胶橡胶材料</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冷缩电缆附件液体硅胶橡胶绝缘料</w:t>
            </w: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老化前抗张强度，不小于（N/ mm</w:t>
            </w:r>
            <w:r>
              <w:rPr>
                <w:sz w:val="18"/>
                <w:szCs w:val="18"/>
                <w:highlight w:val="none"/>
                <w:vertAlign w:val="superscript"/>
              </w:rPr>
              <w:t>2</w:t>
            </w:r>
            <w:r>
              <w:rPr>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老化前断裂伸长率，不小于（%）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老化前硬度，邵氏A，小大于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color w:val="000000"/>
                <w:sz w:val="18"/>
                <w:szCs w:val="18"/>
                <w:highlight w:val="none"/>
              </w:rPr>
            </w:pPr>
            <w:r>
              <w:rPr>
                <w:color w:val="000000"/>
                <w:sz w:val="18"/>
                <w:szCs w:val="18"/>
                <w:highlight w:val="none"/>
              </w:rPr>
              <w:t>抗撕裂强度，不小于（N/mm）</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color w:val="000000"/>
                <w:sz w:val="18"/>
                <w:szCs w:val="18"/>
                <w:highlight w:val="none"/>
              </w:rPr>
            </w:pPr>
            <w:r>
              <w:rPr>
                <w:color w:val="000000"/>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sz w:val="18"/>
                <w:szCs w:val="18"/>
                <w:highlight w:val="none"/>
              </w:rPr>
            </w:pPr>
            <w:r>
              <w:rPr>
                <w:sz w:val="18"/>
                <w:szCs w:val="18"/>
                <w:highlight w:val="none"/>
              </w:rPr>
              <w:t>拉伸永久变形，不大于（%）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空气箱老化后（135℃±3℃，7d）抗张强度变化率</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空气箱老化后（135℃±3℃，7d）伸长率的变化率</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1.8</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体积电阻率（23℃）</w:t>
            </w:r>
            <w:r>
              <w:rPr>
                <w:rFonts w:hint="eastAsia"/>
                <w:sz w:val="18"/>
                <w:szCs w:val="18"/>
                <w:highlight w:val="none"/>
              </w:rPr>
              <w:t>，不小于（</w:t>
            </w:r>
            <w:r>
              <w:rPr>
                <w:sz w:val="18"/>
                <w:szCs w:val="18"/>
                <w:highlight w:val="none"/>
              </w:rPr>
              <w:t>Ω·cm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1.0×10</w:t>
            </w:r>
            <w:r>
              <w:rPr>
                <w:sz w:val="18"/>
                <w:szCs w:val="18"/>
                <w:highlight w:val="none"/>
                <w:vertAlign w:val="superscript"/>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0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1.9</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color w:val="000000"/>
                <w:sz w:val="18"/>
                <w:szCs w:val="18"/>
                <w:highlight w:val="none"/>
              </w:rPr>
              <w:t>tgδ（50Hz)</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4.0×10</w:t>
            </w:r>
            <w:r>
              <w:rPr>
                <w:sz w:val="18"/>
                <w:szCs w:val="18"/>
                <w:highlight w:val="none"/>
                <w:vertAlign w:val="superscript"/>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1.10</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rFonts w:hint="eastAsia"/>
                <w:sz w:val="18"/>
                <w:szCs w:val="18"/>
                <w:highlight w:val="none"/>
              </w:rPr>
              <w:t>相对</w:t>
            </w:r>
            <w:r>
              <w:rPr>
                <w:sz w:val="18"/>
                <w:szCs w:val="18"/>
                <w:highlight w:val="none"/>
              </w:rPr>
              <w:t>介电常数</w:t>
            </w:r>
            <w:r>
              <w:rPr>
                <w:color w:val="000000"/>
                <w:sz w:val="18"/>
                <w:szCs w:val="18"/>
                <w:highlight w:val="none"/>
              </w:rPr>
              <w:t>（50Hz)</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2.8～3.5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1.11</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color w:val="000000"/>
                <w:sz w:val="18"/>
                <w:szCs w:val="18"/>
                <w:highlight w:val="none"/>
              </w:rPr>
            </w:pPr>
            <w:r>
              <w:rPr>
                <w:color w:val="000000"/>
                <w:sz w:val="18"/>
                <w:szCs w:val="18"/>
                <w:highlight w:val="none"/>
              </w:rPr>
              <w:t>抗漏电痕迹</w:t>
            </w:r>
            <w:r>
              <w:rPr>
                <w:rFonts w:hint="eastAsia"/>
                <w:color w:val="000000"/>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1A3.5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1.12</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color w:val="000000"/>
                <w:sz w:val="18"/>
                <w:szCs w:val="18"/>
                <w:highlight w:val="none"/>
              </w:rPr>
            </w:pPr>
            <w:r>
              <w:rPr>
                <w:color w:val="000000"/>
                <w:sz w:val="18"/>
                <w:szCs w:val="18"/>
                <w:highlight w:val="none"/>
              </w:rPr>
              <w:t>短时工频击穿电场强度</w:t>
            </w:r>
            <w:r>
              <w:rPr>
                <w:rFonts w:hint="eastAsia"/>
                <w:color w:val="000000"/>
                <w:sz w:val="18"/>
                <w:szCs w:val="18"/>
                <w:highlight w:val="none"/>
              </w:rPr>
              <w:t>，不小于（</w:t>
            </w:r>
            <w:r>
              <w:rPr>
                <w:color w:val="000000"/>
                <w:sz w:val="18"/>
                <w:szCs w:val="18"/>
                <w:highlight w:val="none"/>
              </w:rPr>
              <w:t>kV/mm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color w:val="000000"/>
                <w:sz w:val="18"/>
                <w:szCs w:val="18"/>
                <w:highlight w:val="none"/>
              </w:rPr>
              <w:t>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4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冷缩电缆附件液体硅胶橡胶半导电料</w:t>
            </w: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老化前抗张强度</w:t>
            </w:r>
            <w:r>
              <w:rPr>
                <w:rFonts w:hint="eastAsia"/>
                <w:sz w:val="18"/>
                <w:szCs w:val="18"/>
                <w:highlight w:val="none"/>
              </w:rPr>
              <w:t>，不小于（</w:t>
            </w:r>
            <w:r>
              <w:rPr>
                <w:sz w:val="18"/>
                <w:szCs w:val="18"/>
                <w:highlight w:val="none"/>
              </w:rPr>
              <w:t>N/</w:t>
            </w:r>
            <w:r>
              <w:rPr>
                <w:color w:val="000000"/>
                <w:sz w:val="18"/>
                <w:szCs w:val="18"/>
                <w:highlight w:val="none"/>
              </w:rPr>
              <w:t xml:space="preserve"> mm</w:t>
            </w:r>
            <w:r>
              <w:rPr>
                <w:color w:val="000000"/>
                <w:sz w:val="18"/>
                <w:szCs w:val="18"/>
                <w:highlight w:val="none"/>
                <w:vertAlign w:val="superscript"/>
              </w:rPr>
              <w:t>2</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老化前断裂伸长率</w:t>
            </w:r>
            <w:r>
              <w:rPr>
                <w:rFonts w:hint="eastAsia"/>
                <w:sz w:val="18"/>
                <w:szCs w:val="18"/>
                <w:highlight w:val="none"/>
              </w:rPr>
              <w:t>，不小于（</w:t>
            </w:r>
            <w:r>
              <w:rPr>
                <w:sz w:val="18"/>
                <w:szCs w:val="18"/>
                <w:highlight w:val="none"/>
              </w:rPr>
              <w:t>%</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老化前硬度</w:t>
            </w:r>
            <w:r>
              <w:rPr>
                <w:rFonts w:hint="eastAsia"/>
                <w:sz w:val="18"/>
                <w:szCs w:val="18"/>
                <w:highlight w:val="none"/>
              </w:rPr>
              <w:t>（</w:t>
            </w:r>
            <w:r>
              <w:rPr>
                <w:sz w:val="18"/>
                <w:szCs w:val="18"/>
                <w:highlight w:val="none"/>
              </w:rPr>
              <w:t>邵氏A</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color w:val="000000"/>
                <w:sz w:val="18"/>
                <w:szCs w:val="18"/>
                <w:highlight w:val="none"/>
              </w:rPr>
            </w:pPr>
            <w:r>
              <w:rPr>
                <w:color w:val="000000"/>
                <w:sz w:val="18"/>
                <w:szCs w:val="18"/>
                <w:highlight w:val="none"/>
              </w:rPr>
              <w:t>抗撕裂强度</w:t>
            </w:r>
            <w:r>
              <w:rPr>
                <w:rFonts w:hint="eastAsia"/>
                <w:color w:val="000000"/>
                <w:sz w:val="18"/>
                <w:szCs w:val="18"/>
                <w:highlight w:val="none"/>
              </w:rPr>
              <w:t>，不小于（</w:t>
            </w:r>
            <w:r>
              <w:rPr>
                <w:color w:val="000000"/>
                <w:sz w:val="18"/>
                <w:szCs w:val="18"/>
                <w:highlight w:val="none"/>
              </w:rPr>
              <w:t>N/mm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color w:val="000000"/>
                <w:sz w:val="18"/>
                <w:szCs w:val="18"/>
                <w:highlight w:val="none"/>
              </w:rPr>
            </w:pPr>
            <w:r>
              <w:rPr>
                <w:color w:val="000000"/>
                <w:sz w:val="18"/>
                <w:szCs w:val="18"/>
                <w:highlight w:val="none"/>
              </w:rPr>
              <w:t>20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1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rPr>
                <w:sz w:val="18"/>
                <w:szCs w:val="18"/>
                <w:highlight w:val="none"/>
              </w:rPr>
            </w:pPr>
            <w:r>
              <w:rPr>
                <w:sz w:val="18"/>
                <w:szCs w:val="18"/>
                <w:highlight w:val="none"/>
              </w:rPr>
              <w:t>拉伸永久变形</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spacing w:line="240" w:lineRule="auto"/>
              <w:ind w:firstLine="0" w:firstLineChars="0"/>
              <w:jc w:val="center"/>
              <w:rPr>
                <w:sz w:val="18"/>
                <w:szCs w:val="18"/>
                <w:highlight w:val="none"/>
              </w:rPr>
            </w:pPr>
            <w:r>
              <w:rPr>
                <w:sz w:val="18"/>
                <w:szCs w:val="18"/>
                <w:highlight w:val="none"/>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空气箱老化后（135℃±3℃，7d）抗张强度变化率</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5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空气箱老化后（135℃±3℃，7d）伸长率的变化率</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体积电阻率（23℃）</w:t>
            </w:r>
            <w:r>
              <w:rPr>
                <w:rFonts w:hint="eastAsia"/>
                <w:sz w:val="18"/>
                <w:szCs w:val="18"/>
                <w:highlight w:val="none"/>
              </w:rPr>
              <w:t>，不大于（</w:t>
            </w:r>
            <w:r>
              <w:rPr>
                <w:sz w:val="18"/>
                <w:szCs w:val="18"/>
                <w:highlight w:val="none"/>
              </w:rPr>
              <w:t>Ω·cm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1.0×10</w:t>
            </w:r>
            <w:r>
              <w:rPr>
                <w:sz w:val="18"/>
                <w:szCs w:val="18"/>
                <w:highlight w:val="none"/>
                <w:vertAlign w:val="superscript"/>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六</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b/>
                <w:sz w:val="18"/>
                <w:szCs w:val="18"/>
                <w:highlight w:val="none"/>
              </w:rPr>
            </w:pPr>
            <w:r>
              <w:rPr>
                <w:b/>
                <w:sz w:val="18"/>
                <w:szCs w:val="18"/>
                <w:highlight w:val="none"/>
              </w:rPr>
              <w:t>可分离连接器橡胶件材料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可分离连接器用</w:t>
            </w:r>
            <w:r>
              <w:rPr>
                <w:sz w:val="18"/>
                <w:szCs w:val="18"/>
                <w:highlight w:val="none"/>
              </w:rPr>
              <w:t>液体</w:t>
            </w:r>
            <w:r>
              <w:rPr>
                <w:sz w:val="18"/>
                <w:szCs w:val="18"/>
                <w:highlight w:val="none"/>
              </w:rPr>
              <w:t>硅橡胶绝缘料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抗张强度</w:t>
            </w:r>
            <w:r>
              <w:rPr>
                <w:rFonts w:hint="eastAsia"/>
                <w:color w:val="000000"/>
                <w:sz w:val="18"/>
                <w:szCs w:val="18"/>
                <w:highlight w:val="none"/>
              </w:rPr>
              <w:t>，不小于（</w:t>
            </w:r>
            <w:r>
              <w:rPr>
                <w:color w:val="000000"/>
                <w:sz w:val="18"/>
                <w:szCs w:val="18"/>
                <w:highlight w:val="none"/>
              </w:rPr>
              <w:t>MPa</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断裂伸长率</w:t>
            </w:r>
            <w:r>
              <w:rPr>
                <w:rFonts w:hint="eastAsia"/>
                <w:color w:val="000000"/>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硬度（邵氏A）</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抗撕裂强度</w:t>
            </w:r>
            <w:r>
              <w:rPr>
                <w:rFonts w:hint="eastAsia"/>
                <w:color w:val="000000"/>
                <w:sz w:val="18"/>
                <w:szCs w:val="18"/>
                <w:highlight w:val="none"/>
              </w:rPr>
              <w:t>，不小于（</w:t>
            </w:r>
            <w:r>
              <w:rPr>
                <w:color w:val="000000"/>
                <w:sz w:val="18"/>
                <w:szCs w:val="18"/>
                <w:highlight w:val="none"/>
              </w:rPr>
              <w:t>N/mm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 xml:space="preserve">10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耐压强度</w:t>
            </w:r>
            <w:r>
              <w:rPr>
                <w:rFonts w:hint="eastAsia"/>
                <w:color w:val="000000"/>
                <w:sz w:val="18"/>
                <w:szCs w:val="18"/>
                <w:highlight w:val="none"/>
              </w:rPr>
              <w:t>，不小于（</w:t>
            </w:r>
            <w:r>
              <w:rPr>
                <w:color w:val="000000"/>
                <w:sz w:val="18"/>
                <w:szCs w:val="18"/>
                <w:highlight w:val="none"/>
              </w:rPr>
              <w:t>kV/mm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FF0000"/>
                <w:sz w:val="18"/>
                <w:szCs w:val="18"/>
                <w:highlight w:val="none"/>
              </w:rPr>
            </w:pPr>
            <w:r>
              <w:rPr>
                <w:color w:val="000000"/>
                <w:sz w:val="18"/>
                <w:szCs w:val="18"/>
                <w:highlight w:val="none"/>
              </w:rPr>
              <w:t xml:space="preserve">20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体积电阻率</w:t>
            </w:r>
            <w:r>
              <w:rPr>
                <w:rFonts w:hint="eastAsia"/>
                <w:color w:val="000000"/>
                <w:sz w:val="18"/>
                <w:szCs w:val="18"/>
                <w:highlight w:val="none"/>
                <w:lang w:eastAsia="zh-CN"/>
              </w:rPr>
              <w:t>（</w:t>
            </w:r>
            <w:r>
              <w:rPr>
                <w:rFonts w:hint="eastAsia"/>
                <w:color w:val="000000"/>
                <w:sz w:val="18"/>
                <w:szCs w:val="18"/>
                <w:highlight w:val="none"/>
                <w:lang w:val="en-US" w:eastAsia="zh-CN"/>
              </w:rPr>
              <w:t>23</w:t>
            </w:r>
            <w:r>
              <w:rPr>
                <w:rFonts w:hint="default"/>
                <w:sz w:val="18"/>
                <w:szCs w:val="18"/>
                <w:highlight w:val="none"/>
                <w:lang w:val="en-US" w:eastAsia="zh-CN"/>
              </w:rPr>
              <w:t>℃</w:t>
            </w:r>
            <w:r>
              <w:rPr>
                <w:rFonts w:hint="eastAsia"/>
                <w:color w:val="000000"/>
                <w:sz w:val="18"/>
                <w:szCs w:val="18"/>
                <w:highlight w:val="none"/>
                <w:lang w:eastAsia="zh-CN"/>
              </w:rPr>
              <w:t>）</w:t>
            </w:r>
            <w:r>
              <w:rPr>
                <w:rFonts w:hint="eastAsia"/>
                <w:color w:val="000000"/>
                <w:sz w:val="18"/>
                <w:szCs w:val="18"/>
                <w:highlight w:val="none"/>
              </w:rPr>
              <w:t>，不小于（</w:t>
            </w:r>
            <w:r>
              <w:rPr>
                <w:color w:val="000000"/>
                <w:sz w:val="18"/>
                <w:szCs w:val="18"/>
                <w:highlight w:val="none"/>
              </w:rPr>
              <w:t>Ω·</w:t>
            </w:r>
            <w:r>
              <w:rPr>
                <w:rFonts w:hint="eastAsia"/>
                <w:color w:val="000000"/>
                <w:sz w:val="18"/>
                <w:szCs w:val="18"/>
                <w:highlight w:val="none"/>
                <w:lang w:val="en-US" w:eastAsia="zh-CN"/>
              </w:rPr>
              <w:t>c</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eastAsia" w:eastAsia="宋体"/>
                <w:color w:val="000000"/>
                <w:sz w:val="18"/>
                <w:szCs w:val="18"/>
                <w:highlight w:val="none"/>
                <w:lang w:eastAsia="zh-CN"/>
              </w:rPr>
            </w:pPr>
            <w:r>
              <w:rPr>
                <w:color w:val="000000"/>
                <w:sz w:val="18"/>
                <w:szCs w:val="18"/>
                <w:highlight w:val="none"/>
              </w:rPr>
              <w:t>1</w:t>
            </w:r>
            <w:r>
              <w:rPr>
                <w:rFonts w:hint="eastAsia"/>
                <w:color w:val="000000"/>
                <w:sz w:val="18"/>
                <w:szCs w:val="18"/>
                <w:highlight w:val="none"/>
              </w:rPr>
              <w:t>×</w:t>
            </w:r>
            <w:r>
              <w:rPr>
                <w:color w:val="000000"/>
                <w:sz w:val="18"/>
                <w:szCs w:val="18"/>
                <w:highlight w:val="none"/>
              </w:rPr>
              <w:t>10</w:t>
            </w:r>
            <w:r>
              <w:rPr>
                <w:color w:val="000000"/>
                <w:sz w:val="18"/>
                <w:szCs w:val="18"/>
                <w:highlight w:val="none"/>
                <w:vertAlign w:val="superscript"/>
              </w:rPr>
              <w:t>1</w:t>
            </w:r>
            <w:r>
              <w:rPr>
                <w:rFonts w:hint="eastAsia"/>
                <w:color w:val="000000"/>
                <w:sz w:val="18"/>
                <w:szCs w:val="18"/>
                <w:highlight w:val="none"/>
                <w:vertAlign w:val="superscript"/>
                <w:lang w:val="en-US" w:eastAsia="zh-CN"/>
              </w:rPr>
              <w:t>4</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1.7</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rFonts w:hint="eastAsia"/>
                <w:color w:val="000000"/>
                <w:sz w:val="18"/>
                <w:szCs w:val="18"/>
                <w:highlight w:val="none"/>
              </w:rPr>
              <w:t>相对介电常数</w:t>
            </w:r>
            <w:r>
              <w:rPr>
                <w:color w:val="000000"/>
                <w:sz w:val="18"/>
                <w:szCs w:val="18"/>
                <w:highlight w:val="none"/>
              </w:rPr>
              <w:t>（50Hz）</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2.8~3.5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1.8</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tgδ（50Hz)</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0.01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1.9</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可分离连接器用</w:t>
            </w:r>
            <w:r>
              <w:rPr>
                <w:sz w:val="18"/>
                <w:szCs w:val="18"/>
                <w:highlight w:val="none"/>
              </w:rPr>
              <w:t>液体</w:t>
            </w:r>
            <w:r>
              <w:rPr>
                <w:sz w:val="18"/>
                <w:szCs w:val="18"/>
                <w:highlight w:val="none"/>
              </w:rPr>
              <w:t>硅橡胶半导电料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抗张强度</w:t>
            </w:r>
            <w:r>
              <w:rPr>
                <w:rFonts w:hint="eastAsia"/>
                <w:color w:val="000000"/>
                <w:sz w:val="18"/>
                <w:szCs w:val="18"/>
                <w:highlight w:val="none"/>
              </w:rPr>
              <w:t>，不小于（</w:t>
            </w:r>
            <w:r>
              <w:rPr>
                <w:color w:val="000000"/>
                <w:sz w:val="18"/>
                <w:szCs w:val="18"/>
                <w:highlight w:val="none"/>
              </w:rPr>
              <w:t>MPa</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4.0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断裂伸长率</w:t>
            </w:r>
            <w:r>
              <w:rPr>
                <w:rFonts w:hint="eastAsia"/>
                <w:color w:val="000000"/>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350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硬度（邵氏A）</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55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抗撕裂强度</w:t>
            </w:r>
            <w:r>
              <w:rPr>
                <w:rFonts w:hint="eastAsia"/>
                <w:color w:val="000000"/>
                <w:sz w:val="18"/>
                <w:szCs w:val="18"/>
                <w:highlight w:val="none"/>
              </w:rPr>
              <w:t>，不小于（</w:t>
            </w:r>
            <w:r>
              <w:rPr>
                <w:color w:val="000000"/>
                <w:sz w:val="18"/>
                <w:szCs w:val="18"/>
                <w:highlight w:val="none"/>
              </w:rPr>
              <w:t>N/mm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13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体积电阻率</w:t>
            </w:r>
            <w:r>
              <w:rPr>
                <w:rFonts w:hint="eastAsia"/>
                <w:color w:val="000000"/>
                <w:sz w:val="18"/>
                <w:szCs w:val="18"/>
                <w:highlight w:val="none"/>
                <w:lang w:eastAsia="zh-CN"/>
              </w:rPr>
              <w:t>（</w:t>
            </w:r>
            <w:r>
              <w:rPr>
                <w:rFonts w:hint="eastAsia"/>
                <w:color w:val="000000"/>
                <w:sz w:val="18"/>
                <w:szCs w:val="18"/>
                <w:highlight w:val="none"/>
                <w:lang w:val="en-US" w:eastAsia="zh-CN"/>
              </w:rPr>
              <w:t>2</w:t>
            </w:r>
            <w:r>
              <w:rPr>
                <w:rFonts w:hint="default"/>
                <w:color w:val="auto"/>
                <w:sz w:val="18"/>
                <w:szCs w:val="18"/>
                <w:highlight w:val="none"/>
                <w:lang w:val="en-US" w:eastAsia="zh-CN"/>
              </w:rPr>
              <w:t>3℃</w:t>
            </w:r>
            <w:r>
              <w:rPr>
                <w:rFonts w:hint="eastAsia"/>
                <w:color w:val="000000"/>
                <w:sz w:val="18"/>
                <w:szCs w:val="18"/>
                <w:highlight w:val="none"/>
                <w:lang w:eastAsia="zh-CN"/>
              </w:rPr>
              <w:t>）</w:t>
            </w:r>
            <w:r>
              <w:rPr>
                <w:rFonts w:hint="eastAsia"/>
                <w:color w:val="000000"/>
                <w:sz w:val="18"/>
                <w:szCs w:val="18"/>
                <w:highlight w:val="none"/>
              </w:rPr>
              <w:t>，不大于</w:t>
            </w:r>
            <w:r>
              <w:rPr>
                <w:rFonts w:hint="eastAsia"/>
                <w:color w:val="000000"/>
                <w:sz w:val="18"/>
                <w:szCs w:val="18"/>
                <w:highlight w:val="none"/>
              </w:rPr>
              <w:t>（</w:t>
            </w:r>
            <w:r>
              <w:rPr>
                <w:color w:val="000000"/>
                <w:sz w:val="18"/>
                <w:szCs w:val="18"/>
                <w:highlight w:val="none"/>
              </w:rPr>
              <w:t>Ω·</w:t>
            </w:r>
            <w:r>
              <w:rPr>
                <w:rFonts w:hint="eastAsia"/>
                <w:color w:val="000000"/>
                <w:sz w:val="18"/>
                <w:szCs w:val="18"/>
                <w:highlight w:val="none"/>
                <w:lang w:val="en-US" w:eastAsia="zh-CN"/>
              </w:rPr>
              <w:t>c</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eastAsia" w:eastAsia="宋体"/>
                <w:color w:val="000000"/>
                <w:sz w:val="18"/>
                <w:szCs w:val="18"/>
                <w:highlight w:val="none"/>
                <w:lang w:eastAsia="zh-CN"/>
              </w:rPr>
            </w:pPr>
            <w:r>
              <w:rPr>
                <w:color w:val="000000"/>
                <w:sz w:val="18"/>
                <w:szCs w:val="18"/>
                <w:highlight w:val="none"/>
              </w:rPr>
              <w:t>1.5</w:t>
            </w:r>
            <w:r>
              <w:rPr>
                <w:rFonts w:hint="eastAsia"/>
                <w:color w:val="000000"/>
                <w:sz w:val="18"/>
                <w:szCs w:val="18"/>
                <w:highlight w:val="none"/>
              </w:rPr>
              <w:t>×</w:t>
            </w:r>
            <w:r>
              <w:rPr>
                <w:color w:val="000000"/>
                <w:sz w:val="18"/>
                <w:szCs w:val="18"/>
                <w:highlight w:val="none"/>
              </w:rPr>
              <w:t>10</w:t>
            </w:r>
            <w:r>
              <w:rPr>
                <w:rFonts w:hint="eastAsia"/>
                <w:color w:val="000000"/>
                <w:sz w:val="18"/>
                <w:szCs w:val="18"/>
                <w:highlight w:val="none"/>
                <w:vertAlign w:val="superscript"/>
                <w:lang w:val="en-US" w:eastAsia="zh-CN"/>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可分离连接器用三元乙丙橡胶绝缘料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抗张强度</w:t>
            </w:r>
            <w:r>
              <w:rPr>
                <w:rFonts w:hint="eastAsia"/>
                <w:color w:val="000000"/>
                <w:sz w:val="18"/>
                <w:szCs w:val="18"/>
                <w:highlight w:val="none"/>
              </w:rPr>
              <w:t>，不小于（</w:t>
            </w:r>
            <w:r>
              <w:rPr>
                <w:color w:val="000000"/>
                <w:sz w:val="18"/>
                <w:szCs w:val="18"/>
                <w:highlight w:val="none"/>
              </w:rPr>
              <w:t>MPa</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断裂伸长率</w:t>
            </w:r>
            <w:r>
              <w:rPr>
                <w:rFonts w:hint="eastAsia"/>
                <w:color w:val="000000"/>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硬度（邵氏A）</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65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抗撕裂强度</w:t>
            </w:r>
            <w:r>
              <w:rPr>
                <w:rFonts w:hint="eastAsia"/>
                <w:color w:val="000000"/>
                <w:sz w:val="18"/>
                <w:szCs w:val="18"/>
                <w:highlight w:val="none"/>
              </w:rPr>
              <w:t>，不小于（</w:t>
            </w:r>
            <w:r>
              <w:rPr>
                <w:color w:val="000000"/>
                <w:sz w:val="18"/>
                <w:szCs w:val="18"/>
                <w:highlight w:val="none"/>
              </w:rPr>
              <w:t>N/mm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耐压强度</w:t>
            </w:r>
            <w:r>
              <w:rPr>
                <w:rFonts w:hint="eastAsia"/>
                <w:color w:val="000000"/>
                <w:sz w:val="18"/>
                <w:szCs w:val="18"/>
                <w:highlight w:val="none"/>
              </w:rPr>
              <w:t>，不小于（</w:t>
            </w:r>
            <w:r>
              <w:rPr>
                <w:color w:val="000000"/>
                <w:sz w:val="18"/>
                <w:szCs w:val="18"/>
                <w:highlight w:val="none"/>
              </w:rPr>
              <w:t>kV/mm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FF0000"/>
                <w:sz w:val="18"/>
                <w:szCs w:val="18"/>
                <w:highlight w:val="none"/>
              </w:rPr>
            </w:pPr>
            <w:r>
              <w:rPr>
                <w:color w:val="000000"/>
                <w:sz w:val="18"/>
                <w:szCs w:val="18"/>
                <w:highlight w:val="none"/>
              </w:rPr>
              <w:t>25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体积电阻率</w:t>
            </w:r>
            <w:r>
              <w:rPr>
                <w:rFonts w:hint="eastAsia"/>
                <w:color w:val="000000"/>
                <w:sz w:val="18"/>
                <w:szCs w:val="18"/>
                <w:highlight w:val="none"/>
                <w:lang w:eastAsia="zh-CN"/>
              </w:rPr>
              <w:t>（</w:t>
            </w:r>
            <w:r>
              <w:rPr>
                <w:rFonts w:hint="eastAsia"/>
                <w:color w:val="000000"/>
                <w:sz w:val="18"/>
                <w:szCs w:val="18"/>
                <w:highlight w:val="none"/>
                <w:lang w:val="en-US" w:eastAsia="zh-CN"/>
              </w:rPr>
              <w:t>23</w:t>
            </w:r>
            <w:r>
              <w:rPr>
                <w:rFonts w:hint="default"/>
                <w:color w:val="auto"/>
                <w:sz w:val="18"/>
                <w:szCs w:val="18"/>
                <w:highlight w:val="none"/>
                <w:lang w:val="en-US" w:eastAsia="zh-CN"/>
              </w:rPr>
              <w:t>℃</w:t>
            </w:r>
            <w:r>
              <w:rPr>
                <w:rFonts w:hint="eastAsia"/>
                <w:color w:val="000000"/>
                <w:sz w:val="18"/>
                <w:szCs w:val="18"/>
                <w:highlight w:val="none"/>
                <w:lang w:eastAsia="zh-CN"/>
              </w:rPr>
              <w:t>）</w:t>
            </w:r>
            <w:r>
              <w:rPr>
                <w:rFonts w:hint="eastAsia"/>
                <w:color w:val="000000"/>
                <w:sz w:val="18"/>
                <w:szCs w:val="18"/>
                <w:highlight w:val="none"/>
              </w:rPr>
              <w:t>，不小于</w:t>
            </w:r>
            <w:r>
              <w:rPr>
                <w:rFonts w:hint="eastAsia"/>
                <w:color w:val="000000"/>
                <w:sz w:val="18"/>
                <w:szCs w:val="18"/>
                <w:highlight w:val="none"/>
              </w:rPr>
              <w:t>（</w:t>
            </w:r>
            <w:r>
              <w:rPr>
                <w:color w:val="000000"/>
                <w:sz w:val="18"/>
                <w:szCs w:val="18"/>
                <w:highlight w:val="none"/>
              </w:rPr>
              <w:t>Ω·</w:t>
            </w:r>
            <w:r>
              <w:rPr>
                <w:rFonts w:hint="eastAsia"/>
                <w:color w:val="000000"/>
                <w:sz w:val="18"/>
                <w:szCs w:val="18"/>
                <w:highlight w:val="none"/>
                <w:lang w:val="en-US" w:eastAsia="zh-CN"/>
              </w:rPr>
              <w:t>c</w:t>
            </w:r>
            <w:r>
              <w:rPr>
                <w:color w:val="000000"/>
                <w:sz w:val="18"/>
                <w:szCs w:val="18"/>
                <w:highlight w:val="none"/>
              </w:rPr>
              <w:t>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eastAsia"/>
                <w:color w:val="000000"/>
                <w:sz w:val="18"/>
                <w:szCs w:val="18"/>
                <w:highlight w:val="none"/>
              </w:rPr>
            </w:pPr>
            <w:r>
              <w:rPr>
                <w:color w:val="000000"/>
                <w:sz w:val="18"/>
                <w:szCs w:val="18"/>
                <w:highlight w:val="none"/>
              </w:rPr>
              <w:t>1</w:t>
            </w:r>
            <w:r>
              <w:rPr>
                <w:rFonts w:hint="eastAsia"/>
                <w:color w:val="000000"/>
                <w:sz w:val="18"/>
                <w:szCs w:val="18"/>
                <w:highlight w:val="none"/>
              </w:rPr>
              <w:t>×</w:t>
            </w:r>
            <w:r>
              <w:rPr>
                <w:color w:val="000000"/>
                <w:sz w:val="18"/>
                <w:szCs w:val="18"/>
                <w:highlight w:val="none"/>
              </w:rPr>
              <w:t>10</w:t>
            </w:r>
            <w:r>
              <w:rPr>
                <w:color w:val="000000"/>
                <w:sz w:val="18"/>
                <w:szCs w:val="18"/>
                <w:highlight w:val="none"/>
                <w:vertAlign w:val="superscript"/>
              </w:rPr>
              <w:t>1</w:t>
            </w:r>
            <w:r>
              <w:rPr>
                <w:rFonts w:hint="eastAsia"/>
                <w:color w:val="000000"/>
                <w:sz w:val="18"/>
                <w:szCs w:val="18"/>
                <w:highlight w:val="none"/>
                <w:vertAlign w:val="superscript"/>
                <w:lang w:eastAsia="zh-CN"/>
              </w:rPr>
              <w:t>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3.7</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rFonts w:hint="eastAsia"/>
                <w:color w:val="000000"/>
                <w:sz w:val="18"/>
                <w:szCs w:val="18"/>
                <w:highlight w:val="none"/>
              </w:rPr>
              <w:t>相对介电常数</w:t>
            </w:r>
            <w:r>
              <w:rPr>
                <w:color w:val="000000"/>
                <w:sz w:val="18"/>
                <w:szCs w:val="18"/>
                <w:highlight w:val="none"/>
              </w:rPr>
              <w:t>（50Hz）</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2.6~3.0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3.8</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tgδ（50Hz)</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0.02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3.9</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left"/>
              <w:rPr>
                <w:sz w:val="18"/>
                <w:szCs w:val="18"/>
                <w:highlight w:val="none"/>
              </w:rPr>
            </w:pPr>
            <w:r>
              <w:rPr>
                <w:sz w:val="18"/>
                <w:szCs w:val="18"/>
                <w:highlight w:val="none"/>
              </w:rPr>
              <w:t>可分离连接器用三元乙丙橡胶半导电料</w:t>
            </w: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4.1</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抗张强度</w:t>
            </w:r>
            <w:r>
              <w:rPr>
                <w:rFonts w:hint="eastAsia"/>
                <w:color w:val="000000"/>
                <w:sz w:val="18"/>
                <w:szCs w:val="18"/>
                <w:highlight w:val="none"/>
              </w:rPr>
              <w:t>，不小于（</w:t>
            </w:r>
            <w:r>
              <w:rPr>
                <w:color w:val="000000"/>
                <w:sz w:val="18"/>
                <w:szCs w:val="18"/>
                <w:highlight w:val="none"/>
              </w:rPr>
              <w:t>MPa</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10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4.2</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断裂伸长率</w:t>
            </w:r>
            <w:r>
              <w:rPr>
                <w:rFonts w:hint="eastAsia"/>
                <w:color w:val="000000"/>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350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4.3</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硬度（邵氏A）</w:t>
            </w:r>
            <w:r>
              <w:rPr>
                <w:rFonts w:hint="eastAsia"/>
                <w:color w:val="000000"/>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70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4.4</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sz w:val="18"/>
                <w:szCs w:val="18"/>
                <w:highlight w:val="none"/>
              </w:rPr>
            </w:pPr>
            <w:r>
              <w:rPr>
                <w:color w:val="000000"/>
                <w:sz w:val="18"/>
                <w:szCs w:val="18"/>
                <w:highlight w:val="none"/>
              </w:rPr>
              <w:t>抗撕裂强度</w:t>
            </w:r>
            <w:r>
              <w:rPr>
                <w:rFonts w:hint="eastAsia"/>
                <w:color w:val="000000"/>
                <w:sz w:val="18"/>
                <w:szCs w:val="18"/>
                <w:highlight w:val="none"/>
              </w:rPr>
              <w:t>，不小于（</w:t>
            </w:r>
            <w:r>
              <w:rPr>
                <w:color w:val="000000"/>
                <w:sz w:val="18"/>
                <w:szCs w:val="18"/>
                <w:highlight w:val="none"/>
              </w:rPr>
              <w:t>N/mm</w:t>
            </w:r>
            <w:r>
              <w:rPr>
                <w:rFonts w:hint="eastAsia"/>
                <w:color w:val="000000"/>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30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4.5</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体积电阻率</w:t>
            </w:r>
            <w:r>
              <w:rPr>
                <w:rFonts w:hint="default" w:ascii="Times New Roman" w:hAnsi="Times New Roman" w:cs="Times New Roman"/>
                <w:color w:val="000000"/>
                <w:sz w:val="18"/>
                <w:szCs w:val="18"/>
                <w:highlight w:val="none"/>
                <w:lang w:eastAsia="zh-CN"/>
              </w:rPr>
              <w:t>（</w:t>
            </w:r>
            <w:r>
              <w:rPr>
                <w:rFonts w:hint="default" w:ascii="Times New Roman" w:hAnsi="Times New Roman" w:cs="Times New Roman"/>
                <w:color w:val="000000"/>
                <w:sz w:val="18"/>
                <w:szCs w:val="18"/>
                <w:highlight w:val="none"/>
                <w:lang w:val="en-US" w:eastAsia="zh-CN"/>
              </w:rPr>
              <w:t>2</w:t>
            </w:r>
            <w:r>
              <w:rPr>
                <w:rFonts w:hint="default"/>
                <w:color w:val="auto"/>
                <w:sz w:val="18"/>
                <w:szCs w:val="18"/>
                <w:highlight w:val="none"/>
                <w:lang w:val="en-US" w:eastAsia="zh-CN"/>
              </w:rPr>
              <w:t>3℃</w:t>
            </w:r>
            <w:r>
              <w:rPr>
                <w:rFonts w:hint="default" w:ascii="Times New Roman" w:hAnsi="Times New Roman" w:cs="Times New Roman"/>
                <w:color w:val="000000"/>
                <w:sz w:val="18"/>
                <w:szCs w:val="18"/>
                <w:highlight w:val="none"/>
                <w:lang w:eastAsia="zh-CN"/>
              </w:rPr>
              <w:t>）</w:t>
            </w:r>
            <w:r>
              <w:rPr>
                <w:rFonts w:hint="default" w:ascii="Times New Roman" w:hAnsi="Times New Roman" w:cs="Times New Roman"/>
                <w:color w:val="000000"/>
                <w:sz w:val="18"/>
                <w:szCs w:val="18"/>
                <w:highlight w:val="none"/>
              </w:rPr>
              <w:t>，不大于</w:t>
            </w:r>
            <w:r>
              <w:rPr>
                <w:rFonts w:hint="default" w:ascii="Times New Roman" w:hAnsi="Times New Roman" w:cs="Times New Roman"/>
                <w:color w:val="000000"/>
                <w:sz w:val="18"/>
                <w:szCs w:val="18"/>
                <w:highlight w:val="none"/>
              </w:rPr>
              <w:t>（Ω·</w:t>
            </w:r>
            <w:r>
              <w:rPr>
                <w:rFonts w:hint="default" w:ascii="Times New Roman" w:hAnsi="Times New Roman" w:cs="Times New Roman"/>
                <w:color w:val="000000"/>
                <w:sz w:val="18"/>
                <w:szCs w:val="18"/>
                <w:highlight w:val="none"/>
                <w:lang w:val="en-US" w:eastAsia="zh-CN"/>
              </w:rPr>
              <w:t>c</w:t>
            </w:r>
            <w:r>
              <w:rPr>
                <w:rFonts w:hint="default" w:ascii="Times New Roman" w:hAnsi="Times New Roman" w:cs="Times New Roman"/>
                <w:color w:val="000000"/>
                <w:sz w:val="18"/>
                <w:szCs w:val="18"/>
                <w:highlight w:val="none"/>
              </w:rPr>
              <w:t>m）</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eastAsia" w:eastAsia="宋体"/>
                <w:color w:val="000000"/>
                <w:sz w:val="18"/>
                <w:szCs w:val="18"/>
                <w:highlight w:val="none"/>
                <w:lang w:eastAsia="zh-CN"/>
              </w:rPr>
            </w:pPr>
            <w:r>
              <w:rPr>
                <w:color w:val="000000"/>
                <w:sz w:val="18"/>
                <w:szCs w:val="18"/>
                <w:highlight w:val="none"/>
              </w:rPr>
              <w:t>1.5</w:t>
            </w:r>
            <w:r>
              <w:rPr>
                <w:rFonts w:hint="eastAsia"/>
                <w:color w:val="000000"/>
                <w:sz w:val="18"/>
                <w:szCs w:val="18"/>
                <w:highlight w:val="none"/>
              </w:rPr>
              <w:t>×</w:t>
            </w:r>
            <w:r>
              <w:rPr>
                <w:color w:val="000000"/>
                <w:sz w:val="18"/>
                <w:szCs w:val="18"/>
                <w:highlight w:val="none"/>
              </w:rPr>
              <w:t>10</w:t>
            </w:r>
            <w:r>
              <w:rPr>
                <w:rFonts w:hint="default"/>
                <w:color w:val="000000"/>
                <w:sz w:val="18"/>
                <w:szCs w:val="18"/>
                <w:highlight w:val="none"/>
                <w:vertAlign w:val="superscript"/>
                <w:lang w:val="en-US" w:eastAsia="zh-CN"/>
              </w:rPr>
              <w:t>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9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4.6</w:t>
            </w:r>
          </w:p>
        </w:tc>
        <w:tc>
          <w:tcPr>
            <w:tcW w:w="2540"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阻燃性</w:t>
            </w:r>
          </w:p>
        </w:tc>
        <w:tc>
          <w:tcPr>
            <w:tcW w:w="2973"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color w:val="000000"/>
                <w:sz w:val="18"/>
                <w:szCs w:val="18"/>
                <w:highlight w:val="none"/>
              </w:rPr>
            </w:pPr>
            <w:r>
              <w:rPr>
                <w:color w:val="000000"/>
                <w:sz w:val="18"/>
                <w:szCs w:val="18"/>
                <w:highlight w:val="none"/>
              </w:rPr>
              <w:t>FV-0（V0）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33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七</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default" w:ascii="Times New Roman" w:hAnsi="Times New Roman" w:cs="Times New Roman"/>
                <w:b/>
                <w:sz w:val="18"/>
                <w:szCs w:val="18"/>
                <w:highlight w:val="none"/>
              </w:rPr>
            </w:pPr>
            <w:r>
              <w:rPr>
                <w:rFonts w:hint="default" w:ascii="Times New Roman" w:hAnsi="Times New Roman" w:cs="Times New Roman"/>
                <w:b/>
                <w:sz w:val="18"/>
                <w:szCs w:val="18"/>
                <w:highlight w:val="none"/>
              </w:rPr>
              <w:t>绝缘混合剂</w:t>
            </w: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介电强度，不小于（kV/mm）</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6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相对介电常数（50Hz）</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2.8～3.2</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hint="default" w:ascii="Times New Roman" w:hAnsi="Times New Roman" w:cs="Times New Roman"/>
                <w:sz w:val="18"/>
                <w:szCs w:val="18"/>
                <w:highlight w:val="none"/>
              </w:rPr>
            </w:pPr>
            <w:r>
              <w:rPr>
                <w:rFonts w:hint="default" w:ascii="Times New Roman" w:hAnsi="Times New Roman" w:cs="Times New Roman"/>
                <w:color w:val="000000"/>
                <w:sz w:val="18"/>
                <w:szCs w:val="18"/>
                <w:highlight w:val="none"/>
              </w:rPr>
              <w:t>tgδ（50Hz)，不大于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5.0×10</w:t>
            </w:r>
            <w:r>
              <w:rPr>
                <w:rFonts w:ascii="Times New Roman"/>
                <w:sz w:val="18"/>
                <w:szCs w:val="18"/>
                <w:highlight w:val="none"/>
                <w:vertAlign w:val="superscript"/>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体积电阻率</w:t>
            </w:r>
            <w:r>
              <w:rPr>
                <w:rFonts w:hint="default" w:ascii="Times New Roman" w:hAnsi="Times New Roman" w:cs="Times New Roman"/>
                <w:sz w:val="18"/>
                <w:szCs w:val="18"/>
                <w:highlight w:val="none"/>
                <w:lang w:eastAsia="zh-CN"/>
              </w:rPr>
              <w:t>（</w:t>
            </w:r>
            <w:r>
              <w:rPr>
                <w:rFonts w:hint="default" w:ascii="Times New Roman" w:hAnsi="Times New Roman" w:cs="Times New Roman"/>
                <w:sz w:val="18"/>
                <w:szCs w:val="18"/>
                <w:highlight w:val="none"/>
                <w:lang w:val="en-US" w:eastAsia="zh-CN"/>
              </w:rPr>
              <w:t>2</w:t>
            </w:r>
            <w:r>
              <w:rPr>
                <w:rFonts w:hint="default" w:ascii="Times New Roman"/>
                <w:kern w:val="2"/>
                <w:sz w:val="18"/>
                <w:szCs w:val="18"/>
                <w:highlight w:val="none"/>
                <w:lang w:val="en-US" w:eastAsia="zh-CN"/>
              </w:rPr>
              <w:t>3℃</w:t>
            </w:r>
            <w:r>
              <w:rPr>
                <w:rFonts w:hint="default" w:ascii="Times New Roman" w:hAnsi="Times New Roman" w:cs="Times New Roman"/>
                <w:sz w:val="18"/>
                <w:szCs w:val="18"/>
                <w:highlight w:val="none"/>
                <w:lang w:eastAsia="zh-CN"/>
              </w:rPr>
              <w:t>）</w:t>
            </w:r>
            <w:r>
              <w:rPr>
                <w:rFonts w:hint="default" w:ascii="Times New Roman" w:hAnsi="Times New Roman" w:cs="Times New Roman"/>
                <w:sz w:val="18"/>
                <w:szCs w:val="18"/>
                <w:highlight w:val="none"/>
              </w:rPr>
              <w:t>，不小于（Ω·cm）</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1</w:t>
            </w:r>
            <w:r>
              <w:rPr>
                <w:rFonts w:hint="eastAsia" w:ascii="Times New Roman"/>
                <w:sz w:val="18"/>
                <w:szCs w:val="18"/>
                <w:highlight w:val="none"/>
              </w:rPr>
              <w:t>×</w:t>
            </w:r>
            <w:r>
              <w:rPr>
                <w:rFonts w:ascii="Times New Roman"/>
                <w:sz w:val="18"/>
                <w:szCs w:val="18"/>
                <w:highlight w:val="none"/>
              </w:rPr>
              <w:t>10</w:t>
            </w:r>
            <w:r>
              <w:rPr>
                <w:rFonts w:ascii="Times New Roman"/>
                <w:sz w:val="18"/>
                <w:szCs w:val="18"/>
                <w:highlight w:val="none"/>
                <w:vertAlign w:val="superscript"/>
              </w:rPr>
              <w:t>13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ascii="Times New Roman"/>
                <w:sz w:val="18"/>
                <w:szCs w:val="18"/>
                <w:highlight w:val="none"/>
              </w:rPr>
            </w:pPr>
            <w:r>
              <w:rPr>
                <w:rFonts w:ascii="Times New Roman"/>
                <w:sz w:val="18"/>
                <w:szCs w:val="18"/>
                <w:highlight w:val="none"/>
              </w:rPr>
              <w:t>锥入度</w:t>
            </w:r>
            <w:r>
              <w:rPr>
                <w:rFonts w:hint="eastAsia" w:ascii="Times New Roman"/>
                <w:sz w:val="18"/>
                <w:szCs w:val="18"/>
                <w:highlight w:val="none"/>
              </w:rPr>
              <w:t>，（</w:t>
            </w:r>
            <w:r>
              <w:rPr>
                <w:rFonts w:ascii="Times New Roman"/>
                <w:sz w:val="18"/>
                <w:szCs w:val="18"/>
                <w:highlight w:val="none"/>
              </w:rPr>
              <w:t>1/10mm</w:t>
            </w:r>
            <w:r>
              <w:rPr>
                <w:rFonts w:hint="eastAsia" w:ascii="Times New Roman"/>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200～300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480"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rPr>
                <w:rFonts w:ascii="Times New Roman"/>
                <w:sz w:val="18"/>
                <w:szCs w:val="18"/>
                <w:highlight w:val="none"/>
              </w:rPr>
            </w:pPr>
            <w:r>
              <w:rPr>
                <w:rFonts w:ascii="Times New Roman"/>
                <w:sz w:val="18"/>
                <w:szCs w:val="18"/>
                <w:highlight w:val="none"/>
              </w:rPr>
              <w:t>挥发度（喷霜）（200℃，24h）</w:t>
            </w:r>
            <w:r>
              <w:rPr>
                <w:rFonts w:hint="eastAsia" w:ascii="Times New Roman"/>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pStyle w:val="71"/>
              <w:ind w:firstLine="0" w:firstLineChars="0"/>
              <w:jc w:val="center"/>
              <w:rPr>
                <w:rFonts w:ascii="Times New Roman"/>
                <w:sz w:val="18"/>
                <w:szCs w:val="18"/>
                <w:highlight w:val="none"/>
              </w:rPr>
            </w:pPr>
            <w:r>
              <w:rPr>
                <w:rFonts w:ascii="Times New Roman"/>
                <w:sz w:val="18"/>
                <w:szCs w:val="18"/>
                <w:highlight w:val="none"/>
              </w:rPr>
              <w:t>3</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rFonts w:hint="eastAsia" w:eastAsia="宋体"/>
                <w:sz w:val="18"/>
                <w:szCs w:val="18"/>
                <w:highlight w:val="none"/>
                <w:lang w:val="en-US" w:eastAsia="zh-CN"/>
              </w:rPr>
            </w:pPr>
            <w:r>
              <w:rPr>
                <w:sz w:val="18"/>
                <w:szCs w:val="18"/>
                <w:highlight w:val="none"/>
              </w:rPr>
              <w:t>平均吸收率（wt%，按照通用部分中附录C规定的试验方法进行相容性试验）</w:t>
            </w:r>
            <w:r>
              <w:rPr>
                <w:rFonts w:hint="eastAsia"/>
                <w:sz w:val="18"/>
                <w:szCs w:val="18"/>
                <w:highlight w:val="none"/>
              </w:rPr>
              <w:t>，不大于</w:t>
            </w:r>
            <w:r>
              <w:rPr>
                <w:rFonts w:hint="eastAsia"/>
                <w:sz w:val="18"/>
                <w:szCs w:val="18"/>
                <w:highlight w:val="none"/>
                <w:lang w:eastAsia="zh-CN"/>
              </w:rPr>
              <w:t>（</w:t>
            </w:r>
            <w:r>
              <w:rPr>
                <w:rFonts w:hint="eastAsia"/>
                <w:sz w:val="18"/>
                <w:szCs w:val="18"/>
                <w:highlight w:val="none"/>
                <w:lang w:val="en-US" w:eastAsia="zh-CN"/>
              </w:rPr>
              <w:t>%</w:t>
            </w:r>
            <w:r>
              <w:rPr>
                <w:rFonts w:hint="eastAsia"/>
                <w:sz w:val="18"/>
                <w:szCs w:val="18"/>
                <w:highlight w:val="none"/>
                <w:lang w:eastAsia="zh-CN"/>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八</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
                <w:sz w:val="18"/>
                <w:szCs w:val="18"/>
                <w:highlight w:val="none"/>
              </w:rPr>
            </w:pPr>
            <w:r>
              <w:rPr>
                <w:b/>
                <w:sz w:val="18"/>
                <w:szCs w:val="18"/>
                <w:highlight w:val="none"/>
              </w:rPr>
              <w:t>PVC带</w:t>
            </w: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材质</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PVC阻燃绝缘胶粘带</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180°剥离强度</w:t>
            </w:r>
            <w:r>
              <w:rPr>
                <w:rFonts w:hint="eastAsia"/>
                <w:sz w:val="18"/>
                <w:szCs w:val="18"/>
                <w:highlight w:val="none"/>
              </w:rPr>
              <w:t>，不小于（</w:t>
            </w:r>
            <w:r>
              <w:rPr>
                <w:rFonts w:eastAsiaTheme="minorEastAsia"/>
                <w:sz w:val="18"/>
                <w:szCs w:val="18"/>
                <w:highlight w:val="none"/>
              </w:rPr>
              <w:t>N/10mm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拉伸强度</w:t>
            </w:r>
            <w:r>
              <w:rPr>
                <w:rFonts w:hint="eastAsia"/>
                <w:sz w:val="18"/>
                <w:szCs w:val="18"/>
                <w:highlight w:val="none"/>
              </w:rPr>
              <w:t>，不小于（</w:t>
            </w:r>
            <w:r>
              <w:rPr>
                <w:rFonts w:eastAsiaTheme="minorEastAsia"/>
                <w:sz w:val="18"/>
                <w:szCs w:val="18"/>
                <w:highlight w:val="none"/>
              </w:rPr>
              <w:t>N/10mm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15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断裂伸长率</w:t>
            </w:r>
            <w:r>
              <w:rPr>
                <w:rFonts w:hint="eastAsia"/>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100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击穿强度</w:t>
            </w:r>
            <w:r>
              <w:rPr>
                <w:rFonts w:hint="eastAsia"/>
                <w:sz w:val="18"/>
                <w:szCs w:val="18"/>
                <w:highlight w:val="none"/>
              </w:rPr>
              <w:t>，不小于（</w:t>
            </w:r>
            <w:r>
              <w:rPr>
                <w:rFonts w:eastAsiaTheme="minorEastAsia"/>
                <w:sz w:val="18"/>
                <w:szCs w:val="18"/>
                <w:highlight w:val="none"/>
              </w:rPr>
              <w:t>kV/mm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25</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
                <w:sz w:val="18"/>
                <w:szCs w:val="18"/>
                <w:highlight w:val="none"/>
              </w:rPr>
            </w:pPr>
            <w:r>
              <w:rPr>
                <w:b/>
                <w:sz w:val="18"/>
                <w:szCs w:val="18"/>
                <w:highlight w:val="none"/>
              </w:rPr>
              <w:t>九</w:t>
            </w:r>
          </w:p>
        </w:tc>
        <w:tc>
          <w:tcPr>
            <w:tcW w:w="13861" w:type="dxa"/>
            <w:gridSpan w:val="8"/>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b/>
                <w:sz w:val="18"/>
                <w:szCs w:val="18"/>
                <w:highlight w:val="none"/>
              </w:rPr>
            </w:pPr>
            <w:r>
              <w:rPr>
                <w:b/>
                <w:sz w:val="18"/>
                <w:szCs w:val="18"/>
                <w:highlight w:val="none"/>
              </w:rPr>
              <w:t>防水绝缘胶带</w:t>
            </w: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1</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材质</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乙丙绝缘自粘带</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单一</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（文本型）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2</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粘性（对钢板）</w:t>
            </w:r>
            <w:r>
              <w:rPr>
                <w:rFonts w:hint="eastAsia"/>
                <w:sz w:val="18"/>
                <w:szCs w:val="18"/>
                <w:highlight w:val="none"/>
              </w:rPr>
              <w:t>，不小于（</w:t>
            </w:r>
            <w:r>
              <w:rPr>
                <w:rFonts w:eastAsiaTheme="minorEastAsia"/>
                <w:sz w:val="18"/>
                <w:szCs w:val="18"/>
                <w:highlight w:val="none"/>
              </w:rPr>
              <w:t>N/10mm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26</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3</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粘性（对聚乙烯）</w:t>
            </w:r>
            <w:r>
              <w:rPr>
                <w:rFonts w:hint="eastAsia"/>
                <w:sz w:val="18"/>
                <w:szCs w:val="18"/>
                <w:highlight w:val="none"/>
              </w:rPr>
              <w:t>，不小于（</w:t>
            </w:r>
            <w:r>
              <w:rPr>
                <w:rFonts w:eastAsiaTheme="minorEastAsia"/>
                <w:sz w:val="18"/>
                <w:szCs w:val="18"/>
                <w:highlight w:val="none"/>
              </w:rPr>
              <w:t>N/10mm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17</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4</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拉伸强度</w:t>
            </w:r>
            <w:r>
              <w:rPr>
                <w:rFonts w:hint="eastAsia"/>
                <w:sz w:val="18"/>
                <w:szCs w:val="18"/>
                <w:highlight w:val="none"/>
              </w:rPr>
              <w:t>，不小于（</w:t>
            </w:r>
            <w:r>
              <w:rPr>
                <w:rFonts w:eastAsiaTheme="minorEastAsia"/>
                <w:sz w:val="18"/>
                <w:szCs w:val="18"/>
                <w:highlight w:val="none"/>
              </w:rPr>
              <w:t>MPa</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1.7</w:t>
            </w:r>
            <w:r>
              <w:rPr>
                <w:sz w:val="18"/>
                <w:szCs w:val="18"/>
                <w:highlight w:val="none"/>
              </w:rPr>
              <w:t xml:space="preserve"> </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5</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击穿强度</w:t>
            </w:r>
            <w:r>
              <w:rPr>
                <w:rFonts w:hint="eastAsia"/>
                <w:sz w:val="18"/>
                <w:szCs w:val="18"/>
                <w:highlight w:val="none"/>
              </w:rPr>
              <w:t>，不小于（</w:t>
            </w:r>
            <w:r>
              <w:rPr>
                <w:rFonts w:eastAsiaTheme="minorEastAsia"/>
                <w:sz w:val="18"/>
                <w:szCs w:val="18"/>
                <w:highlight w:val="none"/>
              </w:rPr>
              <w:t>kV/mm</w:t>
            </w:r>
            <w:r>
              <w:rPr>
                <w:rFonts w:hint="eastAsia"/>
                <w:sz w:val="18"/>
                <w:szCs w:val="18"/>
                <w:highlight w:val="none"/>
              </w:rPr>
              <w:t>）</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28</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6</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吸水率</w:t>
            </w:r>
            <w:r>
              <w:rPr>
                <w:rFonts w:hint="eastAsia"/>
                <w:sz w:val="18"/>
                <w:szCs w:val="18"/>
                <w:highlight w:val="none"/>
              </w:rPr>
              <w:t>，不大于（%）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0.</w:t>
            </w:r>
            <w:r>
              <w:rPr>
                <w:sz w:val="18"/>
                <w:szCs w:val="18"/>
                <w:highlight w:val="none"/>
              </w:rPr>
              <w:t>1</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tr>
        <w:tblPrEx>
          <w:tblCellMar>
            <w:top w:w="15" w:type="dxa"/>
            <w:left w:w="15" w:type="dxa"/>
            <w:bottom w:w="15" w:type="dxa"/>
            <w:right w:w="15" w:type="dxa"/>
          </w:tblCellMar>
        </w:tblPrEx>
        <w:trPr>
          <w:trHeight w:val="285" w:hRule="atLeast"/>
          <w:jc w:val="center"/>
        </w:trPr>
        <w:tc>
          <w:tcPr>
            <w:tcW w:w="73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7</w:t>
            </w:r>
          </w:p>
        </w:tc>
        <w:tc>
          <w:tcPr>
            <w:tcW w:w="2540"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rPr>
                <w:sz w:val="18"/>
                <w:szCs w:val="18"/>
                <w:highlight w:val="none"/>
              </w:rPr>
            </w:pPr>
            <w:r>
              <w:rPr>
                <w:sz w:val="18"/>
                <w:szCs w:val="18"/>
                <w:highlight w:val="none"/>
              </w:rPr>
              <w:t>断裂伸长率</w:t>
            </w:r>
            <w:r>
              <w:rPr>
                <w:rFonts w:hint="eastAsia"/>
                <w:sz w:val="18"/>
                <w:szCs w:val="18"/>
                <w:highlight w:val="none"/>
              </w:rPr>
              <w:t>，不小于（%）</w:t>
            </w:r>
          </w:p>
        </w:tc>
        <w:tc>
          <w:tcPr>
            <w:tcW w:w="2973"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rFonts w:eastAsiaTheme="minorEastAsia"/>
                <w:sz w:val="18"/>
                <w:szCs w:val="18"/>
                <w:highlight w:val="none"/>
              </w:rPr>
            </w:pPr>
            <w:r>
              <w:rPr>
                <w:rFonts w:eastAsiaTheme="minorEastAsia"/>
                <w:sz w:val="18"/>
                <w:szCs w:val="18"/>
                <w:highlight w:val="none"/>
              </w:rPr>
              <w:t>700</w:t>
            </w:r>
          </w:p>
        </w:tc>
        <w:tc>
          <w:tcPr>
            <w:tcW w:w="1419"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投标人响应</w:t>
            </w:r>
          </w:p>
        </w:tc>
        <w:tc>
          <w:tcPr>
            <w:tcW w:w="1548"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r>
              <w:rPr>
                <w:sz w:val="18"/>
                <w:szCs w:val="18"/>
                <w:highlight w:val="none"/>
              </w:rPr>
              <w:t>/</w:t>
            </w:r>
          </w:p>
        </w:tc>
        <w:tc>
          <w:tcPr>
            <w:tcW w:w="131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bCs/>
                <w:kern w:val="0"/>
                <w:sz w:val="18"/>
                <w:szCs w:val="18"/>
                <w:highlight w:val="none"/>
              </w:rPr>
            </w:pPr>
            <w:r>
              <w:rPr>
                <w:bCs/>
                <w:kern w:val="0"/>
                <w:sz w:val="18"/>
                <w:szCs w:val="18"/>
                <w:highlight w:val="none"/>
              </w:rPr>
              <w:t>投标人填写</w:t>
            </w:r>
          </w:p>
          <w:p>
            <w:pPr>
              <w:adjustRightInd w:val="0"/>
              <w:spacing w:line="240" w:lineRule="auto"/>
              <w:ind w:firstLine="0" w:firstLineChars="0"/>
              <w:jc w:val="center"/>
              <w:rPr>
                <w:sz w:val="18"/>
                <w:szCs w:val="18"/>
                <w:highlight w:val="none"/>
              </w:rPr>
            </w:pPr>
            <w:r>
              <w:rPr>
                <w:bCs/>
                <w:kern w:val="0"/>
                <w:sz w:val="18"/>
                <w:szCs w:val="18"/>
                <w:highlight w:val="none"/>
              </w:rPr>
              <w:t>（数值型）</w:t>
            </w:r>
          </w:p>
        </w:tc>
        <w:tc>
          <w:tcPr>
            <w:tcW w:w="1527"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color w:val="FF0000"/>
                <w:sz w:val="18"/>
                <w:szCs w:val="18"/>
                <w:highlight w:val="none"/>
              </w:rPr>
            </w:pPr>
            <w:r>
              <w:rPr>
                <w:sz w:val="18"/>
                <w:szCs w:val="18"/>
                <w:highlight w:val="none"/>
              </w:rPr>
              <w:t>检测报告</w:t>
            </w:r>
          </w:p>
        </w:tc>
        <w:tc>
          <w:tcPr>
            <w:tcW w:w="1422"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c>
          <w:tcPr>
            <w:tcW w:w="1115" w:type="dxa"/>
            <w:tcBorders>
              <w:top w:val="single" w:color="000000" w:sz="4" w:space="0"/>
              <w:left w:val="single" w:color="000000" w:sz="4" w:space="0"/>
              <w:bottom w:val="single" w:color="000000" w:sz="4" w:space="0"/>
              <w:right w:val="single" w:color="000000" w:sz="4" w:space="0"/>
            </w:tcBorders>
            <w:vAlign w:val="center"/>
          </w:tcPr>
          <w:p>
            <w:pPr>
              <w:adjustRightInd w:val="0"/>
              <w:spacing w:line="240" w:lineRule="auto"/>
              <w:ind w:firstLine="0" w:firstLineChars="0"/>
              <w:jc w:val="center"/>
              <w:rPr>
                <w:sz w:val="18"/>
                <w:szCs w:val="18"/>
                <w:highlight w:val="none"/>
              </w:rPr>
            </w:pPr>
          </w:p>
        </w:tc>
      </w:tr>
      <w:bookmarkEnd w:id="414"/>
    </w:tbl>
    <w:p>
      <w:pPr>
        <w:pStyle w:val="36"/>
        <w:rPr>
          <w:sz w:val="21"/>
          <w:szCs w:val="21"/>
          <w:highlight w:val="none"/>
        </w:rPr>
        <w:sectPr>
          <w:headerReference r:id="rId18" w:type="default"/>
          <w:footerReference r:id="rId19" w:type="default"/>
          <w:pgSz w:w="16838" w:h="11906" w:orient="landscape"/>
          <w:pgMar w:top="1134" w:right="1134" w:bottom="1134" w:left="1134" w:header="851" w:footer="992" w:gutter="0"/>
          <w:cols w:space="0" w:num="1"/>
          <w:docGrid w:type="lines" w:linePitch="319" w:charSpace="0"/>
        </w:sectPr>
      </w:pPr>
      <w:bookmarkStart w:id="415" w:name="_Toc494114019"/>
    </w:p>
    <w:p>
      <w:pPr>
        <w:pStyle w:val="36"/>
        <w:rPr>
          <w:sz w:val="21"/>
          <w:szCs w:val="21"/>
          <w:highlight w:val="none"/>
        </w:rPr>
      </w:pPr>
      <w:bookmarkStart w:id="416" w:name="_Toc3813"/>
      <w:bookmarkStart w:id="417" w:name="_Toc78989286"/>
      <w:r>
        <w:rPr>
          <w:sz w:val="21"/>
          <w:szCs w:val="21"/>
          <w:highlight w:val="none"/>
        </w:rPr>
        <w:t xml:space="preserve">2.3 </w:t>
      </w:r>
      <w:r>
        <w:rPr>
          <w:rFonts w:hint="eastAsia"/>
          <w:b w:val="0"/>
          <w:bCs/>
          <w:sz w:val="21"/>
          <w:szCs w:val="21"/>
          <w:highlight w:val="none"/>
        </w:rPr>
        <w:t>投标人资料提交时间及培训要求</w:t>
      </w:r>
      <w:bookmarkEnd w:id="415"/>
      <w:bookmarkEnd w:id="416"/>
      <w:bookmarkEnd w:id="417"/>
    </w:p>
    <w:tbl>
      <w:tblPr>
        <w:tblStyle w:val="27"/>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
        <w:gridCol w:w="5240"/>
        <w:gridCol w:w="2286"/>
        <w:gridCol w:w="1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8"/>
              <w:spacing w:line="240" w:lineRule="auto"/>
              <w:rPr>
                <w:rFonts w:hint="default" w:ascii="Times New Roman" w:hAnsi="Times New Roman" w:eastAsia="宋体" w:cs="Times New Roman"/>
                <w:b w:val="0"/>
                <w:highlight w:val="none"/>
              </w:rPr>
            </w:pPr>
            <w:bookmarkStart w:id="418" w:name="_Toc494114020"/>
            <w:r>
              <w:rPr>
                <w:rFonts w:hint="default" w:ascii="Times New Roman" w:hAnsi="Times New Roman" w:eastAsia="宋体" w:cs="Times New Roman"/>
                <w:b w:val="0"/>
                <w:highlight w:val="none"/>
              </w:rPr>
              <w:t>序号</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8"/>
              <w:spacing w:line="240" w:lineRule="auto"/>
              <w:rPr>
                <w:rFonts w:hint="default" w:ascii="Times New Roman" w:hAnsi="Times New Roman" w:eastAsia="宋体" w:cs="Times New Roman"/>
                <w:b w:val="0"/>
                <w:highlight w:val="none"/>
              </w:rPr>
            </w:pPr>
            <w:r>
              <w:rPr>
                <w:rFonts w:hint="default" w:ascii="Times New Roman" w:hAnsi="Times New Roman" w:eastAsia="宋体" w:cs="Times New Roman"/>
                <w:b w:val="0"/>
                <w:highlight w:val="none"/>
              </w:rPr>
              <w:t>项   目</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38"/>
              <w:spacing w:line="240" w:lineRule="auto"/>
              <w:rPr>
                <w:rFonts w:hint="default" w:ascii="Times New Roman" w:hAnsi="Times New Roman" w:eastAsia="宋体" w:cs="Times New Roman"/>
                <w:b w:val="0"/>
                <w:highlight w:val="none"/>
              </w:rPr>
            </w:pPr>
            <w:r>
              <w:rPr>
                <w:rFonts w:hint="default" w:ascii="Times New Roman" w:hAnsi="Times New Roman" w:eastAsia="宋体" w:cs="Times New Roman"/>
                <w:b w:val="0"/>
                <w:highlight w:val="none"/>
              </w:rPr>
              <w:t>项目单位需求</w:t>
            </w:r>
          </w:p>
        </w:tc>
        <w:tc>
          <w:tcPr>
            <w:tcW w:w="1382"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38"/>
              <w:spacing w:line="240" w:lineRule="auto"/>
              <w:rPr>
                <w:rFonts w:hint="default" w:ascii="Times New Roman" w:hAnsi="Times New Roman" w:eastAsia="宋体" w:cs="Times New Roman"/>
                <w:b w:val="0"/>
                <w:highlight w:val="none"/>
              </w:rPr>
            </w:pPr>
            <w:r>
              <w:rPr>
                <w:rFonts w:hint="default" w:ascii="Times New Roman" w:hAnsi="Times New Roman" w:eastAsia="宋体" w:cs="Times New Roman"/>
                <w:b w:val="0"/>
                <w:highlight w:val="none"/>
              </w:rPr>
              <w:t>投标单位响应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1</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最终版本技术资料全部提交给招标方最长时长（天）（合同谈判日或收到中标通知书后（以先到为准））</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c>
          <w:tcPr>
            <w:tcW w:w="1382"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2</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理论培训时长（天）</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c>
          <w:tcPr>
            <w:tcW w:w="1382" w:type="dxa"/>
            <w:tcBorders>
              <w:top w:val="single" w:color="000000" w:sz="4" w:space="0"/>
              <w:left w:val="single" w:color="auto" w:sz="4" w:space="0"/>
              <w:bottom w:val="single" w:color="auto"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3</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实操培训时长（天）</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4</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图纸、说明书和有关技术资料全部提交给招标方最长时长（天）</w:t>
            </w:r>
            <w:r>
              <w:rPr>
                <w:rFonts w:hint="default" w:ascii="Times New Roman" w:hAnsi="Times New Roman" w:eastAsia="宋体" w:cs="Times New Roman"/>
                <w:highlight w:val="none"/>
              </w:rPr>
              <w:br w:type="textWrapping"/>
            </w:r>
            <w:r>
              <w:rPr>
                <w:rFonts w:hint="default" w:ascii="Times New Roman" w:hAnsi="Times New Roman" w:eastAsia="宋体" w:cs="Times New Roman"/>
                <w:highlight w:val="none"/>
              </w:rPr>
              <w:t>（全部正式版本的与设计、设备监造和检验、现场安装和调试以及运行维护方面相关的）</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5</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图纸格式要求</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AutoCAD R2007版、PDF版</w:t>
            </w:r>
          </w:p>
        </w:tc>
        <w:tc>
          <w:tcPr>
            <w:tcW w:w="1382"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6</w:t>
            </w:r>
          </w:p>
        </w:tc>
        <w:tc>
          <w:tcPr>
            <w:tcW w:w="52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文字资料格式要求</w:t>
            </w:r>
          </w:p>
        </w:tc>
        <w:tc>
          <w:tcPr>
            <w:tcW w:w="2286"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70"/>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Word2016版</w:t>
            </w:r>
          </w:p>
        </w:tc>
        <w:tc>
          <w:tcPr>
            <w:tcW w:w="1382" w:type="dxa"/>
            <w:tcBorders>
              <w:top w:val="single" w:color="auto" w:sz="4" w:space="0"/>
              <w:left w:val="single" w:color="auto" w:sz="4" w:space="0"/>
              <w:bottom w:val="single" w:color="000000" w:sz="4" w:space="0"/>
              <w:right w:val="single" w:color="000000" w:sz="4" w:space="0"/>
            </w:tcBorders>
            <w:shd w:val="clear" w:color="auto" w:fill="auto"/>
            <w:vAlign w:val="center"/>
          </w:tcPr>
          <w:p>
            <w:pPr>
              <w:pStyle w:val="70"/>
              <w:spacing w:line="240" w:lineRule="auto"/>
              <w:rPr>
                <w:rFonts w:hint="default" w:ascii="Times New Roman" w:hAnsi="Times New Roman" w:eastAsia="宋体" w:cs="Times New Roman"/>
                <w:highlight w:val="none"/>
              </w:rPr>
            </w:pPr>
          </w:p>
        </w:tc>
      </w:tr>
    </w:tbl>
    <w:p>
      <w:pPr>
        <w:pStyle w:val="36"/>
        <w:rPr>
          <w:sz w:val="21"/>
          <w:szCs w:val="21"/>
          <w:highlight w:val="none"/>
        </w:rPr>
      </w:pPr>
      <w:bookmarkStart w:id="419" w:name="_Toc23819"/>
      <w:bookmarkStart w:id="420" w:name="_Toc78989287"/>
      <w:r>
        <w:rPr>
          <w:sz w:val="21"/>
          <w:szCs w:val="21"/>
          <w:highlight w:val="none"/>
        </w:rPr>
        <w:t xml:space="preserve">2.4 </w:t>
      </w:r>
      <w:r>
        <w:rPr>
          <w:rFonts w:hint="eastAsia"/>
          <w:b w:val="0"/>
          <w:bCs/>
          <w:sz w:val="21"/>
          <w:szCs w:val="21"/>
          <w:highlight w:val="none"/>
        </w:rPr>
        <w:t>主要元器件来源</w:t>
      </w:r>
      <w:bookmarkEnd w:id="418"/>
      <w:bookmarkEnd w:id="419"/>
      <w:bookmarkEnd w:id="420"/>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表2.3 主要元器件来源一览表 （投标方填写）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908"/>
        <w:gridCol w:w="1005"/>
        <w:gridCol w:w="1527"/>
        <w:gridCol w:w="1090"/>
        <w:gridCol w:w="1340"/>
        <w:gridCol w:w="1224"/>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8"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序号</w:t>
            </w:r>
          </w:p>
        </w:tc>
        <w:tc>
          <w:tcPr>
            <w:tcW w:w="1908"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名称</w:t>
            </w:r>
          </w:p>
        </w:tc>
        <w:tc>
          <w:tcPr>
            <w:tcW w:w="1005"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单位</w:t>
            </w:r>
          </w:p>
        </w:tc>
        <w:tc>
          <w:tcPr>
            <w:tcW w:w="1527"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项目单位要求型式、规格</w:t>
            </w:r>
          </w:p>
        </w:tc>
        <w:tc>
          <w:tcPr>
            <w:tcW w:w="1090"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项目单位要求数量</w:t>
            </w:r>
          </w:p>
        </w:tc>
        <w:tc>
          <w:tcPr>
            <w:tcW w:w="1340"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投标方响应型式、规格</w:t>
            </w:r>
          </w:p>
        </w:tc>
        <w:tc>
          <w:tcPr>
            <w:tcW w:w="1224"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投标方响应生产厂家</w:t>
            </w:r>
          </w:p>
        </w:tc>
        <w:tc>
          <w:tcPr>
            <w:tcW w:w="942"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投标方响应数量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Align w:val="center"/>
          </w:tcPr>
          <w:p>
            <w:pPr>
              <w:spacing w:line="240" w:lineRule="auto"/>
              <w:ind w:firstLine="0" w:firstLineChars="0"/>
              <w:jc w:val="center"/>
              <w:rPr>
                <w:rFonts w:hint="default" w:ascii="Times New Roman" w:hAnsi="Times New Roman" w:cs="Times New Roman"/>
                <w:b/>
                <w:kern w:val="0"/>
                <w:sz w:val="18"/>
                <w:szCs w:val="18"/>
                <w:highlight w:val="none"/>
              </w:rPr>
            </w:pPr>
            <w:r>
              <w:rPr>
                <w:rFonts w:hint="default" w:ascii="Times New Roman" w:hAnsi="Times New Roman" w:cs="Times New Roman"/>
                <w:b/>
                <w:kern w:val="0"/>
                <w:sz w:val="18"/>
                <w:szCs w:val="18"/>
                <w:highlight w:val="none"/>
              </w:rPr>
              <w:t>一</w:t>
            </w:r>
          </w:p>
        </w:tc>
        <w:tc>
          <w:tcPr>
            <w:tcW w:w="9036" w:type="dxa"/>
            <w:gridSpan w:val="7"/>
            <w:vAlign w:val="center"/>
          </w:tcPr>
          <w:p>
            <w:pPr>
              <w:pStyle w:val="72"/>
              <w:spacing w:beforeLines="0" w:afterLines="0"/>
              <w:ind w:left="96"/>
              <w:outlineLvl w:val="9"/>
              <w:rPr>
                <w:rFonts w:hint="default" w:ascii="Times New Roman" w:hAnsi="Times New Roman" w:eastAsia="宋体" w:cs="Times New Roman"/>
                <w:sz w:val="18"/>
                <w:szCs w:val="18"/>
                <w:highlight w:val="none"/>
              </w:rPr>
            </w:pPr>
            <w:r>
              <w:rPr>
                <w:rFonts w:hint="default" w:ascii="Times New Roman" w:hAnsi="Times New Roman" w:eastAsia="宋体" w:cs="Times New Roman"/>
                <w:b/>
                <w:sz w:val="18"/>
                <w:szCs w:val="18"/>
                <w:highlight w:val="none"/>
              </w:rPr>
              <w:t>冷缩型电缆终端（每套标准配置见通用部分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 w:val="18"/>
                <w:szCs w:val="18"/>
                <w:highlight w:val="none"/>
              </w:rPr>
              <w:t>附录G：电缆附件安装配套材料规格明细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冷缩终端主体</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密封管</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冷缩三支套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冷缩绝缘管</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恒力弹簧</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根</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根</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相色带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电工胶带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绝缘混合剂</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砂带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组</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清洁巾</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片</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PE手套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双</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防水填充胶</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片</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铜接线端子</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份</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二</w:t>
            </w:r>
          </w:p>
        </w:tc>
        <w:tc>
          <w:tcPr>
            <w:tcW w:w="9036" w:type="dxa"/>
            <w:gridSpan w:val="7"/>
            <w:vAlign w:val="center"/>
          </w:tcPr>
          <w:p>
            <w:pPr>
              <w:pStyle w:val="72"/>
              <w:spacing w:beforeLines="0" w:afterLines="0"/>
              <w:outlineLvl w:val="9"/>
              <w:rPr>
                <w:rFonts w:hint="default" w:ascii="Times New Roman" w:hAnsi="Times New Roman" w:eastAsia="宋体" w:cs="Times New Roman"/>
                <w:sz w:val="18"/>
                <w:szCs w:val="18"/>
                <w:highlight w:val="none"/>
              </w:rPr>
            </w:pPr>
            <w:r>
              <w:rPr>
                <w:rFonts w:hint="default" w:ascii="Times New Roman" w:hAnsi="Times New Roman" w:eastAsia="宋体" w:cs="Times New Roman"/>
                <w:b/>
                <w:sz w:val="18"/>
                <w:szCs w:val="18"/>
                <w:highlight w:val="none"/>
              </w:rPr>
              <w:t>冷缩型电缆中间接头（每套标准配置见通用部分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 w:val="18"/>
                <w:szCs w:val="18"/>
                <w:highlight w:val="none"/>
              </w:rPr>
              <w:t>附录G：电缆附件安装配套材料规格明细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sz w:val="18"/>
                <w:szCs w:val="18"/>
                <w:highlight w:val="none"/>
              </w:rPr>
              <w:t>冷缩直通接头主体</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防水绝缘胶带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铠装带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橡胶手套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双</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PE手套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双</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棉纱手套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双</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恒力弹簧（小）</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恒力弹簧（大）</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铜编织线</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根</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铜网</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条</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PVC胶带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电工胶带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绝缘混合剂</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砂带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组</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清洁巾</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片</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防水密封胶</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条</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19</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连接管</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20</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份</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pStyle w:val="38"/>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szCs w:val="18"/>
                <w:highlight w:val="none"/>
              </w:rPr>
              <w:t>二</w:t>
            </w:r>
          </w:p>
        </w:tc>
        <w:tc>
          <w:tcPr>
            <w:tcW w:w="9036" w:type="dxa"/>
            <w:gridSpan w:val="7"/>
            <w:vAlign w:val="center"/>
          </w:tcPr>
          <w:p>
            <w:pPr>
              <w:pStyle w:val="70"/>
              <w:spacing w:line="240" w:lineRule="auto"/>
              <w:rPr>
                <w:rFonts w:hint="default" w:ascii="Times New Roman" w:hAnsi="Times New Roman" w:eastAsia="宋体" w:cs="Times New Roman"/>
                <w:szCs w:val="18"/>
                <w:highlight w:val="none"/>
              </w:rPr>
            </w:pPr>
            <w:r>
              <w:rPr>
                <w:rFonts w:hint="default" w:ascii="Times New Roman" w:hAnsi="Times New Roman" w:eastAsia="宋体" w:cs="Times New Roman"/>
                <w:b/>
                <w:szCs w:val="18"/>
                <w:highlight w:val="none"/>
              </w:rPr>
              <w:t>可分离连接器（</w:t>
            </w:r>
            <w:r>
              <w:rPr>
                <w:rFonts w:hint="default" w:ascii="Times New Roman" w:hAnsi="Times New Roman" w:eastAsia="宋体" w:cs="Times New Roman"/>
                <w:b/>
                <w:sz w:val="18"/>
                <w:szCs w:val="18"/>
                <w:highlight w:val="none"/>
              </w:rPr>
              <w:t>每套标准配置见通用部分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 w:val="18"/>
                <w:szCs w:val="18"/>
                <w:highlight w:val="none"/>
              </w:rPr>
              <w:t>附录G：电缆附件安装配套材料规格明细</w:t>
            </w:r>
            <w:r>
              <w:rPr>
                <w:rFonts w:hint="eastAsia" w:ascii="Times New Roman" w:eastAsia="宋体" w:cs="Times New Roman"/>
                <w:b/>
                <w:sz w:val="18"/>
                <w:szCs w:val="18"/>
                <w:highlight w:val="none"/>
                <w:lang w:eastAsia="zh-CN"/>
              </w:rPr>
              <w:t>”</w:t>
            </w:r>
            <w:r>
              <w:rPr>
                <w:rFonts w:hint="default" w:ascii="Times New Roman" w:hAnsi="Times New Roman" w:eastAsia="宋体" w:cs="Times New Roman"/>
                <w:b/>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可分离连接器主体</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应力锥（适用于分体式）</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后封帽</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绝缘塞</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接线端子</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双头螺栓</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弹垫</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平垫</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9</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螺母</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10</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冷缩三支套</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冷缩护套管</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PVC带（相色带）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半导电带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卷</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绝缘润滑剂</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支</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防水密封胶</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条</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铜编织带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根</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铜编织带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根</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18</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恒力弹簧</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19</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纱带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组</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20</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六角套筒</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21</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接地线、线耳</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22</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清洁纸</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片</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23</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内四角扳手</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24</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填充胶</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片</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25</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后插连接杆</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26</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安装标尺</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个</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27</w:t>
            </w:r>
          </w:p>
        </w:tc>
        <w:tc>
          <w:tcPr>
            <w:tcW w:w="1908"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安装工艺说明书</w:t>
            </w:r>
          </w:p>
        </w:tc>
        <w:tc>
          <w:tcPr>
            <w:tcW w:w="1005" w:type="dxa"/>
            <w:vAlign w:val="center"/>
          </w:tcPr>
          <w:p>
            <w:pPr>
              <w:spacing w:line="240" w:lineRule="auto"/>
              <w:ind w:firstLine="0" w:firstLineChars="0"/>
              <w:jc w:val="center"/>
              <w:rPr>
                <w:rFonts w:hint="default" w:ascii="Times New Roman" w:hAnsi="Times New Roman" w:cs="Times New Roman"/>
                <w:color w:val="000000"/>
                <w:sz w:val="18"/>
                <w:szCs w:val="18"/>
                <w:highlight w:val="none"/>
              </w:rPr>
            </w:pPr>
            <w:r>
              <w:rPr>
                <w:rFonts w:hint="default" w:ascii="Times New Roman" w:hAnsi="Times New Roman" w:cs="Times New Roman"/>
                <w:color w:val="000000"/>
                <w:sz w:val="18"/>
                <w:szCs w:val="18"/>
                <w:highlight w:val="none"/>
              </w:rPr>
              <w:t>份</w:t>
            </w:r>
          </w:p>
        </w:tc>
        <w:tc>
          <w:tcPr>
            <w:tcW w:w="1527" w:type="dxa"/>
            <w:vAlign w:val="center"/>
          </w:tcPr>
          <w:p>
            <w:pPr>
              <w:pStyle w:val="70"/>
              <w:spacing w:line="240" w:lineRule="auto"/>
              <w:rPr>
                <w:rFonts w:hint="default" w:ascii="Times New Roman" w:hAnsi="Times New Roman" w:eastAsia="宋体" w:cs="Times New Roman"/>
                <w:szCs w:val="18"/>
                <w:highlight w:val="none"/>
              </w:rPr>
            </w:pPr>
          </w:p>
        </w:tc>
        <w:tc>
          <w:tcPr>
            <w:tcW w:w="1090" w:type="dxa"/>
            <w:vAlign w:val="center"/>
          </w:tcPr>
          <w:p>
            <w:pPr>
              <w:pStyle w:val="70"/>
              <w:spacing w:line="240" w:lineRule="auto"/>
              <w:rPr>
                <w:rFonts w:hint="default" w:ascii="Times New Roman" w:hAnsi="Times New Roman" w:eastAsia="宋体" w:cs="Times New Roman"/>
                <w:szCs w:val="18"/>
                <w:highlight w:val="none"/>
              </w:rPr>
            </w:pPr>
          </w:p>
        </w:tc>
        <w:tc>
          <w:tcPr>
            <w:tcW w:w="1340" w:type="dxa"/>
            <w:vAlign w:val="center"/>
          </w:tcPr>
          <w:p>
            <w:pPr>
              <w:pStyle w:val="70"/>
              <w:spacing w:line="240" w:lineRule="auto"/>
              <w:rPr>
                <w:rFonts w:hint="default" w:ascii="Times New Roman" w:hAnsi="Times New Roman" w:eastAsia="宋体" w:cs="Times New Roman"/>
                <w:szCs w:val="18"/>
                <w:highlight w:val="none"/>
              </w:rPr>
            </w:pPr>
          </w:p>
        </w:tc>
        <w:tc>
          <w:tcPr>
            <w:tcW w:w="1224" w:type="dxa"/>
          </w:tcPr>
          <w:p>
            <w:pPr>
              <w:pStyle w:val="70"/>
              <w:spacing w:line="240" w:lineRule="auto"/>
              <w:rPr>
                <w:rFonts w:hint="default" w:ascii="Times New Roman" w:hAnsi="Times New Roman" w:eastAsia="宋体" w:cs="Times New Roman"/>
                <w:szCs w:val="18"/>
                <w:highlight w:val="none"/>
              </w:rPr>
            </w:pPr>
          </w:p>
        </w:tc>
        <w:tc>
          <w:tcPr>
            <w:tcW w:w="942" w:type="dxa"/>
            <w:vAlign w:val="center"/>
          </w:tcPr>
          <w:p>
            <w:pPr>
              <w:pStyle w:val="70"/>
              <w:spacing w:line="240" w:lineRule="auto"/>
              <w:rPr>
                <w:rFonts w:hint="default" w:ascii="Times New Roman" w:hAnsi="Times New Roman" w:eastAsia="宋体" w:cs="Times New Roman"/>
                <w:szCs w:val="18"/>
                <w:highlight w:val="none"/>
              </w:rPr>
            </w:pPr>
          </w:p>
        </w:tc>
      </w:tr>
    </w:tbl>
    <w:p>
      <w:pPr>
        <w:pStyle w:val="3"/>
        <w:numPr>
          <w:ilvl w:val="0"/>
          <w:numId w:val="0"/>
        </w:numPr>
        <w:rPr>
          <w:rFonts w:ascii="黑体" w:hAnsi="黑体"/>
          <w:sz w:val="21"/>
          <w:szCs w:val="21"/>
          <w:highlight w:val="none"/>
        </w:rPr>
      </w:pPr>
      <w:bookmarkStart w:id="421" w:name="_Toc28527158"/>
      <w:bookmarkStart w:id="422" w:name="_Toc78989288"/>
      <w:bookmarkStart w:id="423" w:name="_Toc6388"/>
      <w:bookmarkStart w:id="424" w:name="_Toc38156018"/>
      <w:bookmarkStart w:id="425" w:name="_Toc494114022"/>
      <w:r>
        <w:rPr>
          <w:b/>
          <w:sz w:val="21"/>
          <w:szCs w:val="21"/>
          <w:highlight w:val="none"/>
        </w:rPr>
        <w:t>2.5</w:t>
      </w:r>
      <w:r>
        <w:rPr>
          <w:sz w:val="21"/>
          <w:szCs w:val="21"/>
          <w:highlight w:val="none"/>
        </w:rPr>
        <w:t xml:space="preserve"> </w:t>
      </w:r>
      <w:r>
        <w:rPr>
          <w:rFonts w:hint="eastAsia" w:ascii="黑体" w:hAnsi="黑体"/>
          <w:sz w:val="21"/>
          <w:szCs w:val="21"/>
          <w:highlight w:val="none"/>
        </w:rPr>
        <w:t>备品备件、专用工具和仪器仪表供货表</w:t>
      </w:r>
      <w:bookmarkEnd w:id="421"/>
      <w:bookmarkEnd w:id="422"/>
      <w:bookmarkEnd w:id="423"/>
      <w:bookmarkEnd w:id="424"/>
    </w:p>
    <w:p>
      <w:pPr>
        <w:ind w:firstLine="420"/>
        <w:contextualSpacing/>
        <w:rPr>
          <w:rFonts w:hAnsi="宋体"/>
          <w:sz w:val="21"/>
          <w:szCs w:val="21"/>
          <w:highlight w:val="none"/>
        </w:rPr>
      </w:pPr>
      <w:r>
        <w:rPr>
          <w:rFonts w:hint="eastAsia" w:hAnsi="宋体"/>
          <w:sz w:val="21"/>
          <w:szCs w:val="21"/>
          <w:highlight w:val="none"/>
        </w:rPr>
        <w:t>投标方应向需方提供必备的备品备件、专用工具和仪器仪表清单见表</w:t>
      </w:r>
      <w:r>
        <w:rPr>
          <w:rFonts w:hAnsi="宋体"/>
          <w:sz w:val="21"/>
          <w:szCs w:val="21"/>
          <w:highlight w:val="none"/>
        </w:rPr>
        <w:t>2.4</w:t>
      </w:r>
      <w:r>
        <w:rPr>
          <w:rFonts w:hint="eastAsia" w:hAnsi="宋体"/>
          <w:sz w:val="21"/>
          <w:szCs w:val="21"/>
          <w:highlight w:val="none"/>
        </w:rPr>
        <w:t>, 要求提供的备品备件、专用工具和仪器仪表应是新品, 与设备同型号、同工艺。</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eastAsia" w:ascii="Times New Roman" w:hAnsi="Times New Roman" w:eastAsia="黑体" w:cs="Times New Roman"/>
          <w:b w:val="0"/>
          <w:bCs/>
          <w:kern w:val="0"/>
          <w:sz w:val="18"/>
          <w:szCs w:val="24"/>
          <w:highlight w:val="none"/>
          <w:lang w:val="en-US" w:eastAsia="zh-CN" w:bidi="ar-SA"/>
        </w:rPr>
        <w:t>表</w:t>
      </w:r>
      <w:r>
        <w:rPr>
          <w:rFonts w:hint="default" w:ascii="Times New Roman" w:hAnsi="Times New Roman" w:eastAsia="黑体" w:cs="Times New Roman"/>
          <w:b w:val="0"/>
          <w:bCs/>
          <w:kern w:val="0"/>
          <w:sz w:val="18"/>
          <w:szCs w:val="24"/>
          <w:highlight w:val="none"/>
          <w:lang w:val="en-US" w:eastAsia="zh-CN" w:bidi="ar-SA"/>
        </w:rPr>
        <w:t xml:space="preserve">2.4 </w:t>
      </w:r>
      <w:r>
        <w:rPr>
          <w:rFonts w:hint="eastAsia" w:ascii="Times New Roman" w:hAnsi="Times New Roman" w:eastAsia="黑体" w:cs="Times New Roman"/>
          <w:b w:val="0"/>
          <w:bCs/>
          <w:kern w:val="0"/>
          <w:sz w:val="18"/>
          <w:szCs w:val="24"/>
          <w:highlight w:val="none"/>
          <w:lang w:val="en-US" w:eastAsia="zh-CN" w:bidi="ar-SA"/>
        </w:rPr>
        <w:t>必备及</w:t>
      </w:r>
      <w:r>
        <w:rPr>
          <w:rFonts w:hint="default" w:ascii="Times New Roman" w:hAnsi="Times New Roman" w:eastAsia="黑体" w:cs="Times New Roman"/>
          <w:b w:val="0"/>
          <w:bCs/>
          <w:kern w:val="0"/>
          <w:sz w:val="18"/>
          <w:szCs w:val="24"/>
          <w:highlight w:val="none"/>
          <w:lang w:val="en-US" w:eastAsia="zh-CN" w:bidi="ar-SA"/>
        </w:rPr>
        <w:t>推荐的</w:t>
      </w:r>
      <w:r>
        <w:rPr>
          <w:rFonts w:hint="eastAsia" w:ascii="Times New Roman" w:hAnsi="Times New Roman" w:eastAsia="黑体" w:cs="Times New Roman"/>
          <w:b w:val="0"/>
          <w:bCs/>
          <w:kern w:val="0"/>
          <w:sz w:val="18"/>
          <w:szCs w:val="24"/>
          <w:highlight w:val="none"/>
          <w:lang w:val="en-US" w:eastAsia="zh-CN" w:bidi="ar-SA"/>
        </w:rPr>
        <w:t>备品备件、专用工具和仪器仪表清单 （投标方填写）</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60"/>
        <w:gridCol w:w="1349"/>
        <w:gridCol w:w="1313"/>
        <w:gridCol w:w="944"/>
        <w:gridCol w:w="1598"/>
        <w:gridCol w:w="1123"/>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dxa"/>
            <w:vAlign w:val="center"/>
          </w:tcPr>
          <w:p>
            <w:pPr>
              <w:pStyle w:val="14"/>
              <w:jc w:val="center"/>
              <w:rPr>
                <w:rFonts w:hAnsi="宋体"/>
                <w:b/>
                <w:bCs/>
                <w:sz w:val="18"/>
                <w:szCs w:val="18"/>
                <w:highlight w:val="none"/>
              </w:rPr>
            </w:pPr>
            <w:r>
              <w:rPr>
                <w:rFonts w:hint="eastAsia" w:hAnsi="宋体"/>
                <w:b/>
                <w:bCs/>
                <w:sz w:val="18"/>
                <w:szCs w:val="18"/>
                <w:highlight w:val="none"/>
              </w:rPr>
              <w:t>序号</w:t>
            </w:r>
          </w:p>
        </w:tc>
        <w:tc>
          <w:tcPr>
            <w:tcW w:w="1660" w:type="dxa"/>
            <w:vAlign w:val="center"/>
          </w:tcPr>
          <w:p>
            <w:pPr>
              <w:pStyle w:val="14"/>
              <w:jc w:val="center"/>
              <w:rPr>
                <w:rFonts w:hAnsi="宋体"/>
                <w:b/>
                <w:bCs/>
                <w:sz w:val="18"/>
                <w:szCs w:val="18"/>
                <w:highlight w:val="none"/>
              </w:rPr>
            </w:pPr>
            <w:r>
              <w:rPr>
                <w:rFonts w:hint="eastAsia" w:hAnsi="宋体"/>
                <w:b/>
                <w:bCs/>
                <w:sz w:val="18"/>
                <w:szCs w:val="18"/>
                <w:highlight w:val="none"/>
              </w:rPr>
              <w:t>名称</w:t>
            </w:r>
          </w:p>
        </w:tc>
        <w:tc>
          <w:tcPr>
            <w:tcW w:w="1349" w:type="dxa"/>
            <w:vAlign w:val="center"/>
          </w:tcPr>
          <w:p>
            <w:pPr>
              <w:pStyle w:val="14"/>
              <w:jc w:val="center"/>
              <w:rPr>
                <w:rFonts w:hAnsi="宋体"/>
                <w:b/>
                <w:bCs/>
                <w:sz w:val="18"/>
                <w:szCs w:val="18"/>
                <w:highlight w:val="none"/>
              </w:rPr>
            </w:pPr>
            <w:r>
              <w:rPr>
                <w:rFonts w:hint="eastAsia" w:hAnsi="宋体"/>
                <w:b/>
                <w:bCs/>
                <w:sz w:val="18"/>
                <w:szCs w:val="18"/>
                <w:highlight w:val="none"/>
              </w:rPr>
              <w:t>型号及规格</w:t>
            </w:r>
          </w:p>
        </w:tc>
        <w:tc>
          <w:tcPr>
            <w:tcW w:w="1313" w:type="dxa"/>
            <w:vAlign w:val="center"/>
          </w:tcPr>
          <w:p>
            <w:pPr>
              <w:pStyle w:val="14"/>
              <w:jc w:val="center"/>
              <w:rPr>
                <w:rFonts w:hAnsi="宋体"/>
                <w:b/>
                <w:bCs/>
                <w:sz w:val="18"/>
                <w:szCs w:val="18"/>
                <w:highlight w:val="none"/>
              </w:rPr>
            </w:pPr>
            <w:r>
              <w:rPr>
                <w:rFonts w:hint="eastAsia" w:hAnsi="宋体"/>
                <w:b/>
                <w:bCs/>
                <w:sz w:val="18"/>
                <w:szCs w:val="18"/>
                <w:highlight w:val="none"/>
              </w:rPr>
              <w:t>单位</w:t>
            </w:r>
          </w:p>
        </w:tc>
        <w:tc>
          <w:tcPr>
            <w:tcW w:w="944" w:type="dxa"/>
            <w:vAlign w:val="center"/>
          </w:tcPr>
          <w:p>
            <w:pPr>
              <w:pStyle w:val="14"/>
              <w:jc w:val="center"/>
              <w:rPr>
                <w:rFonts w:hAnsi="宋体"/>
                <w:b/>
                <w:bCs/>
                <w:sz w:val="18"/>
                <w:szCs w:val="18"/>
                <w:highlight w:val="none"/>
              </w:rPr>
            </w:pPr>
            <w:r>
              <w:rPr>
                <w:rFonts w:hint="eastAsia" w:hAnsi="宋体"/>
                <w:b/>
                <w:bCs/>
                <w:sz w:val="18"/>
                <w:szCs w:val="18"/>
                <w:highlight w:val="none"/>
              </w:rPr>
              <w:t>数量</w:t>
            </w:r>
          </w:p>
        </w:tc>
        <w:tc>
          <w:tcPr>
            <w:tcW w:w="1598" w:type="dxa"/>
            <w:vAlign w:val="center"/>
          </w:tcPr>
          <w:p>
            <w:pPr>
              <w:pStyle w:val="14"/>
              <w:jc w:val="center"/>
              <w:rPr>
                <w:rFonts w:hAnsi="宋体"/>
                <w:b/>
                <w:bCs/>
                <w:sz w:val="18"/>
                <w:szCs w:val="18"/>
                <w:highlight w:val="none"/>
              </w:rPr>
            </w:pPr>
            <w:r>
              <w:rPr>
                <w:rFonts w:hint="eastAsia" w:hAnsi="宋体"/>
                <w:b/>
                <w:bCs/>
                <w:sz w:val="18"/>
                <w:szCs w:val="18"/>
                <w:highlight w:val="none"/>
              </w:rPr>
              <w:t>使用处</w:t>
            </w:r>
          </w:p>
        </w:tc>
        <w:tc>
          <w:tcPr>
            <w:tcW w:w="1123" w:type="dxa"/>
            <w:vAlign w:val="center"/>
          </w:tcPr>
          <w:p>
            <w:pPr>
              <w:pStyle w:val="14"/>
              <w:jc w:val="center"/>
              <w:rPr>
                <w:rFonts w:hAnsi="宋体"/>
                <w:b/>
                <w:bCs/>
                <w:sz w:val="18"/>
                <w:szCs w:val="18"/>
                <w:highlight w:val="none"/>
              </w:rPr>
            </w:pPr>
            <w:r>
              <w:rPr>
                <w:rFonts w:hint="eastAsia" w:hAnsi="宋体"/>
                <w:b/>
                <w:bCs/>
                <w:sz w:val="18"/>
                <w:szCs w:val="18"/>
                <w:highlight w:val="none"/>
              </w:rPr>
              <w:t>制造商</w:t>
            </w:r>
          </w:p>
        </w:tc>
        <w:tc>
          <w:tcPr>
            <w:tcW w:w="1151" w:type="dxa"/>
            <w:vAlign w:val="center"/>
          </w:tcPr>
          <w:p>
            <w:pPr>
              <w:pStyle w:val="14"/>
              <w:jc w:val="center"/>
              <w:rPr>
                <w:rFonts w:hAnsi="宋体"/>
                <w:b/>
                <w:bCs/>
                <w:sz w:val="18"/>
                <w:szCs w:val="18"/>
                <w:highlight w:val="none"/>
              </w:rPr>
            </w:pPr>
            <w:r>
              <w:rPr>
                <w:rFonts w:hint="eastAsia" w:hAnsi="宋体"/>
                <w:b/>
                <w:bCs/>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pPr>
              <w:pStyle w:val="14"/>
              <w:jc w:val="center"/>
              <w:rPr>
                <w:rFonts w:hAnsi="宋体"/>
                <w:sz w:val="18"/>
                <w:szCs w:val="18"/>
                <w:highlight w:val="none"/>
              </w:rPr>
            </w:pPr>
          </w:p>
        </w:tc>
        <w:tc>
          <w:tcPr>
            <w:tcW w:w="1660" w:type="dxa"/>
          </w:tcPr>
          <w:p>
            <w:pPr>
              <w:pStyle w:val="14"/>
              <w:jc w:val="center"/>
              <w:rPr>
                <w:rFonts w:hAnsi="宋体"/>
                <w:sz w:val="18"/>
                <w:szCs w:val="18"/>
                <w:highlight w:val="none"/>
              </w:rPr>
            </w:pPr>
          </w:p>
        </w:tc>
        <w:tc>
          <w:tcPr>
            <w:tcW w:w="1349" w:type="dxa"/>
          </w:tcPr>
          <w:p>
            <w:pPr>
              <w:pStyle w:val="14"/>
              <w:jc w:val="center"/>
              <w:rPr>
                <w:rFonts w:hAnsi="宋体"/>
                <w:sz w:val="18"/>
                <w:szCs w:val="18"/>
                <w:highlight w:val="none"/>
              </w:rPr>
            </w:pPr>
          </w:p>
        </w:tc>
        <w:tc>
          <w:tcPr>
            <w:tcW w:w="1313" w:type="dxa"/>
          </w:tcPr>
          <w:p>
            <w:pPr>
              <w:pStyle w:val="14"/>
              <w:jc w:val="center"/>
              <w:rPr>
                <w:rFonts w:hAnsi="宋体"/>
                <w:sz w:val="18"/>
                <w:szCs w:val="18"/>
                <w:highlight w:val="none"/>
              </w:rPr>
            </w:pPr>
          </w:p>
        </w:tc>
        <w:tc>
          <w:tcPr>
            <w:tcW w:w="944" w:type="dxa"/>
          </w:tcPr>
          <w:p>
            <w:pPr>
              <w:pStyle w:val="14"/>
              <w:jc w:val="center"/>
              <w:rPr>
                <w:rFonts w:hAnsi="宋体"/>
                <w:sz w:val="18"/>
                <w:szCs w:val="18"/>
                <w:highlight w:val="none"/>
              </w:rPr>
            </w:pPr>
          </w:p>
        </w:tc>
        <w:tc>
          <w:tcPr>
            <w:tcW w:w="1598" w:type="dxa"/>
          </w:tcPr>
          <w:p>
            <w:pPr>
              <w:pStyle w:val="14"/>
              <w:jc w:val="center"/>
              <w:rPr>
                <w:rFonts w:hAnsi="宋体"/>
                <w:sz w:val="18"/>
                <w:szCs w:val="18"/>
                <w:highlight w:val="none"/>
              </w:rPr>
            </w:pPr>
          </w:p>
        </w:tc>
        <w:tc>
          <w:tcPr>
            <w:tcW w:w="1123" w:type="dxa"/>
          </w:tcPr>
          <w:p>
            <w:pPr>
              <w:pStyle w:val="14"/>
              <w:jc w:val="center"/>
              <w:rPr>
                <w:rFonts w:hAnsi="宋体"/>
                <w:sz w:val="18"/>
                <w:szCs w:val="18"/>
                <w:highlight w:val="none"/>
              </w:rPr>
            </w:pPr>
          </w:p>
        </w:tc>
        <w:tc>
          <w:tcPr>
            <w:tcW w:w="1151" w:type="dxa"/>
          </w:tcPr>
          <w:p>
            <w:pPr>
              <w:pStyle w:val="14"/>
              <w:jc w:val="center"/>
              <w:rPr>
                <w:rFonts w:hAnsi="宋体"/>
                <w:sz w:val="18"/>
                <w:szCs w:val="18"/>
                <w:highlight w:val="none"/>
              </w:rPr>
            </w:pPr>
          </w:p>
        </w:tc>
      </w:tr>
      <w:bookmarkEnd w:id="425"/>
    </w:tbl>
    <w:p>
      <w:pPr>
        <w:pStyle w:val="35"/>
        <w:spacing w:before="312" w:after="312"/>
        <w:rPr>
          <w:sz w:val="21"/>
          <w:szCs w:val="21"/>
          <w:highlight w:val="none"/>
        </w:rPr>
      </w:pPr>
      <w:bookmarkStart w:id="426" w:name="_Toc78989289"/>
      <w:bookmarkStart w:id="427" w:name="_Toc38145761"/>
      <w:bookmarkStart w:id="428" w:name="_Toc9050"/>
      <w:r>
        <w:rPr>
          <w:sz w:val="21"/>
          <w:szCs w:val="21"/>
          <w:highlight w:val="none"/>
        </w:rPr>
        <w:t xml:space="preserve">3  </w:t>
      </w:r>
      <w:r>
        <w:rPr>
          <w:rFonts w:hint="eastAsia"/>
          <w:b w:val="0"/>
          <w:bCs/>
          <w:sz w:val="21"/>
          <w:szCs w:val="21"/>
          <w:highlight w:val="none"/>
        </w:rPr>
        <w:t>投标方技术偏差</w:t>
      </w:r>
      <w:bookmarkEnd w:id="426"/>
      <w:bookmarkEnd w:id="427"/>
      <w:bookmarkEnd w:id="428"/>
    </w:p>
    <w:p>
      <w:pPr>
        <w:pStyle w:val="36"/>
        <w:rPr>
          <w:sz w:val="21"/>
          <w:szCs w:val="21"/>
          <w:highlight w:val="none"/>
        </w:rPr>
      </w:pPr>
      <w:bookmarkStart w:id="429" w:name="_Toc38145762"/>
      <w:bookmarkStart w:id="430" w:name="_Toc30264"/>
      <w:bookmarkStart w:id="431" w:name="_Toc78989290"/>
      <w:r>
        <w:rPr>
          <w:sz w:val="21"/>
          <w:szCs w:val="21"/>
          <w:highlight w:val="none"/>
        </w:rPr>
        <w:t>3.1</w:t>
      </w:r>
      <w:r>
        <w:rPr>
          <w:rFonts w:hint="eastAsia"/>
          <w:b w:val="0"/>
          <w:bCs/>
          <w:sz w:val="21"/>
          <w:szCs w:val="21"/>
          <w:highlight w:val="none"/>
        </w:rPr>
        <w:t>投标方技术偏差</w:t>
      </w:r>
      <w:bookmarkEnd w:id="429"/>
      <w:bookmarkEnd w:id="430"/>
      <w:bookmarkEnd w:id="431"/>
    </w:p>
    <w:p>
      <w:pPr>
        <w:ind w:firstLine="400"/>
        <w:rPr>
          <w:highlight w:val="none"/>
        </w:rPr>
      </w:pPr>
      <w:r>
        <w:rPr>
          <w:highlight w:val="none"/>
        </w:rPr>
        <w:t>投标方应将所供设备与本采购标准有差异之处，无论优于或劣于本</w:t>
      </w:r>
      <w:r>
        <w:rPr>
          <w:rFonts w:hint="eastAsia"/>
          <w:highlight w:val="none"/>
        </w:rPr>
        <w:t>技术</w:t>
      </w:r>
      <w:r>
        <w:rPr>
          <w:highlight w:val="none"/>
        </w:rPr>
        <w:t>规范书要求，均汇集成此表。</w:t>
      </w:r>
    </w:p>
    <w:p>
      <w:pPr>
        <w:ind w:firstLine="360"/>
        <w:jc w:val="center"/>
        <w:rPr>
          <w:rFonts w:hint="default" w:ascii="Times New Roman" w:hAnsi="Times New Roman" w:eastAsia="黑体" w:cs="Times New Roman"/>
          <w:b w:val="0"/>
          <w:bCs/>
          <w:kern w:val="0"/>
          <w:sz w:val="18"/>
          <w:szCs w:val="24"/>
          <w:highlight w:val="none"/>
          <w:lang w:val="en-US" w:eastAsia="zh-CN" w:bidi="ar-SA"/>
        </w:rPr>
      </w:pPr>
      <w:r>
        <w:rPr>
          <w:rFonts w:hint="default" w:ascii="Times New Roman" w:hAnsi="Times New Roman" w:eastAsia="黑体" w:cs="Times New Roman"/>
          <w:b w:val="0"/>
          <w:bCs/>
          <w:kern w:val="0"/>
          <w:sz w:val="18"/>
          <w:szCs w:val="24"/>
          <w:highlight w:val="none"/>
          <w:lang w:val="en-US" w:eastAsia="zh-CN" w:bidi="ar-SA"/>
        </w:rPr>
        <w:t>表3.1 投标单位技术差异表</w:t>
      </w:r>
    </w:p>
    <w:tbl>
      <w:tblPr>
        <w:tblStyle w:val="27"/>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820"/>
        <w:gridCol w:w="2607"/>
        <w:gridCol w:w="1709"/>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dxa"/>
            <w:vAlign w:val="center"/>
          </w:tcPr>
          <w:p>
            <w:pPr>
              <w:pStyle w:val="38"/>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序号</w:t>
            </w:r>
          </w:p>
        </w:tc>
        <w:tc>
          <w:tcPr>
            <w:tcW w:w="1820" w:type="dxa"/>
            <w:vAlign w:val="center"/>
          </w:tcPr>
          <w:p>
            <w:pPr>
              <w:pStyle w:val="38"/>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招标文件条目</w:t>
            </w:r>
          </w:p>
        </w:tc>
        <w:tc>
          <w:tcPr>
            <w:tcW w:w="2607" w:type="dxa"/>
            <w:vAlign w:val="center"/>
          </w:tcPr>
          <w:p>
            <w:pPr>
              <w:pStyle w:val="38"/>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招标文件简要内容</w:t>
            </w:r>
          </w:p>
        </w:tc>
        <w:tc>
          <w:tcPr>
            <w:tcW w:w="1709" w:type="dxa"/>
            <w:vAlign w:val="center"/>
          </w:tcPr>
          <w:p>
            <w:pPr>
              <w:pStyle w:val="38"/>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投标文件条目</w:t>
            </w:r>
          </w:p>
        </w:tc>
        <w:tc>
          <w:tcPr>
            <w:tcW w:w="2795" w:type="dxa"/>
            <w:vAlign w:val="center"/>
          </w:tcPr>
          <w:p>
            <w:pPr>
              <w:pStyle w:val="38"/>
              <w:spacing w:line="240" w:lineRule="auto"/>
              <w:rPr>
                <w:rFonts w:hint="default" w:ascii="Times New Roman" w:hAnsi="Times New Roman" w:eastAsia="宋体" w:cs="Times New Roman"/>
                <w:highlight w:val="none"/>
              </w:rPr>
            </w:pPr>
            <w:r>
              <w:rPr>
                <w:rFonts w:hint="default" w:ascii="Times New Roman" w:hAnsi="Times New Roman" w:eastAsia="宋体" w:cs="Times New Roman"/>
                <w:highlight w:val="none"/>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1</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2</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3</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4</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5</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atLeast"/>
          <w:jc w:val="center"/>
        </w:trPr>
        <w:tc>
          <w:tcPr>
            <w:tcW w:w="923" w:type="dxa"/>
            <w:vAlign w:val="center"/>
          </w:tcPr>
          <w:p>
            <w:pPr>
              <w:pStyle w:val="70"/>
              <w:spacing w:line="240" w:lineRule="auto"/>
              <w:jc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6</w:t>
            </w:r>
          </w:p>
        </w:tc>
        <w:tc>
          <w:tcPr>
            <w:tcW w:w="1820" w:type="dxa"/>
            <w:vAlign w:val="center"/>
          </w:tcPr>
          <w:p>
            <w:pPr>
              <w:pStyle w:val="70"/>
              <w:spacing w:line="240" w:lineRule="auto"/>
              <w:jc w:val="center"/>
              <w:rPr>
                <w:rFonts w:hint="default" w:ascii="Times New Roman" w:hAnsi="Times New Roman" w:eastAsia="宋体" w:cs="Times New Roman"/>
                <w:highlight w:val="none"/>
              </w:rPr>
            </w:pPr>
          </w:p>
        </w:tc>
        <w:tc>
          <w:tcPr>
            <w:tcW w:w="2607" w:type="dxa"/>
            <w:vAlign w:val="center"/>
          </w:tcPr>
          <w:p>
            <w:pPr>
              <w:pStyle w:val="70"/>
              <w:spacing w:line="240" w:lineRule="auto"/>
              <w:jc w:val="center"/>
              <w:rPr>
                <w:rFonts w:hint="default" w:ascii="Times New Roman" w:hAnsi="Times New Roman" w:eastAsia="宋体" w:cs="Times New Roman"/>
                <w:highlight w:val="none"/>
              </w:rPr>
            </w:pPr>
          </w:p>
        </w:tc>
        <w:tc>
          <w:tcPr>
            <w:tcW w:w="1709" w:type="dxa"/>
            <w:vAlign w:val="center"/>
          </w:tcPr>
          <w:p>
            <w:pPr>
              <w:pStyle w:val="70"/>
              <w:spacing w:line="240" w:lineRule="auto"/>
              <w:jc w:val="center"/>
              <w:rPr>
                <w:rFonts w:hint="default" w:ascii="Times New Roman" w:hAnsi="Times New Roman" w:eastAsia="宋体" w:cs="Times New Roman"/>
                <w:highlight w:val="none"/>
              </w:rPr>
            </w:pPr>
          </w:p>
        </w:tc>
        <w:tc>
          <w:tcPr>
            <w:tcW w:w="2795" w:type="dxa"/>
            <w:vAlign w:val="center"/>
          </w:tcPr>
          <w:p>
            <w:pPr>
              <w:pStyle w:val="70"/>
              <w:spacing w:line="240" w:lineRule="auto"/>
              <w:jc w:val="center"/>
              <w:rPr>
                <w:rFonts w:hint="default" w:ascii="Times New Roman" w:hAnsi="Times New Roman" w:eastAsia="宋体" w:cs="Times New Roman"/>
                <w:highlight w:val="none"/>
              </w:rPr>
            </w:pPr>
          </w:p>
        </w:tc>
      </w:tr>
    </w:tbl>
    <w:p>
      <w:pPr>
        <w:adjustRightInd w:val="0"/>
        <w:snapToGrid w:val="0"/>
        <w:spacing w:before="159" w:beforeLines="50"/>
        <w:ind w:firstLine="400"/>
        <w:rPr>
          <w:szCs w:val="21"/>
          <w:highlight w:val="none"/>
        </w:rPr>
      </w:pPr>
      <w:r>
        <w:rPr>
          <w:szCs w:val="21"/>
          <w:highlight w:val="none"/>
        </w:rPr>
        <w:t>投标方：</w:t>
      </w:r>
      <w:r>
        <w:rPr>
          <w:szCs w:val="21"/>
          <w:highlight w:val="none"/>
          <w:u w:val="single"/>
        </w:rPr>
        <w:t xml:space="preserve">             </w:t>
      </w:r>
      <w:r>
        <w:rPr>
          <w:szCs w:val="21"/>
          <w:highlight w:val="none"/>
        </w:rPr>
        <w:t xml:space="preserve">   盖章：</w:t>
      </w:r>
      <w:r>
        <w:rPr>
          <w:szCs w:val="21"/>
          <w:highlight w:val="none"/>
          <w:u w:val="single"/>
        </w:rPr>
        <w:t xml:space="preserve">             </w:t>
      </w:r>
      <w:r>
        <w:rPr>
          <w:szCs w:val="21"/>
          <w:highlight w:val="none"/>
        </w:rPr>
        <w:t xml:space="preserve"> </w:t>
      </w:r>
    </w:p>
    <w:p>
      <w:pPr>
        <w:pStyle w:val="36"/>
        <w:rPr>
          <w:sz w:val="21"/>
          <w:szCs w:val="21"/>
          <w:highlight w:val="none"/>
        </w:rPr>
      </w:pPr>
      <w:bookmarkStart w:id="432" w:name="_Toc494114024"/>
      <w:bookmarkStart w:id="433" w:name="_Toc25120"/>
      <w:bookmarkStart w:id="434" w:name="_Toc78989291"/>
      <w:r>
        <w:rPr>
          <w:sz w:val="21"/>
          <w:szCs w:val="21"/>
          <w:highlight w:val="none"/>
        </w:rPr>
        <w:t xml:space="preserve">3.2 </w:t>
      </w:r>
      <w:r>
        <w:rPr>
          <w:rFonts w:hint="eastAsia"/>
          <w:b w:val="0"/>
          <w:bCs/>
          <w:sz w:val="21"/>
          <w:szCs w:val="21"/>
          <w:highlight w:val="none"/>
        </w:rPr>
        <w:t>投标方需说明的其他问题</w:t>
      </w:r>
      <w:bookmarkEnd w:id="432"/>
      <w:bookmarkEnd w:id="433"/>
      <w:bookmarkEnd w:id="434"/>
    </w:p>
    <w:p>
      <w:pPr>
        <w:ind w:firstLine="400"/>
        <w:rPr>
          <w:highlight w:val="none"/>
        </w:rPr>
      </w:pPr>
      <w:r>
        <w:rPr>
          <w:highlight w:val="none"/>
        </w:rPr>
        <w:t>如有需说明的其他问题，投标方应通过书面形式提交，并加盖公章。</w:t>
      </w:r>
    </w:p>
    <w:bookmarkEnd w:id="435"/>
    <w:sectPr>
      <w:pgSz w:w="11906" w:h="16838"/>
      <w:pgMar w:top="1134" w:right="1134" w:bottom="1134" w:left="1134" w:header="851" w:footer="992"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ind w:firstLine="400"/>
    </w:pPr>
    <w:r>
      <w:fldChar w:fldCharType="begin"/>
    </w:r>
    <w:r>
      <w:instrText xml:space="preserve">PAGE  </w:instrText>
    </w:r>
    <w:r>
      <w:fldChar w:fldCharType="end"/>
    </w:r>
  </w:p>
  <w:p>
    <w:pPr>
      <w:ind w:right="360" w:firstLine="40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 PAGE   \* MERGEFORMAT </w:instrText>
    </w:r>
    <w:r>
      <w:fldChar w:fldCharType="separate"/>
    </w:r>
    <w:r>
      <w:rPr>
        <w:lang w:val="zh-CN"/>
      </w:rPr>
      <w:t>15</w:t>
    </w:r>
    <w:r>
      <w:fldChar w:fldCharType="end"/>
    </w:r>
  </w:p>
  <w:p>
    <w:pPr>
      <w:pStyle w:val="17"/>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hint="eastAsia"/>
      </w:rPr>
    </w:pPr>
    <w:r>
      <w:fldChar w:fldCharType="begin"/>
    </w:r>
    <w:r>
      <w:rPr>
        <w:rStyle w:val="31"/>
      </w:rPr>
      <w:instrText xml:space="preserve"> PAGE </w:instrText>
    </w:r>
    <w:r>
      <w:fldChar w:fldCharType="separate"/>
    </w:r>
    <w:r>
      <w:rPr>
        <w:rStyle w:val="31"/>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0"/>
      <w:jc w:val="center"/>
    </w:pPr>
    <w:r>
      <w:fldChar w:fldCharType="begin"/>
    </w:r>
    <w:r>
      <w:instrText xml:space="preserve">PAGE   \* MERGEFORMAT</w:instrText>
    </w:r>
    <w:r>
      <w:fldChar w:fldCharType="separate"/>
    </w:r>
    <w:r>
      <w:rPr>
        <w:lang w:val="zh-CN"/>
      </w:rPr>
      <w:t>22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00"/>
      </w:pPr>
      <w:r>
        <w:separator/>
      </w:r>
    </w:p>
  </w:footnote>
  <w:footnote w:type="continuationSeparator" w:id="1">
    <w:p>
      <w:pPr>
        <w:spacing w:line="360" w:lineRule="auto"/>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left="7600" w:hanging="7600" w:hangingChars="3800"/>
      <w:jc w:val="center"/>
    </w:pPr>
    <w:r>
      <w:rPr>
        <w:rFonts w:hint="eastAsia" w:asciiTheme="minorEastAsia" w:hAnsiTheme="minorEastAsia" w:eastAsiaTheme="minorEastAsia"/>
        <w:szCs w:val="20"/>
      </w:rPr>
      <w:t>10kV</w:t>
    </w:r>
    <w:r>
      <w:rPr>
        <w:rFonts w:hint="eastAsia" w:asciiTheme="minorEastAsia" w:hAnsiTheme="minorEastAsia" w:eastAsiaTheme="minorEastAsia"/>
        <w:color w:val="FF0000"/>
        <w:szCs w:val="20"/>
      </w:rPr>
      <w:t>电缆附件</w:t>
    </w:r>
    <w:r>
      <w:rPr>
        <w:rFonts w:hint="eastAsia" w:asciiTheme="minorEastAsia" w:hAnsiTheme="minorEastAsia" w:eastAsiaTheme="minorEastAsia"/>
        <w:szCs w:val="20"/>
      </w:rPr>
      <w:t>技术规范书（专用</w:t>
    </w:r>
    <w:r>
      <w:rPr>
        <w:rFonts w:hint="eastAsia"/>
      </w:rPr>
      <w:t>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rFonts w:hint="eastAsia"/>
      </w:rPr>
      <w:t>10kV电力电缆附件技术规范书（专用部分）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ind w:left="6840" w:hanging="6840" w:hangingChars="3800"/>
    </w:pPr>
    <w:r>
      <w:rPr>
        <w:rFonts w:hint="eastAsia"/>
      </w:rPr>
      <w:t>10</w:t>
    </w:r>
    <w:r>
      <w:t>kV</w:t>
    </w:r>
    <w:r>
      <w:rPr>
        <w:rFonts w:hint="eastAsia"/>
        <w:lang w:val="en-US" w:eastAsia="zh-CN"/>
      </w:rPr>
      <w:t>铝合金</w:t>
    </w:r>
    <w:r>
      <w:rPr>
        <w:rFonts w:hint="eastAsia"/>
      </w:rPr>
      <w:t>芯交联聚乙烯绝缘电力电缆技术规范专用部分</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left="6840" w:hanging="6840" w:hangingChars="3800"/>
      <w:jc w:val="center"/>
      <w:rPr>
        <w:sz w:val="18"/>
        <w:szCs w:val="18"/>
      </w:rPr>
    </w:pPr>
    <w:r>
      <w:rPr>
        <w:rFonts w:hint="eastAsia" w:asciiTheme="minorEastAsia" w:hAnsiTheme="minorEastAsia" w:eastAsiaTheme="minorEastAsia"/>
        <w:sz w:val="18"/>
        <w:szCs w:val="18"/>
      </w:rPr>
      <w:t>10kV电力电缆附件技术规范书（专用</w:t>
    </w:r>
    <w:r>
      <w:rPr>
        <w:rFonts w:hint="eastAsia"/>
        <w:sz w:val="18"/>
        <w:szCs w:val="18"/>
      </w:rPr>
      <w:t>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1"/>
      <w:lvlText w:val=""/>
      <w:lvlJc w:val="left"/>
      <w:pPr>
        <w:tabs>
          <w:tab w:val="left" w:pos="360"/>
        </w:tabs>
        <w:ind w:left="360" w:hanging="360" w:hangingChars="200"/>
      </w:pPr>
      <w:rPr>
        <w:rFonts w:hint="default" w:ascii="Wingdings" w:hAnsi="Wingdings"/>
      </w:rPr>
    </w:lvl>
  </w:abstractNum>
  <w:abstractNum w:abstractNumId="1">
    <w:nsid w:val="0000001F"/>
    <w:multiLevelType w:val="multilevel"/>
    <w:tmpl w:val="0000001F"/>
    <w:lvl w:ilvl="0" w:tentative="0">
      <w:start w:val="1"/>
      <w:numFmt w:val="none"/>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2">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hideSpellingErrors/>
  <w:documentProtection w:enforcement="0"/>
  <w:defaultTabStop w:val="420"/>
  <w:drawingGridHorizontalSpacing w:val="100"/>
  <w:drawingGridVerticalSpacing w:val="319"/>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8"/>
    <w:rsid w:val="00000EA5"/>
    <w:rsid w:val="00001E2C"/>
    <w:rsid w:val="00002ECA"/>
    <w:rsid w:val="000074E9"/>
    <w:rsid w:val="00007961"/>
    <w:rsid w:val="000103D7"/>
    <w:rsid w:val="00010F37"/>
    <w:rsid w:val="000128D9"/>
    <w:rsid w:val="00012AA2"/>
    <w:rsid w:val="00013FFB"/>
    <w:rsid w:val="000144B8"/>
    <w:rsid w:val="0001584C"/>
    <w:rsid w:val="00015D91"/>
    <w:rsid w:val="000165CC"/>
    <w:rsid w:val="00021694"/>
    <w:rsid w:val="00025778"/>
    <w:rsid w:val="000257DE"/>
    <w:rsid w:val="00030826"/>
    <w:rsid w:val="00030F11"/>
    <w:rsid w:val="0003222A"/>
    <w:rsid w:val="0003227D"/>
    <w:rsid w:val="0003471E"/>
    <w:rsid w:val="00034F4D"/>
    <w:rsid w:val="000352CB"/>
    <w:rsid w:val="000358A4"/>
    <w:rsid w:val="00037923"/>
    <w:rsid w:val="0004100B"/>
    <w:rsid w:val="000430E4"/>
    <w:rsid w:val="000449AE"/>
    <w:rsid w:val="0004795B"/>
    <w:rsid w:val="000532B0"/>
    <w:rsid w:val="00055F06"/>
    <w:rsid w:val="00056CD8"/>
    <w:rsid w:val="00057491"/>
    <w:rsid w:val="000575C3"/>
    <w:rsid w:val="00060853"/>
    <w:rsid w:val="000619D0"/>
    <w:rsid w:val="00063DA7"/>
    <w:rsid w:val="00064896"/>
    <w:rsid w:val="00066A93"/>
    <w:rsid w:val="000734ED"/>
    <w:rsid w:val="00075E31"/>
    <w:rsid w:val="00075F58"/>
    <w:rsid w:val="000761EA"/>
    <w:rsid w:val="00077086"/>
    <w:rsid w:val="000772D5"/>
    <w:rsid w:val="0008115C"/>
    <w:rsid w:val="00081455"/>
    <w:rsid w:val="00082586"/>
    <w:rsid w:val="0008267D"/>
    <w:rsid w:val="00083921"/>
    <w:rsid w:val="00084623"/>
    <w:rsid w:val="0008531F"/>
    <w:rsid w:val="00086739"/>
    <w:rsid w:val="00090950"/>
    <w:rsid w:val="00094325"/>
    <w:rsid w:val="0009637D"/>
    <w:rsid w:val="000A3E94"/>
    <w:rsid w:val="000A44BA"/>
    <w:rsid w:val="000A616C"/>
    <w:rsid w:val="000A7AD4"/>
    <w:rsid w:val="000B042C"/>
    <w:rsid w:val="000B2F84"/>
    <w:rsid w:val="000B545B"/>
    <w:rsid w:val="000C2771"/>
    <w:rsid w:val="000C3B9E"/>
    <w:rsid w:val="000C3D50"/>
    <w:rsid w:val="000C51CA"/>
    <w:rsid w:val="000C57C3"/>
    <w:rsid w:val="000C5DB0"/>
    <w:rsid w:val="000C5E97"/>
    <w:rsid w:val="000C75AE"/>
    <w:rsid w:val="000D010E"/>
    <w:rsid w:val="000D0DD8"/>
    <w:rsid w:val="000D3A43"/>
    <w:rsid w:val="000D7457"/>
    <w:rsid w:val="000E0DE8"/>
    <w:rsid w:val="000E3273"/>
    <w:rsid w:val="000E42DC"/>
    <w:rsid w:val="000E4550"/>
    <w:rsid w:val="000E584E"/>
    <w:rsid w:val="000E701C"/>
    <w:rsid w:val="000E7840"/>
    <w:rsid w:val="000F1461"/>
    <w:rsid w:val="000F4520"/>
    <w:rsid w:val="000F4C3E"/>
    <w:rsid w:val="000F52DC"/>
    <w:rsid w:val="0010020F"/>
    <w:rsid w:val="001010DE"/>
    <w:rsid w:val="00101F3B"/>
    <w:rsid w:val="001079C9"/>
    <w:rsid w:val="00111D41"/>
    <w:rsid w:val="00114C77"/>
    <w:rsid w:val="00116D48"/>
    <w:rsid w:val="001210EB"/>
    <w:rsid w:val="0012334D"/>
    <w:rsid w:val="001234D3"/>
    <w:rsid w:val="00124139"/>
    <w:rsid w:val="00124C53"/>
    <w:rsid w:val="001259CB"/>
    <w:rsid w:val="00126C26"/>
    <w:rsid w:val="00130A02"/>
    <w:rsid w:val="00130E34"/>
    <w:rsid w:val="00131076"/>
    <w:rsid w:val="00132BD5"/>
    <w:rsid w:val="00132DE9"/>
    <w:rsid w:val="00133385"/>
    <w:rsid w:val="001353EB"/>
    <w:rsid w:val="00135C4E"/>
    <w:rsid w:val="0014350B"/>
    <w:rsid w:val="001440E4"/>
    <w:rsid w:val="00144B43"/>
    <w:rsid w:val="00144F91"/>
    <w:rsid w:val="00145E18"/>
    <w:rsid w:val="00150044"/>
    <w:rsid w:val="001509BF"/>
    <w:rsid w:val="001530FF"/>
    <w:rsid w:val="00153A1B"/>
    <w:rsid w:val="00153B76"/>
    <w:rsid w:val="00153BBD"/>
    <w:rsid w:val="001557BA"/>
    <w:rsid w:val="00155D1F"/>
    <w:rsid w:val="00156030"/>
    <w:rsid w:val="00156616"/>
    <w:rsid w:val="0015683C"/>
    <w:rsid w:val="0015795E"/>
    <w:rsid w:val="00157D62"/>
    <w:rsid w:val="00157FDD"/>
    <w:rsid w:val="00160DA0"/>
    <w:rsid w:val="001616CA"/>
    <w:rsid w:val="00166690"/>
    <w:rsid w:val="001667BD"/>
    <w:rsid w:val="001678E3"/>
    <w:rsid w:val="001709FF"/>
    <w:rsid w:val="00172547"/>
    <w:rsid w:val="00172A27"/>
    <w:rsid w:val="00173455"/>
    <w:rsid w:val="001748C3"/>
    <w:rsid w:val="00174D09"/>
    <w:rsid w:val="00175F82"/>
    <w:rsid w:val="0017631D"/>
    <w:rsid w:val="00177B6C"/>
    <w:rsid w:val="00180E89"/>
    <w:rsid w:val="001829E8"/>
    <w:rsid w:val="0018484C"/>
    <w:rsid w:val="00184A4A"/>
    <w:rsid w:val="00184A58"/>
    <w:rsid w:val="00187404"/>
    <w:rsid w:val="00187D34"/>
    <w:rsid w:val="00190228"/>
    <w:rsid w:val="00190C31"/>
    <w:rsid w:val="00191D99"/>
    <w:rsid w:val="00191EF4"/>
    <w:rsid w:val="001941A8"/>
    <w:rsid w:val="001942AB"/>
    <w:rsid w:val="00196838"/>
    <w:rsid w:val="00196878"/>
    <w:rsid w:val="001A088D"/>
    <w:rsid w:val="001A0BA6"/>
    <w:rsid w:val="001A1C68"/>
    <w:rsid w:val="001A21CB"/>
    <w:rsid w:val="001A59F3"/>
    <w:rsid w:val="001B26B4"/>
    <w:rsid w:val="001B4549"/>
    <w:rsid w:val="001B6807"/>
    <w:rsid w:val="001B7E77"/>
    <w:rsid w:val="001C2100"/>
    <w:rsid w:val="001C3809"/>
    <w:rsid w:val="001C3FB2"/>
    <w:rsid w:val="001C576E"/>
    <w:rsid w:val="001C5EFD"/>
    <w:rsid w:val="001C70CF"/>
    <w:rsid w:val="001D14A8"/>
    <w:rsid w:val="001D225C"/>
    <w:rsid w:val="001D2864"/>
    <w:rsid w:val="001D361F"/>
    <w:rsid w:val="001D66DB"/>
    <w:rsid w:val="001D6EB3"/>
    <w:rsid w:val="001E0462"/>
    <w:rsid w:val="001E0545"/>
    <w:rsid w:val="001E171A"/>
    <w:rsid w:val="001E2564"/>
    <w:rsid w:val="001E2816"/>
    <w:rsid w:val="001E455A"/>
    <w:rsid w:val="001E6026"/>
    <w:rsid w:val="001E70D7"/>
    <w:rsid w:val="001F1462"/>
    <w:rsid w:val="001F1D89"/>
    <w:rsid w:val="001F59DF"/>
    <w:rsid w:val="001F6852"/>
    <w:rsid w:val="001F6D56"/>
    <w:rsid w:val="001F6F4D"/>
    <w:rsid w:val="00200BFB"/>
    <w:rsid w:val="0020204D"/>
    <w:rsid w:val="00202B63"/>
    <w:rsid w:val="00203C7B"/>
    <w:rsid w:val="002051FE"/>
    <w:rsid w:val="00206A3A"/>
    <w:rsid w:val="002107D7"/>
    <w:rsid w:val="00211B19"/>
    <w:rsid w:val="00211E71"/>
    <w:rsid w:val="00213AF3"/>
    <w:rsid w:val="002172AC"/>
    <w:rsid w:val="002226D0"/>
    <w:rsid w:val="0022447A"/>
    <w:rsid w:val="00226463"/>
    <w:rsid w:val="00230B55"/>
    <w:rsid w:val="00237005"/>
    <w:rsid w:val="002443DB"/>
    <w:rsid w:val="002444FA"/>
    <w:rsid w:val="002448D8"/>
    <w:rsid w:val="00244DB7"/>
    <w:rsid w:val="00245AC5"/>
    <w:rsid w:val="00246C9D"/>
    <w:rsid w:val="002505AE"/>
    <w:rsid w:val="00251A76"/>
    <w:rsid w:val="00256714"/>
    <w:rsid w:val="0026266C"/>
    <w:rsid w:val="00263268"/>
    <w:rsid w:val="00263BBF"/>
    <w:rsid w:val="002643DB"/>
    <w:rsid w:val="002652EE"/>
    <w:rsid w:val="002656CC"/>
    <w:rsid w:val="002674CE"/>
    <w:rsid w:val="00267FE3"/>
    <w:rsid w:val="002711A1"/>
    <w:rsid w:val="0027326F"/>
    <w:rsid w:val="0027342A"/>
    <w:rsid w:val="00273D5A"/>
    <w:rsid w:val="0027469D"/>
    <w:rsid w:val="002755B0"/>
    <w:rsid w:val="00280072"/>
    <w:rsid w:val="00282370"/>
    <w:rsid w:val="00283223"/>
    <w:rsid w:val="002840B7"/>
    <w:rsid w:val="00284A41"/>
    <w:rsid w:val="00285886"/>
    <w:rsid w:val="0028799E"/>
    <w:rsid w:val="00290281"/>
    <w:rsid w:val="00293CC1"/>
    <w:rsid w:val="00297A90"/>
    <w:rsid w:val="002A17A9"/>
    <w:rsid w:val="002A2C17"/>
    <w:rsid w:val="002A3063"/>
    <w:rsid w:val="002A3BE4"/>
    <w:rsid w:val="002A4519"/>
    <w:rsid w:val="002A74E5"/>
    <w:rsid w:val="002B2522"/>
    <w:rsid w:val="002B3288"/>
    <w:rsid w:val="002B33C9"/>
    <w:rsid w:val="002B5B38"/>
    <w:rsid w:val="002B6445"/>
    <w:rsid w:val="002B655D"/>
    <w:rsid w:val="002B6E69"/>
    <w:rsid w:val="002B7B23"/>
    <w:rsid w:val="002C1141"/>
    <w:rsid w:val="002C351B"/>
    <w:rsid w:val="002C3F5D"/>
    <w:rsid w:val="002C71EE"/>
    <w:rsid w:val="002D1698"/>
    <w:rsid w:val="002D42C8"/>
    <w:rsid w:val="002D5EEE"/>
    <w:rsid w:val="002E0BAD"/>
    <w:rsid w:val="002E2354"/>
    <w:rsid w:val="002E3CC2"/>
    <w:rsid w:val="002E4F33"/>
    <w:rsid w:val="002E64AB"/>
    <w:rsid w:val="002F0887"/>
    <w:rsid w:val="002F0E4E"/>
    <w:rsid w:val="002F58DC"/>
    <w:rsid w:val="002F5DAE"/>
    <w:rsid w:val="002F6786"/>
    <w:rsid w:val="002F71A2"/>
    <w:rsid w:val="002F79B0"/>
    <w:rsid w:val="003008DB"/>
    <w:rsid w:val="00302579"/>
    <w:rsid w:val="00304677"/>
    <w:rsid w:val="00306031"/>
    <w:rsid w:val="0030757F"/>
    <w:rsid w:val="003076F0"/>
    <w:rsid w:val="00307D99"/>
    <w:rsid w:val="00310EEC"/>
    <w:rsid w:val="003114BB"/>
    <w:rsid w:val="003143E6"/>
    <w:rsid w:val="00314FDF"/>
    <w:rsid w:val="00315BE4"/>
    <w:rsid w:val="00317D1A"/>
    <w:rsid w:val="003212F8"/>
    <w:rsid w:val="00321BED"/>
    <w:rsid w:val="00322382"/>
    <w:rsid w:val="00322543"/>
    <w:rsid w:val="0032286A"/>
    <w:rsid w:val="00323FF3"/>
    <w:rsid w:val="003250D1"/>
    <w:rsid w:val="0032656D"/>
    <w:rsid w:val="00326B65"/>
    <w:rsid w:val="00330600"/>
    <w:rsid w:val="00331FD4"/>
    <w:rsid w:val="003334F3"/>
    <w:rsid w:val="00335143"/>
    <w:rsid w:val="00335A40"/>
    <w:rsid w:val="00336A22"/>
    <w:rsid w:val="00336AD5"/>
    <w:rsid w:val="00340CE3"/>
    <w:rsid w:val="00340E9D"/>
    <w:rsid w:val="00342BAE"/>
    <w:rsid w:val="00342DF5"/>
    <w:rsid w:val="00345B53"/>
    <w:rsid w:val="00347C55"/>
    <w:rsid w:val="003503E7"/>
    <w:rsid w:val="003507F7"/>
    <w:rsid w:val="0035273E"/>
    <w:rsid w:val="00352CCA"/>
    <w:rsid w:val="00353FEB"/>
    <w:rsid w:val="00355C9B"/>
    <w:rsid w:val="0035655A"/>
    <w:rsid w:val="00357806"/>
    <w:rsid w:val="00357C5F"/>
    <w:rsid w:val="00360801"/>
    <w:rsid w:val="00360A99"/>
    <w:rsid w:val="00363788"/>
    <w:rsid w:val="0036589B"/>
    <w:rsid w:val="003665E8"/>
    <w:rsid w:val="0036672A"/>
    <w:rsid w:val="003670AD"/>
    <w:rsid w:val="00367138"/>
    <w:rsid w:val="00371946"/>
    <w:rsid w:val="003725CD"/>
    <w:rsid w:val="00372A22"/>
    <w:rsid w:val="00372F5D"/>
    <w:rsid w:val="0037388C"/>
    <w:rsid w:val="0037639B"/>
    <w:rsid w:val="00380446"/>
    <w:rsid w:val="00380A96"/>
    <w:rsid w:val="00380DE4"/>
    <w:rsid w:val="00382028"/>
    <w:rsid w:val="00382070"/>
    <w:rsid w:val="00382B2C"/>
    <w:rsid w:val="00382C1C"/>
    <w:rsid w:val="00382FC4"/>
    <w:rsid w:val="00384077"/>
    <w:rsid w:val="0039048F"/>
    <w:rsid w:val="00391246"/>
    <w:rsid w:val="00393414"/>
    <w:rsid w:val="003A0E87"/>
    <w:rsid w:val="003A1907"/>
    <w:rsid w:val="003A3AF5"/>
    <w:rsid w:val="003A46C5"/>
    <w:rsid w:val="003A477A"/>
    <w:rsid w:val="003A5E62"/>
    <w:rsid w:val="003A61EF"/>
    <w:rsid w:val="003A635F"/>
    <w:rsid w:val="003A67B7"/>
    <w:rsid w:val="003A6AEB"/>
    <w:rsid w:val="003A7D0E"/>
    <w:rsid w:val="003B0A9A"/>
    <w:rsid w:val="003B1E6D"/>
    <w:rsid w:val="003B1F79"/>
    <w:rsid w:val="003B2DA3"/>
    <w:rsid w:val="003B34E1"/>
    <w:rsid w:val="003B512D"/>
    <w:rsid w:val="003B7D58"/>
    <w:rsid w:val="003C005B"/>
    <w:rsid w:val="003C1991"/>
    <w:rsid w:val="003C3640"/>
    <w:rsid w:val="003C3A5E"/>
    <w:rsid w:val="003C5488"/>
    <w:rsid w:val="003C75B3"/>
    <w:rsid w:val="003D04C4"/>
    <w:rsid w:val="003D0E5F"/>
    <w:rsid w:val="003D10C1"/>
    <w:rsid w:val="003D1C56"/>
    <w:rsid w:val="003D49D1"/>
    <w:rsid w:val="003D544A"/>
    <w:rsid w:val="003D655D"/>
    <w:rsid w:val="003D71A0"/>
    <w:rsid w:val="003E0971"/>
    <w:rsid w:val="003E1BF0"/>
    <w:rsid w:val="003E33AC"/>
    <w:rsid w:val="003E46D4"/>
    <w:rsid w:val="003F141B"/>
    <w:rsid w:val="003F2CD3"/>
    <w:rsid w:val="003F6AE9"/>
    <w:rsid w:val="003F6F32"/>
    <w:rsid w:val="003F79C5"/>
    <w:rsid w:val="004004DA"/>
    <w:rsid w:val="0040578B"/>
    <w:rsid w:val="00405823"/>
    <w:rsid w:val="0040692A"/>
    <w:rsid w:val="00407656"/>
    <w:rsid w:val="004106EE"/>
    <w:rsid w:val="00412806"/>
    <w:rsid w:val="00412FF0"/>
    <w:rsid w:val="004203CC"/>
    <w:rsid w:val="004211CA"/>
    <w:rsid w:val="00423114"/>
    <w:rsid w:val="00426BC5"/>
    <w:rsid w:val="00427643"/>
    <w:rsid w:val="004322FA"/>
    <w:rsid w:val="00432563"/>
    <w:rsid w:val="00434AAB"/>
    <w:rsid w:val="00434DAA"/>
    <w:rsid w:val="004358B9"/>
    <w:rsid w:val="00436719"/>
    <w:rsid w:val="00436B8B"/>
    <w:rsid w:val="0044151B"/>
    <w:rsid w:val="00442AD6"/>
    <w:rsid w:val="00446971"/>
    <w:rsid w:val="00447C7D"/>
    <w:rsid w:val="00450EE8"/>
    <w:rsid w:val="004512AB"/>
    <w:rsid w:val="004531A8"/>
    <w:rsid w:val="00453CE8"/>
    <w:rsid w:val="004546BA"/>
    <w:rsid w:val="00455E2B"/>
    <w:rsid w:val="00456FFA"/>
    <w:rsid w:val="004611B6"/>
    <w:rsid w:val="0046467C"/>
    <w:rsid w:val="00464B39"/>
    <w:rsid w:val="0046510A"/>
    <w:rsid w:val="00465DB9"/>
    <w:rsid w:val="0046609C"/>
    <w:rsid w:val="004709EE"/>
    <w:rsid w:val="00472205"/>
    <w:rsid w:val="00473910"/>
    <w:rsid w:val="00475327"/>
    <w:rsid w:val="00480FFA"/>
    <w:rsid w:val="00481F16"/>
    <w:rsid w:val="00485AAB"/>
    <w:rsid w:val="00485FBD"/>
    <w:rsid w:val="00487728"/>
    <w:rsid w:val="004907B2"/>
    <w:rsid w:val="00491510"/>
    <w:rsid w:val="00491F3E"/>
    <w:rsid w:val="00492D7B"/>
    <w:rsid w:val="00492FC8"/>
    <w:rsid w:val="00494540"/>
    <w:rsid w:val="004969DE"/>
    <w:rsid w:val="004A0625"/>
    <w:rsid w:val="004A1364"/>
    <w:rsid w:val="004A1478"/>
    <w:rsid w:val="004A15C0"/>
    <w:rsid w:val="004A1932"/>
    <w:rsid w:val="004A2354"/>
    <w:rsid w:val="004A2717"/>
    <w:rsid w:val="004A3AEC"/>
    <w:rsid w:val="004A4110"/>
    <w:rsid w:val="004A5321"/>
    <w:rsid w:val="004A55AD"/>
    <w:rsid w:val="004A5A12"/>
    <w:rsid w:val="004A6458"/>
    <w:rsid w:val="004A7E80"/>
    <w:rsid w:val="004B0925"/>
    <w:rsid w:val="004B15A3"/>
    <w:rsid w:val="004B24BA"/>
    <w:rsid w:val="004B28C3"/>
    <w:rsid w:val="004B34F5"/>
    <w:rsid w:val="004B74AB"/>
    <w:rsid w:val="004C05C4"/>
    <w:rsid w:val="004C0BDA"/>
    <w:rsid w:val="004C24C2"/>
    <w:rsid w:val="004C66F1"/>
    <w:rsid w:val="004D03DC"/>
    <w:rsid w:val="004D4D1F"/>
    <w:rsid w:val="004D7754"/>
    <w:rsid w:val="004E18EC"/>
    <w:rsid w:val="004E18F5"/>
    <w:rsid w:val="004E2EB2"/>
    <w:rsid w:val="004E452A"/>
    <w:rsid w:val="004E4936"/>
    <w:rsid w:val="004E5606"/>
    <w:rsid w:val="004E6A8A"/>
    <w:rsid w:val="004E7C09"/>
    <w:rsid w:val="004F0C74"/>
    <w:rsid w:val="004F1F1A"/>
    <w:rsid w:val="004F2821"/>
    <w:rsid w:val="004F50D2"/>
    <w:rsid w:val="004F57E7"/>
    <w:rsid w:val="00503067"/>
    <w:rsid w:val="005030E9"/>
    <w:rsid w:val="00503236"/>
    <w:rsid w:val="005039C5"/>
    <w:rsid w:val="00504219"/>
    <w:rsid w:val="00504839"/>
    <w:rsid w:val="00505788"/>
    <w:rsid w:val="00511D72"/>
    <w:rsid w:val="00512BC4"/>
    <w:rsid w:val="005130DF"/>
    <w:rsid w:val="005160A4"/>
    <w:rsid w:val="0051763D"/>
    <w:rsid w:val="005205E0"/>
    <w:rsid w:val="005210CF"/>
    <w:rsid w:val="00522156"/>
    <w:rsid w:val="00522650"/>
    <w:rsid w:val="00522FE7"/>
    <w:rsid w:val="005266F5"/>
    <w:rsid w:val="00526E12"/>
    <w:rsid w:val="00527350"/>
    <w:rsid w:val="00530ECE"/>
    <w:rsid w:val="00535188"/>
    <w:rsid w:val="005368FA"/>
    <w:rsid w:val="00536B4D"/>
    <w:rsid w:val="00537802"/>
    <w:rsid w:val="00537B3D"/>
    <w:rsid w:val="00540AB2"/>
    <w:rsid w:val="00541420"/>
    <w:rsid w:val="005554AD"/>
    <w:rsid w:val="0055757C"/>
    <w:rsid w:val="00560DD2"/>
    <w:rsid w:val="00561DB0"/>
    <w:rsid w:val="005624C2"/>
    <w:rsid w:val="00563E90"/>
    <w:rsid w:val="005643FA"/>
    <w:rsid w:val="00566D67"/>
    <w:rsid w:val="00567988"/>
    <w:rsid w:val="005725CD"/>
    <w:rsid w:val="00572A6C"/>
    <w:rsid w:val="00572EC2"/>
    <w:rsid w:val="00574088"/>
    <w:rsid w:val="005743EF"/>
    <w:rsid w:val="005768E9"/>
    <w:rsid w:val="00581481"/>
    <w:rsid w:val="00581B66"/>
    <w:rsid w:val="00581C69"/>
    <w:rsid w:val="005834AF"/>
    <w:rsid w:val="005863C9"/>
    <w:rsid w:val="00590220"/>
    <w:rsid w:val="00590526"/>
    <w:rsid w:val="005926D0"/>
    <w:rsid w:val="00593929"/>
    <w:rsid w:val="0059708D"/>
    <w:rsid w:val="005A14DA"/>
    <w:rsid w:val="005A1BDF"/>
    <w:rsid w:val="005A4088"/>
    <w:rsid w:val="005A40D5"/>
    <w:rsid w:val="005A42E3"/>
    <w:rsid w:val="005B1171"/>
    <w:rsid w:val="005B54DC"/>
    <w:rsid w:val="005B69B2"/>
    <w:rsid w:val="005B6A5D"/>
    <w:rsid w:val="005C02F7"/>
    <w:rsid w:val="005C0F90"/>
    <w:rsid w:val="005C2013"/>
    <w:rsid w:val="005C2AA2"/>
    <w:rsid w:val="005C3BE9"/>
    <w:rsid w:val="005C47A1"/>
    <w:rsid w:val="005C75E7"/>
    <w:rsid w:val="005D2831"/>
    <w:rsid w:val="005D5449"/>
    <w:rsid w:val="005E317C"/>
    <w:rsid w:val="005E3808"/>
    <w:rsid w:val="005E6983"/>
    <w:rsid w:val="005F0CFB"/>
    <w:rsid w:val="005F1143"/>
    <w:rsid w:val="005F1237"/>
    <w:rsid w:val="005F22C3"/>
    <w:rsid w:val="005F276E"/>
    <w:rsid w:val="005F366E"/>
    <w:rsid w:val="005F5EDD"/>
    <w:rsid w:val="00600260"/>
    <w:rsid w:val="00600F05"/>
    <w:rsid w:val="00602FCD"/>
    <w:rsid w:val="00603EA6"/>
    <w:rsid w:val="00604020"/>
    <w:rsid w:val="00604227"/>
    <w:rsid w:val="006053F8"/>
    <w:rsid w:val="00606910"/>
    <w:rsid w:val="00607E2F"/>
    <w:rsid w:val="00610F2F"/>
    <w:rsid w:val="00611F02"/>
    <w:rsid w:val="006127B1"/>
    <w:rsid w:val="00615F98"/>
    <w:rsid w:val="006166E5"/>
    <w:rsid w:val="00616F30"/>
    <w:rsid w:val="00617436"/>
    <w:rsid w:val="0061757C"/>
    <w:rsid w:val="00621D66"/>
    <w:rsid w:val="00626875"/>
    <w:rsid w:val="0062792D"/>
    <w:rsid w:val="00627B50"/>
    <w:rsid w:val="006311B3"/>
    <w:rsid w:val="00631953"/>
    <w:rsid w:val="006322BF"/>
    <w:rsid w:val="006325FB"/>
    <w:rsid w:val="006340E8"/>
    <w:rsid w:val="00636A35"/>
    <w:rsid w:val="00637787"/>
    <w:rsid w:val="0064091A"/>
    <w:rsid w:val="00642D15"/>
    <w:rsid w:val="00643966"/>
    <w:rsid w:val="00643F36"/>
    <w:rsid w:val="00644BCE"/>
    <w:rsid w:val="00644BE8"/>
    <w:rsid w:val="006453C5"/>
    <w:rsid w:val="00647CD0"/>
    <w:rsid w:val="00653B7C"/>
    <w:rsid w:val="00661F2B"/>
    <w:rsid w:val="006659DA"/>
    <w:rsid w:val="00666058"/>
    <w:rsid w:val="00666955"/>
    <w:rsid w:val="00666CC7"/>
    <w:rsid w:val="00671697"/>
    <w:rsid w:val="00671808"/>
    <w:rsid w:val="00671BF7"/>
    <w:rsid w:val="006725F4"/>
    <w:rsid w:val="00672B8A"/>
    <w:rsid w:val="006747CA"/>
    <w:rsid w:val="00675ADD"/>
    <w:rsid w:val="00676B6B"/>
    <w:rsid w:val="006810C0"/>
    <w:rsid w:val="00681DDA"/>
    <w:rsid w:val="006832E4"/>
    <w:rsid w:val="00685123"/>
    <w:rsid w:val="006868FC"/>
    <w:rsid w:val="00687915"/>
    <w:rsid w:val="00687EFD"/>
    <w:rsid w:val="006905F0"/>
    <w:rsid w:val="0069073D"/>
    <w:rsid w:val="0069180F"/>
    <w:rsid w:val="00691E6F"/>
    <w:rsid w:val="0069250B"/>
    <w:rsid w:val="0069254C"/>
    <w:rsid w:val="00692C7B"/>
    <w:rsid w:val="00694659"/>
    <w:rsid w:val="0069726C"/>
    <w:rsid w:val="006A039A"/>
    <w:rsid w:val="006A098F"/>
    <w:rsid w:val="006A1957"/>
    <w:rsid w:val="006A3930"/>
    <w:rsid w:val="006A3E88"/>
    <w:rsid w:val="006A5BBF"/>
    <w:rsid w:val="006B0599"/>
    <w:rsid w:val="006B2D45"/>
    <w:rsid w:val="006B306F"/>
    <w:rsid w:val="006B41BD"/>
    <w:rsid w:val="006B7230"/>
    <w:rsid w:val="006C1F55"/>
    <w:rsid w:val="006C23AA"/>
    <w:rsid w:val="006C3A82"/>
    <w:rsid w:val="006C3BAA"/>
    <w:rsid w:val="006C7B33"/>
    <w:rsid w:val="006C7E2E"/>
    <w:rsid w:val="006D35E4"/>
    <w:rsid w:val="006D57F3"/>
    <w:rsid w:val="006D7F29"/>
    <w:rsid w:val="006E36DD"/>
    <w:rsid w:val="006E587F"/>
    <w:rsid w:val="006E6826"/>
    <w:rsid w:val="006E761D"/>
    <w:rsid w:val="006E771B"/>
    <w:rsid w:val="006F3322"/>
    <w:rsid w:val="006F7E98"/>
    <w:rsid w:val="007027F0"/>
    <w:rsid w:val="00711BE2"/>
    <w:rsid w:val="007146BC"/>
    <w:rsid w:val="00716C06"/>
    <w:rsid w:val="00717043"/>
    <w:rsid w:val="0071712F"/>
    <w:rsid w:val="00720B17"/>
    <w:rsid w:val="00722292"/>
    <w:rsid w:val="00722F9A"/>
    <w:rsid w:val="007304D9"/>
    <w:rsid w:val="007306BC"/>
    <w:rsid w:val="00730705"/>
    <w:rsid w:val="00730ECC"/>
    <w:rsid w:val="00731173"/>
    <w:rsid w:val="00731782"/>
    <w:rsid w:val="00731BC6"/>
    <w:rsid w:val="00732DF4"/>
    <w:rsid w:val="007365A0"/>
    <w:rsid w:val="00740346"/>
    <w:rsid w:val="007409E6"/>
    <w:rsid w:val="00742FAF"/>
    <w:rsid w:val="00743096"/>
    <w:rsid w:val="00745183"/>
    <w:rsid w:val="0074639A"/>
    <w:rsid w:val="00747DA4"/>
    <w:rsid w:val="007500A7"/>
    <w:rsid w:val="007502B9"/>
    <w:rsid w:val="00750B8A"/>
    <w:rsid w:val="00750CC7"/>
    <w:rsid w:val="00751343"/>
    <w:rsid w:val="0075680C"/>
    <w:rsid w:val="00757ECB"/>
    <w:rsid w:val="007603A8"/>
    <w:rsid w:val="00760DD5"/>
    <w:rsid w:val="00761348"/>
    <w:rsid w:val="00762532"/>
    <w:rsid w:val="00762933"/>
    <w:rsid w:val="00763058"/>
    <w:rsid w:val="007647DF"/>
    <w:rsid w:val="007666C2"/>
    <w:rsid w:val="00767AEC"/>
    <w:rsid w:val="0077013F"/>
    <w:rsid w:val="0077182E"/>
    <w:rsid w:val="00772B00"/>
    <w:rsid w:val="0077419F"/>
    <w:rsid w:val="007779AD"/>
    <w:rsid w:val="007808BC"/>
    <w:rsid w:val="00780F7E"/>
    <w:rsid w:val="007822DB"/>
    <w:rsid w:val="00783864"/>
    <w:rsid w:val="0078543D"/>
    <w:rsid w:val="0078551F"/>
    <w:rsid w:val="00785C1F"/>
    <w:rsid w:val="007874F4"/>
    <w:rsid w:val="007879F9"/>
    <w:rsid w:val="00787AC0"/>
    <w:rsid w:val="007900D1"/>
    <w:rsid w:val="00790764"/>
    <w:rsid w:val="00793C9C"/>
    <w:rsid w:val="00794FAC"/>
    <w:rsid w:val="00794FC4"/>
    <w:rsid w:val="007A07F4"/>
    <w:rsid w:val="007A1A08"/>
    <w:rsid w:val="007A270C"/>
    <w:rsid w:val="007A34C8"/>
    <w:rsid w:val="007A40EC"/>
    <w:rsid w:val="007A4CA1"/>
    <w:rsid w:val="007A6A50"/>
    <w:rsid w:val="007A73F7"/>
    <w:rsid w:val="007B1425"/>
    <w:rsid w:val="007B347B"/>
    <w:rsid w:val="007B3F4A"/>
    <w:rsid w:val="007B5DD4"/>
    <w:rsid w:val="007B5F7A"/>
    <w:rsid w:val="007B6C08"/>
    <w:rsid w:val="007B6C44"/>
    <w:rsid w:val="007B6E2F"/>
    <w:rsid w:val="007B7530"/>
    <w:rsid w:val="007B770D"/>
    <w:rsid w:val="007B7B23"/>
    <w:rsid w:val="007B7BE5"/>
    <w:rsid w:val="007B7D9B"/>
    <w:rsid w:val="007C04E8"/>
    <w:rsid w:val="007C0F4C"/>
    <w:rsid w:val="007C2E11"/>
    <w:rsid w:val="007C34E4"/>
    <w:rsid w:val="007C43B2"/>
    <w:rsid w:val="007C4AFC"/>
    <w:rsid w:val="007D0BA8"/>
    <w:rsid w:val="007D154B"/>
    <w:rsid w:val="007D16A9"/>
    <w:rsid w:val="007D28BB"/>
    <w:rsid w:val="007D46F2"/>
    <w:rsid w:val="007D669E"/>
    <w:rsid w:val="007D6A3C"/>
    <w:rsid w:val="007D7F03"/>
    <w:rsid w:val="007E10BF"/>
    <w:rsid w:val="007E1648"/>
    <w:rsid w:val="007E68CC"/>
    <w:rsid w:val="007E6C9E"/>
    <w:rsid w:val="007E722C"/>
    <w:rsid w:val="007F05CE"/>
    <w:rsid w:val="007F0C6C"/>
    <w:rsid w:val="007F2A41"/>
    <w:rsid w:val="007F2F1D"/>
    <w:rsid w:val="007F3017"/>
    <w:rsid w:val="007F32F3"/>
    <w:rsid w:val="007F3876"/>
    <w:rsid w:val="007F4E23"/>
    <w:rsid w:val="007F7D00"/>
    <w:rsid w:val="00806E3A"/>
    <w:rsid w:val="00807A88"/>
    <w:rsid w:val="00810ED4"/>
    <w:rsid w:val="00812055"/>
    <w:rsid w:val="00812A65"/>
    <w:rsid w:val="0081521B"/>
    <w:rsid w:val="008163FD"/>
    <w:rsid w:val="00816549"/>
    <w:rsid w:val="00816C61"/>
    <w:rsid w:val="00816C72"/>
    <w:rsid w:val="00817305"/>
    <w:rsid w:val="00822EC4"/>
    <w:rsid w:val="00824B30"/>
    <w:rsid w:val="00826DE9"/>
    <w:rsid w:val="00827249"/>
    <w:rsid w:val="00840029"/>
    <w:rsid w:val="00842A1E"/>
    <w:rsid w:val="00845693"/>
    <w:rsid w:val="00845917"/>
    <w:rsid w:val="00846A0A"/>
    <w:rsid w:val="00846D26"/>
    <w:rsid w:val="00847DE6"/>
    <w:rsid w:val="0085044E"/>
    <w:rsid w:val="008510B1"/>
    <w:rsid w:val="00851845"/>
    <w:rsid w:val="0085410A"/>
    <w:rsid w:val="008546A3"/>
    <w:rsid w:val="008556D7"/>
    <w:rsid w:val="008559E4"/>
    <w:rsid w:val="00857E22"/>
    <w:rsid w:val="00861A4E"/>
    <w:rsid w:val="00861F3E"/>
    <w:rsid w:val="008620EA"/>
    <w:rsid w:val="00865722"/>
    <w:rsid w:val="00866F94"/>
    <w:rsid w:val="00867B14"/>
    <w:rsid w:val="00867B50"/>
    <w:rsid w:val="00870654"/>
    <w:rsid w:val="008713D4"/>
    <w:rsid w:val="008717A3"/>
    <w:rsid w:val="00871F03"/>
    <w:rsid w:val="00873000"/>
    <w:rsid w:val="008736A7"/>
    <w:rsid w:val="008736D2"/>
    <w:rsid w:val="00873FDA"/>
    <w:rsid w:val="0087545F"/>
    <w:rsid w:val="00875489"/>
    <w:rsid w:val="008768B1"/>
    <w:rsid w:val="00877E94"/>
    <w:rsid w:val="00880049"/>
    <w:rsid w:val="00880DFB"/>
    <w:rsid w:val="0088466C"/>
    <w:rsid w:val="00885BEB"/>
    <w:rsid w:val="00891585"/>
    <w:rsid w:val="00891D3D"/>
    <w:rsid w:val="00892938"/>
    <w:rsid w:val="008932A2"/>
    <w:rsid w:val="00895C90"/>
    <w:rsid w:val="008A104B"/>
    <w:rsid w:val="008A1292"/>
    <w:rsid w:val="008A3F56"/>
    <w:rsid w:val="008A4048"/>
    <w:rsid w:val="008A4638"/>
    <w:rsid w:val="008A6577"/>
    <w:rsid w:val="008A6D92"/>
    <w:rsid w:val="008A70C6"/>
    <w:rsid w:val="008A792E"/>
    <w:rsid w:val="008B117E"/>
    <w:rsid w:val="008B3246"/>
    <w:rsid w:val="008B376E"/>
    <w:rsid w:val="008B4825"/>
    <w:rsid w:val="008B5ACB"/>
    <w:rsid w:val="008B5F72"/>
    <w:rsid w:val="008B5FBC"/>
    <w:rsid w:val="008C01BF"/>
    <w:rsid w:val="008C0573"/>
    <w:rsid w:val="008C0793"/>
    <w:rsid w:val="008C2D35"/>
    <w:rsid w:val="008C31AF"/>
    <w:rsid w:val="008C6755"/>
    <w:rsid w:val="008C7BDA"/>
    <w:rsid w:val="008D0128"/>
    <w:rsid w:val="008D092B"/>
    <w:rsid w:val="008D181D"/>
    <w:rsid w:val="008D31D1"/>
    <w:rsid w:val="008E0EC4"/>
    <w:rsid w:val="008E299B"/>
    <w:rsid w:val="008E4755"/>
    <w:rsid w:val="008E4CCB"/>
    <w:rsid w:val="008E58E8"/>
    <w:rsid w:val="008E607C"/>
    <w:rsid w:val="008E7BD8"/>
    <w:rsid w:val="008F1191"/>
    <w:rsid w:val="008F2213"/>
    <w:rsid w:val="008F2465"/>
    <w:rsid w:val="008F44E1"/>
    <w:rsid w:val="008F7B89"/>
    <w:rsid w:val="00901DFA"/>
    <w:rsid w:val="00903FA2"/>
    <w:rsid w:val="009063BB"/>
    <w:rsid w:val="00906D04"/>
    <w:rsid w:val="00915B14"/>
    <w:rsid w:val="0092017B"/>
    <w:rsid w:val="009208C6"/>
    <w:rsid w:val="00920E2F"/>
    <w:rsid w:val="00921293"/>
    <w:rsid w:val="00923037"/>
    <w:rsid w:val="00924144"/>
    <w:rsid w:val="0092445E"/>
    <w:rsid w:val="0092446C"/>
    <w:rsid w:val="00924EE4"/>
    <w:rsid w:val="009255F4"/>
    <w:rsid w:val="00925966"/>
    <w:rsid w:val="009259DF"/>
    <w:rsid w:val="0092688A"/>
    <w:rsid w:val="009334FA"/>
    <w:rsid w:val="00933D19"/>
    <w:rsid w:val="00942CF6"/>
    <w:rsid w:val="00943367"/>
    <w:rsid w:val="0094374F"/>
    <w:rsid w:val="0094469F"/>
    <w:rsid w:val="0095084C"/>
    <w:rsid w:val="00950BCF"/>
    <w:rsid w:val="009516F7"/>
    <w:rsid w:val="009529C9"/>
    <w:rsid w:val="00953581"/>
    <w:rsid w:val="00953AB5"/>
    <w:rsid w:val="00953F9F"/>
    <w:rsid w:val="009550F2"/>
    <w:rsid w:val="0095577F"/>
    <w:rsid w:val="00956433"/>
    <w:rsid w:val="00960114"/>
    <w:rsid w:val="00963AB7"/>
    <w:rsid w:val="00964331"/>
    <w:rsid w:val="009659E4"/>
    <w:rsid w:val="009671C9"/>
    <w:rsid w:val="00970CFB"/>
    <w:rsid w:val="009730A5"/>
    <w:rsid w:val="0097362A"/>
    <w:rsid w:val="00974BEE"/>
    <w:rsid w:val="00975548"/>
    <w:rsid w:val="00976A05"/>
    <w:rsid w:val="00976D22"/>
    <w:rsid w:val="0098282B"/>
    <w:rsid w:val="00983DD5"/>
    <w:rsid w:val="00983E0F"/>
    <w:rsid w:val="0098432D"/>
    <w:rsid w:val="009858B1"/>
    <w:rsid w:val="00986C45"/>
    <w:rsid w:val="009879F3"/>
    <w:rsid w:val="009918FE"/>
    <w:rsid w:val="009932D5"/>
    <w:rsid w:val="009935AE"/>
    <w:rsid w:val="009A2B41"/>
    <w:rsid w:val="009A2F5F"/>
    <w:rsid w:val="009A30B9"/>
    <w:rsid w:val="009A4567"/>
    <w:rsid w:val="009A5348"/>
    <w:rsid w:val="009A7AD7"/>
    <w:rsid w:val="009A7C73"/>
    <w:rsid w:val="009B4135"/>
    <w:rsid w:val="009B5933"/>
    <w:rsid w:val="009B6C26"/>
    <w:rsid w:val="009C3565"/>
    <w:rsid w:val="009C5404"/>
    <w:rsid w:val="009C7710"/>
    <w:rsid w:val="009D0979"/>
    <w:rsid w:val="009D1A80"/>
    <w:rsid w:val="009D1B85"/>
    <w:rsid w:val="009D270A"/>
    <w:rsid w:val="009D29CF"/>
    <w:rsid w:val="009D2B48"/>
    <w:rsid w:val="009D5890"/>
    <w:rsid w:val="009D6506"/>
    <w:rsid w:val="009D66CB"/>
    <w:rsid w:val="009D6AAB"/>
    <w:rsid w:val="009D6B98"/>
    <w:rsid w:val="009D6EBF"/>
    <w:rsid w:val="009D6F4F"/>
    <w:rsid w:val="009D7D3A"/>
    <w:rsid w:val="009E1F6C"/>
    <w:rsid w:val="009E25F6"/>
    <w:rsid w:val="009E2B93"/>
    <w:rsid w:val="009E59EB"/>
    <w:rsid w:val="009E7299"/>
    <w:rsid w:val="009F00C9"/>
    <w:rsid w:val="009F12E2"/>
    <w:rsid w:val="009F15F0"/>
    <w:rsid w:val="009F269C"/>
    <w:rsid w:val="009F4CF1"/>
    <w:rsid w:val="009F5732"/>
    <w:rsid w:val="009F5D93"/>
    <w:rsid w:val="009F6B69"/>
    <w:rsid w:val="009F77B0"/>
    <w:rsid w:val="00A0198F"/>
    <w:rsid w:val="00A01B1A"/>
    <w:rsid w:val="00A01E5F"/>
    <w:rsid w:val="00A0281E"/>
    <w:rsid w:val="00A05173"/>
    <w:rsid w:val="00A07580"/>
    <w:rsid w:val="00A07CEA"/>
    <w:rsid w:val="00A11086"/>
    <w:rsid w:val="00A11447"/>
    <w:rsid w:val="00A151AA"/>
    <w:rsid w:val="00A1554B"/>
    <w:rsid w:val="00A16312"/>
    <w:rsid w:val="00A20043"/>
    <w:rsid w:val="00A2175C"/>
    <w:rsid w:val="00A21E59"/>
    <w:rsid w:val="00A22CF6"/>
    <w:rsid w:val="00A25410"/>
    <w:rsid w:val="00A27783"/>
    <w:rsid w:val="00A305C8"/>
    <w:rsid w:val="00A30A42"/>
    <w:rsid w:val="00A317B4"/>
    <w:rsid w:val="00A32639"/>
    <w:rsid w:val="00A32812"/>
    <w:rsid w:val="00A33938"/>
    <w:rsid w:val="00A36442"/>
    <w:rsid w:val="00A3736D"/>
    <w:rsid w:val="00A400B3"/>
    <w:rsid w:val="00A40584"/>
    <w:rsid w:val="00A4182E"/>
    <w:rsid w:val="00A41C76"/>
    <w:rsid w:val="00A44048"/>
    <w:rsid w:val="00A440C1"/>
    <w:rsid w:val="00A462C6"/>
    <w:rsid w:val="00A50675"/>
    <w:rsid w:val="00A519FB"/>
    <w:rsid w:val="00A528D7"/>
    <w:rsid w:val="00A549E8"/>
    <w:rsid w:val="00A558B8"/>
    <w:rsid w:val="00A56188"/>
    <w:rsid w:val="00A565E0"/>
    <w:rsid w:val="00A568B1"/>
    <w:rsid w:val="00A56BB4"/>
    <w:rsid w:val="00A57138"/>
    <w:rsid w:val="00A57D45"/>
    <w:rsid w:val="00A603C1"/>
    <w:rsid w:val="00A60F25"/>
    <w:rsid w:val="00A61A38"/>
    <w:rsid w:val="00A61DAC"/>
    <w:rsid w:val="00A62765"/>
    <w:rsid w:val="00A63A41"/>
    <w:rsid w:val="00A64AFD"/>
    <w:rsid w:val="00A66370"/>
    <w:rsid w:val="00A66875"/>
    <w:rsid w:val="00A722FA"/>
    <w:rsid w:val="00A75A41"/>
    <w:rsid w:val="00A82975"/>
    <w:rsid w:val="00A8499D"/>
    <w:rsid w:val="00A87343"/>
    <w:rsid w:val="00A8748B"/>
    <w:rsid w:val="00A928A4"/>
    <w:rsid w:val="00A95388"/>
    <w:rsid w:val="00A95728"/>
    <w:rsid w:val="00A95A82"/>
    <w:rsid w:val="00A971A7"/>
    <w:rsid w:val="00A97981"/>
    <w:rsid w:val="00A97D64"/>
    <w:rsid w:val="00AA2289"/>
    <w:rsid w:val="00AA61E2"/>
    <w:rsid w:val="00AB08B5"/>
    <w:rsid w:val="00AB0BD1"/>
    <w:rsid w:val="00AB17DB"/>
    <w:rsid w:val="00AB18C8"/>
    <w:rsid w:val="00AB2315"/>
    <w:rsid w:val="00AB5FF5"/>
    <w:rsid w:val="00AB74C1"/>
    <w:rsid w:val="00AC0826"/>
    <w:rsid w:val="00AC0A9C"/>
    <w:rsid w:val="00AC7D80"/>
    <w:rsid w:val="00AC7F6A"/>
    <w:rsid w:val="00AD0C03"/>
    <w:rsid w:val="00AD1B0A"/>
    <w:rsid w:val="00AD1D3B"/>
    <w:rsid w:val="00AD3F7E"/>
    <w:rsid w:val="00AD4CD0"/>
    <w:rsid w:val="00AD527C"/>
    <w:rsid w:val="00AE3FE3"/>
    <w:rsid w:val="00AE6D9E"/>
    <w:rsid w:val="00AF003B"/>
    <w:rsid w:val="00AF0275"/>
    <w:rsid w:val="00AF2723"/>
    <w:rsid w:val="00AF447C"/>
    <w:rsid w:val="00AF5CA8"/>
    <w:rsid w:val="00AF674E"/>
    <w:rsid w:val="00B0045B"/>
    <w:rsid w:val="00B00609"/>
    <w:rsid w:val="00B018E3"/>
    <w:rsid w:val="00B02BA4"/>
    <w:rsid w:val="00B05BA2"/>
    <w:rsid w:val="00B06530"/>
    <w:rsid w:val="00B10C8C"/>
    <w:rsid w:val="00B10CCE"/>
    <w:rsid w:val="00B11777"/>
    <w:rsid w:val="00B1187D"/>
    <w:rsid w:val="00B1520A"/>
    <w:rsid w:val="00B15D56"/>
    <w:rsid w:val="00B1678A"/>
    <w:rsid w:val="00B1713B"/>
    <w:rsid w:val="00B2079D"/>
    <w:rsid w:val="00B20D26"/>
    <w:rsid w:val="00B215CE"/>
    <w:rsid w:val="00B21B70"/>
    <w:rsid w:val="00B22ACF"/>
    <w:rsid w:val="00B23912"/>
    <w:rsid w:val="00B24377"/>
    <w:rsid w:val="00B27366"/>
    <w:rsid w:val="00B27BED"/>
    <w:rsid w:val="00B316C2"/>
    <w:rsid w:val="00B32033"/>
    <w:rsid w:val="00B327E0"/>
    <w:rsid w:val="00B32BE6"/>
    <w:rsid w:val="00B344BD"/>
    <w:rsid w:val="00B356E3"/>
    <w:rsid w:val="00B37688"/>
    <w:rsid w:val="00B37E92"/>
    <w:rsid w:val="00B41037"/>
    <w:rsid w:val="00B42A69"/>
    <w:rsid w:val="00B4333C"/>
    <w:rsid w:val="00B4476F"/>
    <w:rsid w:val="00B44A7A"/>
    <w:rsid w:val="00B44D70"/>
    <w:rsid w:val="00B471F3"/>
    <w:rsid w:val="00B47E1D"/>
    <w:rsid w:val="00B5044F"/>
    <w:rsid w:val="00B53769"/>
    <w:rsid w:val="00B55680"/>
    <w:rsid w:val="00B57CA3"/>
    <w:rsid w:val="00B607D8"/>
    <w:rsid w:val="00B642FB"/>
    <w:rsid w:val="00B70962"/>
    <w:rsid w:val="00B7178A"/>
    <w:rsid w:val="00B71ACA"/>
    <w:rsid w:val="00B72698"/>
    <w:rsid w:val="00B72B24"/>
    <w:rsid w:val="00B73028"/>
    <w:rsid w:val="00B7428B"/>
    <w:rsid w:val="00B74CCF"/>
    <w:rsid w:val="00B77BE8"/>
    <w:rsid w:val="00B8162F"/>
    <w:rsid w:val="00B822B9"/>
    <w:rsid w:val="00B850EF"/>
    <w:rsid w:val="00B85915"/>
    <w:rsid w:val="00B90176"/>
    <w:rsid w:val="00B908A1"/>
    <w:rsid w:val="00B91684"/>
    <w:rsid w:val="00B9205D"/>
    <w:rsid w:val="00B93CEE"/>
    <w:rsid w:val="00B96239"/>
    <w:rsid w:val="00B96854"/>
    <w:rsid w:val="00BA017A"/>
    <w:rsid w:val="00BA0664"/>
    <w:rsid w:val="00BA074A"/>
    <w:rsid w:val="00BA1406"/>
    <w:rsid w:val="00BA377F"/>
    <w:rsid w:val="00BA45B9"/>
    <w:rsid w:val="00BA643F"/>
    <w:rsid w:val="00BA7E9F"/>
    <w:rsid w:val="00BB1BEE"/>
    <w:rsid w:val="00BB3BBB"/>
    <w:rsid w:val="00BB5E83"/>
    <w:rsid w:val="00BB69DA"/>
    <w:rsid w:val="00BB7444"/>
    <w:rsid w:val="00BB7845"/>
    <w:rsid w:val="00BC0AE3"/>
    <w:rsid w:val="00BC233C"/>
    <w:rsid w:val="00BC344E"/>
    <w:rsid w:val="00BC3BC7"/>
    <w:rsid w:val="00BC3E7F"/>
    <w:rsid w:val="00BC5348"/>
    <w:rsid w:val="00BD04B7"/>
    <w:rsid w:val="00BD0F77"/>
    <w:rsid w:val="00BD1DFE"/>
    <w:rsid w:val="00BD2541"/>
    <w:rsid w:val="00BD5270"/>
    <w:rsid w:val="00BD6850"/>
    <w:rsid w:val="00BE02C6"/>
    <w:rsid w:val="00BE0E78"/>
    <w:rsid w:val="00BE4153"/>
    <w:rsid w:val="00BE6AF3"/>
    <w:rsid w:val="00BE7743"/>
    <w:rsid w:val="00BF028D"/>
    <w:rsid w:val="00BF039D"/>
    <w:rsid w:val="00BF1BA1"/>
    <w:rsid w:val="00BF1DF6"/>
    <w:rsid w:val="00BF21FD"/>
    <w:rsid w:val="00BF23C1"/>
    <w:rsid w:val="00BF4522"/>
    <w:rsid w:val="00BF77E3"/>
    <w:rsid w:val="00C00E46"/>
    <w:rsid w:val="00C02831"/>
    <w:rsid w:val="00C03DA1"/>
    <w:rsid w:val="00C050AC"/>
    <w:rsid w:val="00C05695"/>
    <w:rsid w:val="00C057ED"/>
    <w:rsid w:val="00C1218E"/>
    <w:rsid w:val="00C12CB0"/>
    <w:rsid w:val="00C13EC5"/>
    <w:rsid w:val="00C14076"/>
    <w:rsid w:val="00C14DE4"/>
    <w:rsid w:val="00C14F89"/>
    <w:rsid w:val="00C15850"/>
    <w:rsid w:val="00C15C3F"/>
    <w:rsid w:val="00C20975"/>
    <w:rsid w:val="00C21B69"/>
    <w:rsid w:val="00C240C4"/>
    <w:rsid w:val="00C24584"/>
    <w:rsid w:val="00C24C1A"/>
    <w:rsid w:val="00C25F8E"/>
    <w:rsid w:val="00C267CC"/>
    <w:rsid w:val="00C30B7F"/>
    <w:rsid w:val="00C33EA0"/>
    <w:rsid w:val="00C34290"/>
    <w:rsid w:val="00C35669"/>
    <w:rsid w:val="00C356B6"/>
    <w:rsid w:val="00C37452"/>
    <w:rsid w:val="00C37CE5"/>
    <w:rsid w:val="00C40267"/>
    <w:rsid w:val="00C45B71"/>
    <w:rsid w:val="00C47F90"/>
    <w:rsid w:val="00C51504"/>
    <w:rsid w:val="00C519C4"/>
    <w:rsid w:val="00C52B38"/>
    <w:rsid w:val="00C538EA"/>
    <w:rsid w:val="00C549C5"/>
    <w:rsid w:val="00C558B6"/>
    <w:rsid w:val="00C55C82"/>
    <w:rsid w:val="00C61314"/>
    <w:rsid w:val="00C61B69"/>
    <w:rsid w:val="00C62124"/>
    <w:rsid w:val="00C63DAF"/>
    <w:rsid w:val="00C64659"/>
    <w:rsid w:val="00C64CCA"/>
    <w:rsid w:val="00C65BC8"/>
    <w:rsid w:val="00C65D0F"/>
    <w:rsid w:val="00C66B03"/>
    <w:rsid w:val="00C70EC7"/>
    <w:rsid w:val="00C7144A"/>
    <w:rsid w:val="00C7303E"/>
    <w:rsid w:val="00C737D8"/>
    <w:rsid w:val="00C73EC7"/>
    <w:rsid w:val="00C7680E"/>
    <w:rsid w:val="00C76B9A"/>
    <w:rsid w:val="00C80665"/>
    <w:rsid w:val="00C827AE"/>
    <w:rsid w:val="00C83036"/>
    <w:rsid w:val="00C84B84"/>
    <w:rsid w:val="00C84FB1"/>
    <w:rsid w:val="00C85BEE"/>
    <w:rsid w:val="00C86A86"/>
    <w:rsid w:val="00C91921"/>
    <w:rsid w:val="00C919F8"/>
    <w:rsid w:val="00C91F31"/>
    <w:rsid w:val="00C92AFD"/>
    <w:rsid w:val="00C94759"/>
    <w:rsid w:val="00C94F12"/>
    <w:rsid w:val="00C951D0"/>
    <w:rsid w:val="00C95D24"/>
    <w:rsid w:val="00C96D8C"/>
    <w:rsid w:val="00C97064"/>
    <w:rsid w:val="00C97112"/>
    <w:rsid w:val="00CA027F"/>
    <w:rsid w:val="00CA1B02"/>
    <w:rsid w:val="00CA1D5E"/>
    <w:rsid w:val="00CA4970"/>
    <w:rsid w:val="00CB0214"/>
    <w:rsid w:val="00CB12B0"/>
    <w:rsid w:val="00CB211C"/>
    <w:rsid w:val="00CB46DC"/>
    <w:rsid w:val="00CB52B8"/>
    <w:rsid w:val="00CB664C"/>
    <w:rsid w:val="00CC3FB8"/>
    <w:rsid w:val="00CC5744"/>
    <w:rsid w:val="00CD21FA"/>
    <w:rsid w:val="00CE1B67"/>
    <w:rsid w:val="00CE2192"/>
    <w:rsid w:val="00CE2A1C"/>
    <w:rsid w:val="00CE3151"/>
    <w:rsid w:val="00CE386B"/>
    <w:rsid w:val="00CF0B98"/>
    <w:rsid w:val="00CF3C6E"/>
    <w:rsid w:val="00CF5E81"/>
    <w:rsid w:val="00CF7927"/>
    <w:rsid w:val="00D021A1"/>
    <w:rsid w:val="00D0281D"/>
    <w:rsid w:val="00D02CDC"/>
    <w:rsid w:val="00D03D6F"/>
    <w:rsid w:val="00D04572"/>
    <w:rsid w:val="00D05F5B"/>
    <w:rsid w:val="00D062F8"/>
    <w:rsid w:val="00D07BD1"/>
    <w:rsid w:val="00D10C53"/>
    <w:rsid w:val="00D12178"/>
    <w:rsid w:val="00D160F3"/>
    <w:rsid w:val="00D1671D"/>
    <w:rsid w:val="00D17467"/>
    <w:rsid w:val="00D20FDC"/>
    <w:rsid w:val="00D261FF"/>
    <w:rsid w:val="00D26A2C"/>
    <w:rsid w:val="00D2748F"/>
    <w:rsid w:val="00D3438E"/>
    <w:rsid w:val="00D35927"/>
    <w:rsid w:val="00D36E18"/>
    <w:rsid w:val="00D37167"/>
    <w:rsid w:val="00D4228C"/>
    <w:rsid w:val="00D423EF"/>
    <w:rsid w:val="00D44764"/>
    <w:rsid w:val="00D515F9"/>
    <w:rsid w:val="00D516A3"/>
    <w:rsid w:val="00D54715"/>
    <w:rsid w:val="00D555FD"/>
    <w:rsid w:val="00D60EC7"/>
    <w:rsid w:val="00D625E5"/>
    <w:rsid w:val="00D64B45"/>
    <w:rsid w:val="00D654A0"/>
    <w:rsid w:val="00D6723F"/>
    <w:rsid w:val="00D678C2"/>
    <w:rsid w:val="00D7177F"/>
    <w:rsid w:val="00D71906"/>
    <w:rsid w:val="00D72B42"/>
    <w:rsid w:val="00D72D21"/>
    <w:rsid w:val="00D7350A"/>
    <w:rsid w:val="00D75B4E"/>
    <w:rsid w:val="00D763AE"/>
    <w:rsid w:val="00D778DA"/>
    <w:rsid w:val="00D801CE"/>
    <w:rsid w:val="00D8193C"/>
    <w:rsid w:val="00D836CF"/>
    <w:rsid w:val="00D841ED"/>
    <w:rsid w:val="00D860F3"/>
    <w:rsid w:val="00D86FDD"/>
    <w:rsid w:val="00D935D2"/>
    <w:rsid w:val="00D942FD"/>
    <w:rsid w:val="00D94F2F"/>
    <w:rsid w:val="00D97B45"/>
    <w:rsid w:val="00DA02E6"/>
    <w:rsid w:val="00DA17AE"/>
    <w:rsid w:val="00DA689E"/>
    <w:rsid w:val="00DA6DF6"/>
    <w:rsid w:val="00DB01A4"/>
    <w:rsid w:val="00DB081F"/>
    <w:rsid w:val="00DB2BAE"/>
    <w:rsid w:val="00DB5C0F"/>
    <w:rsid w:val="00DC14B1"/>
    <w:rsid w:val="00DC1CAA"/>
    <w:rsid w:val="00DC2798"/>
    <w:rsid w:val="00DC3906"/>
    <w:rsid w:val="00DC48B7"/>
    <w:rsid w:val="00DC5477"/>
    <w:rsid w:val="00DC6F21"/>
    <w:rsid w:val="00DC7548"/>
    <w:rsid w:val="00DD17A0"/>
    <w:rsid w:val="00DD4B22"/>
    <w:rsid w:val="00DD4E69"/>
    <w:rsid w:val="00DE04FA"/>
    <w:rsid w:val="00DE378C"/>
    <w:rsid w:val="00DE3958"/>
    <w:rsid w:val="00DE49E6"/>
    <w:rsid w:val="00DE5A60"/>
    <w:rsid w:val="00DE6F66"/>
    <w:rsid w:val="00DF1083"/>
    <w:rsid w:val="00DF11D5"/>
    <w:rsid w:val="00DF275A"/>
    <w:rsid w:val="00DF33A6"/>
    <w:rsid w:val="00DF5D02"/>
    <w:rsid w:val="00DF6528"/>
    <w:rsid w:val="00DF762F"/>
    <w:rsid w:val="00E0046D"/>
    <w:rsid w:val="00E01B24"/>
    <w:rsid w:val="00E01E02"/>
    <w:rsid w:val="00E038F8"/>
    <w:rsid w:val="00E0391B"/>
    <w:rsid w:val="00E03B4E"/>
    <w:rsid w:val="00E06134"/>
    <w:rsid w:val="00E10B4B"/>
    <w:rsid w:val="00E11968"/>
    <w:rsid w:val="00E128EA"/>
    <w:rsid w:val="00E14E1F"/>
    <w:rsid w:val="00E1614C"/>
    <w:rsid w:val="00E1705E"/>
    <w:rsid w:val="00E17651"/>
    <w:rsid w:val="00E25D15"/>
    <w:rsid w:val="00E26198"/>
    <w:rsid w:val="00E30070"/>
    <w:rsid w:val="00E33234"/>
    <w:rsid w:val="00E35608"/>
    <w:rsid w:val="00E36778"/>
    <w:rsid w:val="00E40561"/>
    <w:rsid w:val="00E40769"/>
    <w:rsid w:val="00E41591"/>
    <w:rsid w:val="00E4463A"/>
    <w:rsid w:val="00E44BEF"/>
    <w:rsid w:val="00E454C1"/>
    <w:rsid w:val="00E477D1"/>
    <w:rsid w:val="00E51186"/>
    <w:rsid w:val="00E51DB4"/>
    <w:rsid w:val="00E557BF"/>
    <w:rsid w:val="00E56F3F"/>
    <w:rsid w:val="00E61552"/>
    <w:rsid w:val="00E62E45"/>
    <w:rsid w:val="00E636D9"/>
    <w:rsid w:val="00E665CC"/>
    <w:rsid w:val="00E67411"/>
    <w:rsid w:val="00E70B91"/>
    <w:rsid w:val="00E70D67"/>
    <w:rsid w:val="00E713E0"/>
    <w:rsid w:val="00E7202B"/>
    <w:rsid w:val="00E76E21"/>
    <w:rsid w:val="00E77A9A"/>
    <w:rsid w:val="00E80F42"/>
    <w:rsid w:val="00E83640"/>
    <w:rsid w:val="00E83842"/>
    <w:rsid w:val="00E84D01"/>
    <w:rsid w:val="00E86B1F"/>
    <w:rsid w:val="00E907C5"/>
    <w:rsid w:val="00E90C57"/>
    <w:rsid w:val="00E917C6"/>
    <w:rsid w:val="00E91AE3"/>
    <w:rsid w:val="00E92161"/>
    <w:rsid w:val="00E9250F"/>
    <w:rsid w:val="00E92E5A"/>
    <w:rsid w:val="00E93270"/>
    <w:rsid w:val="00E9503F"/>
    <w:rsid w:val="00E97DF6"/>
    <w:rsid w:val="00EA1300"/>
    <w:rsid w:val="00EA188C"/>
    <w:rsid w:val="00EA1F5B"/>
    <w:rsid w:val="00EA28A7"/>
    <w:rsid w:val="00EA40C9"/>
    <w:rsid w:val="00EA4BBB"/>
    <w:rsid w:val="00EA6DB1"/>
    <w:rsid w:val="00EA7494"/>
    <w:rsid w:val="00EB1B71"/>
    <w:rsid w:val="00EB1C00"/>
    <w:rsid w:val="00EB2DDE"/>
    <w:rsid w:val="00EB76A9"/>
    <w:rsid w:val="00EC433B"/>
    <w:rsid w:val="00EC539E"/>
    <w:rsid w:val="00EC5BA5"/>
    <w:rsid w:val="00ED0423"/>
    <w:rsid w:val="00ED2FA4"/>
    <w:rsid w:val="00ED36DF"/>
    <w:rsid w:val="00ED3A27"/>
    <w:rsid w:val="00ED610D"/>
    <w:rsid w:val="00EE22D8"/>
    <w:rsid w:val="00EE24AE"/>
    <w:rsid w:val="00EE2E92"/>
    <w:rsid w:val="00EE336A"/>
    <w:rsid w:val="00EE3570"/>
    <w:rsid w:val="00EE5D3B"/>
    <w:rsid w:val="00EF095D"/>
    <w:rsid w:val="00EF241C"/>
    <w:rsid w:val="00EF291C"/>
    <w:rsid w:val="00EF2BFD"/>
    <w:rsid w:val="00EF3560"/>
    <w:rsid w:val="00EF4967"/>
    <w:rsid w:val="00EF5EAB"/>
    <w:rsid w:val="00EF62FA"/>
    <w:rsid w:val="00EF66DE"/>
    <w:rsid w:val="00EF7739"/>
    <w:rsid w:val="00EF7C92"/>
    <w:rsid w:val="00EF7CA4"/>
    <w:rsid w:val="00F03137"/>
    <w:rsid w:val="00F03449"/>
    <w:rsid w:val="00F056BD"/>
    <w:rsid w:val="00F06D22"/>
    <w:rsid w:val="00F10074"/>
    <w:rsid w:val="00F10575"/>
    <w:rsid w:val="00F10EEC"/>
    <w:rsid w:val="00F1295E"/>
    <w:rsid w:val="00F12DD0"/>
    <w:rsid w:val="00F13AC7"/>
    <w:rsid w:val="00F162CA"/>
    <w:rsid w:val="00F16C19"/>
    <w:rsid w:val="00F17757"/>
    <w:rsid w:val="00F23A82"/>
    <w:rsid w:val="00F2432B"/>
    <w:rsid w:val="00F248DB"/>
    <w:rsid w:val="00F302F0"/>
    <w:rsid w:val="00F31387"/>
    <w:rsid w:val="00F31DF3"/>
    <w:rsid w:val="00F32E23"/>
    <w:rsid w:val="00F334F2"/>
    <w:rsid w:val="00F3383C"/>
    <w:rsid w:val="00F339E7"/>
    <w:rsid w:val="00F346DC"/>
    <w:rsid w:val="00F374FB"/>
    <w:rsid w:val="00F379F8"/>
    <w:rsid w:val="00F42EBD"/>
    <w:rsid w:val="00F446D3"/>
    <w:rsid w:val="00F46161"/>
    <w:rsid w:val="00F475F8"/>
    <w:rsid w:val="00F506F0"/>
    <w:rsid w:val="00F50D09"/>
    <w:rsid w:val="00F55520"/>
    <w:rsid w:val="00F57E4D"/>
    <w:rsid w:val="00F62715"/>
    <w:rsid w:val="00F637FB"/>
    <w:rsid w:val="00F63E40"/>
    <w:rsid w:val="00F671F9"/>
    <w:rsid w:val="00F700B7"/>
    <w:rsid w:val="00F710A0"/>
    <w:rsid w:val="00F71ACB"/>
    <w:rsid w:val="00F73740"/>
    <w:rsid w:val="00F75B6C"/>
    <w:rsid w:val="00F75DD8"/>
    <w:rsid w:val="00F771C1"/>
    <w:rsid w:val="00F77B43"/>
    <w:rsid w:val="00F8050D"/>
    <w:rsid w:val="00F80994"/>
    <w:rsid w:val="00F81468"/>
    <w:rsid w:val="00F8180E"/>
    <w:rsid w:val="00F8388F"/>
    <w:rsid w:val="00F849EA"/>
    <w:rsid w:val="00F9159D"/>
    <w:rsid w:val="00F91B92"/>
    <w:rsid w:val="00F94385"/>
    <w:rsid w:val="00F95836"/>
    <w:rsid w:val="00F95B63"/>
    <w:rsid w:val="00F96A42"/>
    <w:rsid w:val="00F96DE1"/>
    <w:rsid w:val="00F975F2"/>
    <w:rsid w:val="00FA1348"/>
    <w:rsid w:val="00FA163B"/>
    <w:rsid w:val="00FA3208"/>
    <w:rsid w:val="00FA3599"/>
    <w:rsid w:val="00FA5FFC"/>
    <w:rsid w:val="00FB0A38"/>
    <w:rsid w:val="00FB0B92"/>
    <w:rsid w:val="00FB2382"/>
    <w:rsid w:val="00FB2A73"/>
    <w:rsid w:val="00FB3E7E"/>
    <w:rsid w:val="00FB7CED"/>
    <w:rsid w:val="00FC0727"/>
    <w:rsid w:val="00FC113D"/>
    <w:rsid w:val="00FC177C"/>
    <w:rsid w:val="00FC20E7"/>
    <w:rsid w:val="00FC4DBB"/>
    <w:rsid w:val="00FC5BC8"/>
    <w:rsid w:val="00FC66BE"/>
    <w:rsid w:val="00FC74F2"/>
    <w:rsid w:val="00FC7DDB"/>
    <w:rsid w:val="00FC7E3B"/>
    <w:rsid w:val="00FD2BFA"/>
    <w:rsid w:val="00FD37B3"/>
    <w:rsid w:val="00FD48B1"/>
    <w:rsid w:val="00FD5048"/>
    <w:rsid w:val="00FD6819"/>
    <w:rsid w:val="00FD6E75"/>
    <w:rsid w:val="00FE0FD4"/>
    <w:rsid w:val="00FE2568"/>
    <w:rsid w:val="00FE2821"/>
    <w:rsid w:val="00FE41C5"/>
    <w:rsid w:val="00FE6D6A"/>
    <w:rsid w:val="00FE6F93"/>
    <w:rsid w:val="00FE7F1B"/>
    <w:rsid w:val="00FF0484"/>
    <w:rsid w:val="00FF27B1"/>
    <w:rsid w:val="00FF38B4"/>
    <w:rsid w:val="00FF4422"/>
    <w:rsid w:val="00FF4C51"/>
    <w:rsid w:val="00FF57C0"/>
    <w:rsid w:val="00FF681C"/>
    <w:rsid w:val="00FF6C9F"/>
    <w:rsid w:val="00FF6FD1"/>
    <w:rsid w:val="00FF7E4B"/>
    <w:rsid w:val="014B1C23"/>
    <w:rsid w:val="020E7018"/>
    <w:rsid w:val="025C6C2C"/>
    <w:rsid w:val="029B1F1D"/>
    <w:rsid w:val="037B4911"/>
    <w:rsid w:val="045E6ED7"/>
    <w:rsid w:val="064D798D"/>
    <w:rsid w:val="071653EB"/>
    <w:rsid w:val="07E04F53"/>
    <w:rsid w:val="07E33AF8"/>
    <w:rsid w:val="089D26AD"/>
    <w:rsid w:val="08C42EBD"/>
    <w:rsid w:val="08CA1A2C"/>
    <w:rsid w:val="09864BDF"/>
    <w:rsid w:val="0B7E42CC"/>
    <w:rsid w:val="0BFF75B7"/>
    <w:rsid w:val="0D0D0170"/>
    <w:rsid w:val="0DB654C2"/>
    <w:rsid w:val="0F741246"/>
    <w:rsid w:val="0F8A302F"/>
    <w:rsid w:val="10CA5A53"/>
    <w:rsid w:val="10F93FD4"/>
    <w:rsid w:val="112C7D51"/>
    <w:rsid w:val="139151AB"/>
    <w:rsid w:val="13F83651"/>
    <w:rsid w:val="13FF6470"/>
    <w:rsid w:val="14740E20"/>
    <w:rsid w:val="14B149E6"/>
    <w:rsid w:val="15DB31B5"/>
    <w:rsid w:val="161A67D5"/>
    <w:rsid w:val="16DA52DF"/>
    <w:rsid w:val="173C3B65"/>
    <w:rsid w:val="17882E01"/>
    <w:rsid w:val="17D83908"/>
    <w:rsid w:val="1846780F"/>
    <w:rsid w:val="1947359B"/>
    <w:rsid w:val="19E333F3"/>
    <w:rsid w:val="1B53639C"/>
    <w:rsid w:val="1D276F87"/>
    <w:rsid w:val="1D317286"/>
    <w:rsid w:val="20F77D59"/>
    <w:rsid w:val="216C140B"/>
    <w:rsid w:val="21862EB8"/>
    <w:rsid w:val="22037888"/>
    <w:rsid w:val="220F28A0"/>
    <w:rsid w:val="23CC4C0B"/>
    <w:rsid w:val="24610A84"/>
    <w:rsid w:val="24691981"/>
    <w:rsid w:val="24B92881"/>
    <w:rsid w:val="25EA47D3"/>
    <w:rsid w:val="261B0E3B"/>
    <w:rsid w:val="28925C67"/>
    <w:rsid w:val="29522BD3"/>
    <w:rsid w:val="29F310F0"/>
    <w:rsid w:val="2B006133"/>
    <w:rsid w:val="2B2A55A1"/>
    <w:rsid w:val="2C413815"/>
    <w:rsid w:val="2D654F4A"/>
    <w:rsid w:val="2D78744F"/>
    <w:rsid w:val="2E322CEC"/>
    <w:rsid w:val="2E4F415B"/>
    <w:rsid w:val="30E436DD"/>
    <w:rsid w:val="31EB3D3A"/>
    <w:rsid w:val="321C0C74"/>
    <w:rsid w:val="33DF471C"/>
    <w:rsid w:val="35175D47"/>
    <w:rsid w:val="353963D4"/>
    <w:rsid w:val="35DB32E0"/>
    <w:rsid w:val="363C0E5F"/>
    <w:rsid w:val="36536CA7"/>
    <w:rsid w:val="36D5615D"/>
    <w:rsid w:val="37033A18"/>
    <w:rsid w:val="37D865C9"/>
    <w:rsid w:val="386F48FC"/>
    <w:rsid w:val="38B625AA"/>
    <w:rsid w:val="38E27663"/>
    <w:rsid w:val="3A9D664D"/>
    <w:rsid w:val="3B7D450D"/>
    <w:rsid w:val="3BD16EAF"/>
    <w:rsid w:val="3C1001A0"/>
    <w:rsid w:val="3CD12666"/>
    <w:rsid w:val="3CD946F9"/>
    <w:rsid w:val="3CDB1454"/>
    <w:rsid w:val="3D636C0C"/>
    <w:rsid w:val="3D815467"/>
    <w:rsid w:val="3DC809F8"/>
    <w:rsid w:val="3DDE563B"/>
    <w:rsid w:val="3DF12730"/>
    <w:rsid w:val="3ECA3604"/>
    <w:rsid w:val="3FB251BD"/>
    <w:rsid w:val="402B6A71"/>
    <w:rsid w:val="416F7D07"/>
    <w:rsid w:val="42D27361"/>
    <w:rsid w:val="43EC4640"/>
    <w:rsid w:val="450665E4"/>
    <w:rsid w:val="45713C67"/>
    <w:rsid w:val="45892E84"/>
    <w:rsid w:val="45A85578"/>
    <w:rsid w:val="45DE788B"/>
    <w:rsid w:val="460E229A"/>
    <w:rsid w:val="48F6596C"/>
    <w:rsid w:val="499565EF"/>
    <w:rsid w:val="49CF613E"/>
    <w:rsid w:val="49D16803"/>
    <w:rsid w:val="4B985CE6"/>
    <w:rsid w:val="4C5856B1"/>
    <w:rsid w:val="4C645C93"/>
    <w:rsid w:val="4D30082B"/>
    <w:rsid w:val="4D77667C"/>
    <w:rsid w:val="4D9F1026"/>
    <w:rsid w:val="4DB47C67"/>
    <w:rsid w:val="4E017701"/>
    <w:rsid w:val="4E1349BE"/>
    <w:rsid w:val="4E336C51"/>
    <w:rsid w:val="51CD3886"/>
    <w:rsid w:val="522F5F8F"/>
    <w:rsid w:val="524F56C8"/>
    <w:rsid w:val="52674A43"/>
    <w:rsid w:val="52E01B21"/>
    <w:rsid w:val="5302110B"/>
    <w:rsid w:val="533808A7"/>
    <w:rsid w:val="53DA51D1"/>
    <w:rsid w:val="543069B9"/>
    <w:rsid w:val="55950043"/>
    <w:rsid w:val="55A61CAC"/>
    <w:rsid w:val="55B71AE9"/>
    <w:rsid w:val="5732782F"/>
    <w:rsid w:val="581479E4"/>
    <w:rsid w:val="581861F3"/>
    <w:rsid w:val="586438E8"/>
    <w:rsid w:val="58E032FE"/>
    <w:rsid w:val="596E652B"/>
    <w:rsid w:val="59962D78"/>
    <w:rsid w:val="59B32AD2"/>
    <w:rsid w:val="59D30FF2"/>
    <w:rsid w:val="5BC54DE1"/>
    <w:rsid w:val="5BDF7A8D"/>
    <w:rsid w:val="5C5B77E5"/>
    <w:rsid w:val="5E8D2938"/>
    <w:rsid w:val="5ED65E05"/>
    <w:rsid w:val="5F285545"/>
    <w:rsid w:val="5F295200"/>
    <w:rsid w:val="5FF33249"/>
    <w:rsid w:val="611E2F99"/>
    <w:rsid w:val="616851E7"/>
    <w:rsid w:val="618B3935"/>
    <w:rsid w:val="62382687"/>
    <w:rsid w:val="6285735C"/>
    <w:rsid w:val="636C3EF7"/>
    <w:rsid w:val="64BB374C"/>
    <w:rsid w:val="65617565"/>
    <w:rsid w:val="65742278"/>
    <w:rsid w:val="66A46DE5"/>
    <w:rsid w:val="66E46B33"/>
    <w:rsid w:val="67680352"/>
    <w:rsid w:val="67B84BDD"/>
    <w:rsid w:val="6A0B5EA9"/>
    <w:rsid w:val="6B3E5590"/>
    <w:rsid w:val="6DB950A4"/>
    <w:rsid w:val="6FC209A0"/>
    <w:rsid w:val="6FF56A9F"/>
    <w:rsid w:val="71174132"/>
    <w:rsid w:val="7134003A"/>
    <w:rsid w:val="71FD6377"/>
    <w:rsid w:val="727C4FE3"/>
    <w:rsid w:val="740F4BCA"/>
    <w:rsid w:val="74101407"/>
    <w:rsid w:val="742566C0"/>
    <w:rsid w:val="74B23876"/>
    <w:rsid w:val="761D2E4B"/>
    <w:rsid w:val="764A6C3A"/>
    <w:rsid w:val="77445362"/>
    <w:rsid w:val="77F23EA6"/>
    <w:rsid w:val="77F34F6C"/>
    <w:rsid w:val="780A5247"/>
    <w:rsid w:val="781A2E53"/>
    <w:rsid w:val="799B1B1A"/>
    <w:rsid w:val="7A1755F6"/>
    <w:rsid w:val="7A22775D"/>
    <w:rsid w:val="7B5B3674"/>
    <w:rsid w:val="7B7653BB"/>
    <w:rsid w:val="7B7F03F4"/>
    <w:rsid w:val="7BA832B4"/>
    <w:rsid w:val="7C150E90"/>
    <w:rsid w:val="7C1B696E"/>
    <w:rsid w:val="7EB52E69"/>
    <w:rsid w:val="7ECD21F4"/>
    <w:rsid w:val="7F7C2C65"/>
    <w:rsid w:val="7FB35B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iPriority="39" w:semiHidden="0"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nhideWhenUsed="0"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iPriority="99" w:name="Message Header"/>
    <w:lsdException w:qFormat="1" w:unhideWhenUsed="0" w:uiPriority="99"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99" w:semiHidden="0" w:name="Emphasis"/>
    <w:lsdException w:qFormat="1" w:uiPriority="99" w:semiHidden="0" w:name="Document Map"/>
    <w:lsdException w:qFormat="1" w:unhideWhenUsed="0" w:uiPriority="0" w:semiHidden="0"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Cs w:val="24"/>
      <w:lang w:val="en-US" w:eastAsia="zh-CN" w:bidi="ar-SA"/>
    </w:rPr>
  </w:style>
  <w:style w:type="paragraph" w:styleId="2">
    <w:name w:val="heading 1"/>
    <w:basedOn w:val="1"/>
    <w:next w:val="1"/>
    <w:link w:val="55"/>
    <w:qFormat/>
    <w:uiPriority w:val="99"/>
    <w:pPr>
      <w:keepNext/>
      <w:keepLines/>
      <w:tabs>
        <w:tab w:val="left" w:pos="425"/>
      </w:tabs>
      <w:topLinePunct/>
      <w:spacing w:line="480" w:lineRule="auto"/>
      <w:textAlignment w:val="baseline"/>
      <w:outlineLvl w:val="0"/>
    </w:pPr>
    <w:rPr>
      <w:rFonts w:ascii="黑体" w:hAnsi="黑体" w:eastAsia="黑体"/>
      <w:b/>
      <w:kern w:val="44"/>
      <w:szCs w:val="21"/>
    </w:rPr>
  </w:style>
  <w:style w:type="paragraph" w:styleId="3">
    <w:name w:val="heading 2"/>
    <w:basedOn w:val="1"/>
    <w:next w:val="1"/>
    <w:link w:val="52"/>
    <w:qFormat/>
    <w:uiPriority w:val="99"/>
    <w:pPr>
      <w:keepNext/>
      <w:keepLines/>
      <w:numPr>
        <w:ilvl w:val="1"/>
        <w:numId w:val="1"/>
      </w:numPr>
      <w:topLinePunct/>
      <w:outlineLvl w:val="1"/>
    </w:pPr>
    <w:rPr>
      <w:rFonts w:eastAsia="黑体"/>
    </w:rPr>
  </w:style>
  <w:style w:type="paragraph" w:styleId="4">
    <w:name w:val="heading 3"/>
    <w:basedOn w:val="1"/>
    <w:next w:val="1"/>
    <w:link w:val="51"/>
    <w:qFormat/>
    <w:uiPriority w:val="99"/>
    <w:pPr>
      <w:keepNext/>
      <w:keepLines/>
      <w:tabs>
        <w:tab w:val="left" w:pos="2126"/>
      </w:tabs>
      <w:spacing w:line="960" w:lineRule="auto"/>
      <w:ind w:left="1701"/>
      <w:jc w:val="center"/>
      <w:outlineLvl w:val="2"/>
    </w:pPr>
    <w:rPr>
      <w:rFonts w:eastAsia="黑体"/>
      <w:sz w:val="28"/>
    </w:rPr>
  </w:style>
  <w:style w:type="paragraph" w:styleId="5">
    <w:name w:val="heading 4"/>
    <w:basedOn w:val="1"/>
    <w:next w:val="1"/>
    <w:link w:val="54"/>
    <w:qFormat/>
    <w:uiPriority w:val="99"/>
    <w:pPr>
      <w:keepNext/>
      <w:keepLines/>
      <w:tabs>
        <w:tab w:val="left" w:pos="2976"/>
      </w:tabs>
      <w:spacing w:before="280" w:after="290" w:line="372" w:lineRule="auto"/>
      <w:ind w:left="2551"/>
      <w:outlineLvl w:val="3"/>
    </w:pPr>
    <w:rPr>
      <w:rFonts w:ascii="Arial" w:hAnsi="Arial" w:eastAsia="黑体"/>
      <w:b/>
      <w:sz w:val="28"/>
    </w:rPr>
  </w:style>
  <w:style w:type="paragraph" w:styleId="6">
    <w:name w:val="heading 5"/>
    <w:basedOn w:val="1"/>
    <w:next w:val="1"/>
    <w:link w:val="53"/>
    <w:qFormat/>
    <w:uiPriority w:val="99"/>
    <w:pPr>
      <w:keepNext/>
      <w:keepLines/>
      <w:tabs>
        <w:tab w:val="left" w:pos="3827"/>
      </w:tabs>
      <w:ind w:left="3402"/>
      <w:outlineLvl w:val="4"/>
    </w:pPr>
    <w:rPr>
      <w:rFonts w:eastAsia="黑体"/>
    </w:rPr>
  </w:style>
  <w:style w:type="paragraph" w:styleId="7">
    <w:name w:val="heading 6"/>
    <w:basedOn w:val="1"/>
    <w:next w:val="1"/>
    <w:link w:val="56"/>
    <w:qFormat/>
    <w:uiPriority w:val="99"/>
    <w:pPr>
      <w:keepNext/>
      <w:keepLines/>
      <w:tabs>
        <w:tab w:val="left" w:pos="4677"/>
      </w:tabs>
      <w:spacing w:before="240" w:after="64" w:line="317" w:lineRule="auto"/>
      <w:ind w:left="4252"/>
      <w:outlineLvl w:val="5"/>
    </w:pPr>
    <w:rPr>
      <w:rFonts w:ascii="Arial" w:hAnsi="Arial" w:eastAsia="黑体"/>
      <w:b/>
      <w:sz w:val="24"/>
    </w:rPr>
  </w:style>
  <w:style w:type="paragraph" w:styleId="8">
    <w:name w:val="heading 7"/>
    <w:basedOn w:val="1"/>
    <w:next w:val="1"/>
    <w:link w:val="57"/>
    <w:qFormat/>
    <w:uiPriority w:val="99"/>
    <w:pPr>
      <w:keepNext/>
      <w:keepLines/>
      <w:tabs>
        <w:tab w:val="left" w:pos="5528"/>
      </w:tabs>
      <w:spacing w:before="240" w:after="64" w:line="317" w:lineRule="auto"/>
      <w:ind w:left="5102"/>
      <w:outlineLvl w:val="6"/>
    </w:pPr>
    <w:rPr>
      <w:b/>
      <w:sz w:val="24"/>
    </w:rPr>
  </w:style>
  <w:style w:type="paragraph" w:styleId="9">
    <w:name w:val="heading 8"/>
    <w:basedOn w:val="1"/>
    <w:next w:val="1"/>
    <w:link w:val="58"/>
    <w:qFormat/>
    <w:uiPriority w:val="99"/>
    <w:pPr>
      <w:keepNext/>
      <w:keepLines/>
      <w:tabs>
        <w:tab w:val="left" w:pos="6378"/>
      </w:tabs>
      <w:spacing w:before="240" w:after="64" w:line="317" w:lineRule="auto"/>
      <w:ind w:left="5953"/>
      <w:outlineLvl w:val="7"/>
    </w:pPr>
    <w:rPr>
      <w:rFonts w:ascii="Arial" w:hAnsi="Arial" w:eastAsia="黑体"/>
      <w:sz w:val="24"/>
    </w:rPr>
  </w:style>
  <w:style w:type="paragraph" w:styleId="10">
    <w:name w:val="heading 9"/>
    <w:basedOn w:val="1"/>
    <w:next w:val="1"/>
    <w:link w:val="59"/>
    <w:qFormat/>
    <w:uiPriority w:val="99"/>
    <w:pPr>
      <w:keepNext/>
      <w:keepLines/>
      <w:tabs>
        <w:tab w:val="left" w:pos="7228"/>
      </w:tabs>
      <w:spacing w:before="240" w:after="64" w:line="317" w:lineRule="auto"/>
      <w:ind w:left="6803"/>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Bullet"/>
    <w:basedOn w:val="1"/>
    <w:qFormat/>
    <w:uiPriority w:val="99"/>
    <w:pPr>
      <w:numPr>
        <w:ilvl w:val="0"/>
        <w:numId w:val="2"/>
      </w:numPr>
      <w:contextualSpacing/>
    </w:pPr>
  </w:style>
  <w:style w:type="paragraph" w:styleId="12">
    <w:name w:val="Document Map"/>
    <w:basedOn w:val="1"/>
    <w:link w:val="41"/>
    <w:unhideWhenUsed/>
    <w:qFormat/>
    <w:uiPriority w:val="99"/>
    <w:rPr>
      <w:rFonts w:ascii="宋体"/>
      <w:sz w:val="18"/>
      <w:szCs w:val="18"/>
    </w:rPr>
  </w:style>
  <w:style w:type="paragraph" w:styleId="13">
    <w:name w:val="annotation text"/>
    <w:basedOn w:val="1"/>
    <w:link w:val="74"/>
    <w:semiHidden/>
    <w:unhideWhenUsed/>
    <w:qFormat/>
    <w:uiPriority w:val="99"/>
    <w:pPr>
      <w:jc w:val="left"/>
    </w:pPr>
  </w:style>
  <w:style w:type="paragraph" w:styleId="14">
    <w:name w:val="Plain Text"/>
    <w:basedOn w:val="1"/>
    <w:link w:val="64"/>
    <w:qFormat/>
    <w:uiPriority w:val="0"/>
    <w:pPr>
      <w:spacing w:line="240" w:lineRule="auto"/>
      <w:ind w:firstLine="0" w:firstLineChars="0"/>
    </w:pPr>
    <w:rPr>
      <w:rFonts w:ascii="宋体" w:hAnsi="Courier New"/>
      <w:sz w:val="21"/>
      <w:szCs w:val="20"/>
    </w:rPr>
  </w:style>
  <w:style w:type="paragraph" w:styleId="15">
    <w:name w:val="List Continue 5"/>
    <w:basedOn w:val="1"/>
    <w:qFormat/>
    <w:uiPriority w:val="99"/>
    <w:pPr>
      <w:spacing w:after="120"/>
      <w:ind w:left="2100" w:leftChars="1000"/>
      <w:contextualSpacing/>
    </w:pPr>
  </w:style>
  <w:style w:type="paragraph" w:styleId="16">
    <w:name w:val="Balloon Text"/>
    <w:basedOn w:val="1"/>
    <w:link w:val="40"/>
    <w:qFormat/>
    <w:uiPriority w:val="99"/>
    <w:pPr>
      <w:spacing w:line="240" w:lineRule="auto"/>
    </w:pPr>
    <w:rPr>
      <w:sz w:val="18"/>
      <w:szCs w:val="18"/>
    </w:rPr>
  </w:style>
  <w:style w:type="paragraph" w:styleId="17">
    <w:name w:val="footer"/>
    <w:basedOn w:val="1"/>
    <w:qFormat/>
    <w:uiPriority w:val="99"/>
    <w:pPr>
      <w:tabs>
        <w:tab w:val="center" w:pos="4153"/>
        <w:tab w:val="right" w:pos="8306"/>
      </w:tabs>
      <w:snapToGrid w:val="0"/>
      <w:jc w:val="left"/>
    </w:pPr>
    <w:rPr>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widowControl/>
      <w:spacing w:line="300" w:lineRule="auto"/>
      <w:jc w:val="left"/>
    </w:pPr>
  </w:style>
  <w:style w:type="paragraph" w:styleId="20">
    <w:name w:val="List Continue 4"/>
    <w:basedOn w:val="1"/>
    <w:qFormat/>
    <w:uiPriority w:val="99"/>
    <w:pPr>
      <w:spacing w:after="120"/>
      <w:ind w:left="1680" w:leftChars="800"/>
      <w:contextualSpacing/>
    </w:pPr>
  </w:style>
  <w:style w:type="paragraph" w:styleId="21">
    <w:name w:val="Subtitle"/>
    <w:basedOn w:val="1"/>
    <w:next w:val="1"/>
    <w:link w:val="46"/>
    <w:qFormat/>
    <w:uiPriority w:val="99"/>
    <w:pPr>
      <w:spacing w:before="240" w:after="60" w:line="312" w:lineRule="auto"/>
      <w:jc w:val="center"/>
      <w:outlineLvl w:val="1"/>
    </w:pPr>
    <w:rPr>
      <w:rFonts w:asciiTheme="majorHAnsi" w:hAnsiTheme="majorHAnsi" w:cstheme="majorBidi"/>
      <w:b/>
      <w:bCs/>
      <w:kern w:val="28"/>
      <w:sz w:val="32"/>
      <w:szCs w:val="32"/>
    </w:rPr>
  </w:style>
  <w:style w:type="paragraph" w:styleId="22">
    <w:name w:val="List"/>
    <w:basedOn w:val="1"/>
    <w:qFormat/>
    <w:uiPriority w:val="99"/>
    <w:pPr>
      <w:ind w:left="200" w:hanging="200" w:hangingChars="200"/>
      <w:contextualSpacing/>
    </w:pPr>
  </w:style>
  <w:style w:type="paragraph" w:styleId="23">
    <w:name w:val="toc 2"/>
    <w:basedOn w:val="1"/>
    <w:next w:val="1"/>
    <w:unhideWhenUsed/>
    <w:qFormat/>
    <w:uiPriority w:val="39"/>
    <w:pPr>
      <w:ind w:left="420" w:leftChars="200"/>
    </w:pPr>
  </w:style>
  <w:style w:type="paragraph" w:styleId="24">
    <w:name w:val="List Continue 2"/>
    <w:basedOn w:val="1"/>
    <w:qFormat/>
    <w:uiPriority w:val="99"/>
    <w:pPr>
      <w:spacing w:after="120"/>
      <w:ind w:left="840" w:leftChars="400"/>
      <w:contextualSpacing/>
    </w:pPr>
  </w:style>
  <w:style w:type="paragraph" w:styleId="25">
    <w:name w:val="List Continue 3"/>
    <w:basedOn w:val="1"/>
    <w:qFormat/>
    <w:uiPriority w:val="99"/>
    <w:pPr>
      <w:spacing w:after="120"/>
      <w:ind w:left="1260" w:leftChars="600"/>
      <w:contextualSpacing/>
    </w:pPr>
  </w:style>
  <w:style w:type="paragraph" w:styleId="26">
    <w:name w:val="annotation subject"/>
    <w:basedOn w:val="13"/>
    <w:next w:val="13"/>
    <w:link w:val="75"/>
    <w:semiHidden/>
    <w:unhideWhenUsed/>
    <w:qFormat/>
    <w:uiPriority w:val="99"/>
    <w:rPr>
      <w:b/>
      <w:bC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99"/>
    <w:rPr>
      <w:b/>
      <w:bCs/>
    </w:rPr>
  </w:style>
  <w:style w:type="character" w:styleId="31">
    <w:name w:val="page number"/>
    <w:basedOn w:val="29"/>
    <w:qFormat/>
    <w:uiPriority w:val="0"/>
  </w:style>
  <w:style w:type="character" w:styleId="32">
    <w:name w:val="Emphasis"/>
    <w:basedOn w:val="29"/>
    <w:qFormat/>
    <w:uiPriority w:val="99"/>
    <w:rPr>
      <w:i/>
      <w:iCs/>
    </w:rPr>
  </w:style>
  <w:style w:type="character" w:styleId="33">
    <w:name w:val="Hyperlink"/>
    <w:basedOn w:val="29"/>
    <w:unhideWhenUsed/>
    <w:qFormat/>
    <w:uiPriority w:val="99"/>
    <w:rPr>
      <w:color w:val="0000FF" w:themeColor="hyperlink"/>
      <w:u w:val="single"/>
      <w14:textFill>
        <w14:solidFill>
          <w14:schemeClr w14:val="hlink"/>
        </w14:solidFill>
      </w14:textFill>
    </w:rPr>
  </w:style>
  <w:style w:type="character" w:styleId="34">
    <w:name w:val="annotation reference"/>
    <w:basedOn w:val="29"/>
    <w:semiHidden/>
    <w:unhideWhenUsed/>
    <w:qFormat/>
    <w:uiPriority w:val="99"/>
    <w:rPr>
      <w:sz w:val="21"/>
      <w:szCs w:val="21"/>
    </w:rPr>
  </w:style>
  <w:style w:type="paragraph" w:customStyle="1" w:styleId="35">
    <w:name w:val="标准1级标题"/>
    <w:basedOn w:val="1"/>
    <w:qFormat/>
    <w:uiPriority w:val="0"/>
    <w:pPr>
      <w:keepNext/>
      <w:keepLines/>
      <w:widowControl/>
      <w:adjustRightInd w:val="0"/>
      <w:spacing w:before="120" w:after="120" w:line="400" w:lineRule="atLeast"/>
      <w:ind w:firstLine="0" w:firstLineChars="0"/>
      <w:jc w:val="left"/>
      <w:outlineLvl w:val="0"/>
    </w:pPr>
    <w:rPr>
      <w:rFonts w:eastAsia="黑体"/>
      <w:b/>
      <w:kern w:val="0"/>
    </w:rPr>
  </w:style>
  <w:style w:type="paragraph" w:customStyle="1" w:styleId="36">
    <w:name w:val="标准2级标题"/>
    <w:basedOn w:val="1"/>
    <w:qFormat/>
    <w:uiPriority w:val="0"/>
    <w:pPr>
      <w:widowControl/>
      <w:spacing w:before="120" w:after="120"/>
      <w:ind w:firstLine="0" w:firstLineChars="0"/>
      <w:jc w:val="left"/>
      <w:outlineLvl w:val="1"/>
    </w:pPr>
    <w:rPr>
      <w:rFonts w:eastAsia="黑体"/>
      <w:b/>
      <w:kern w:val="0"/>
    </w:rPr>
  </w:style>
  <w:style w:type="paragraph" w:customStyle="1" w:styleId="37">
    <w:name w:val="标准3级标题"/>
    <w:basedOn w:val="1"/>
    <w:qFormat/>
    <w:uiPriority w:val="0"/>
    <w:pPr>
      <w:widowControl/>
      <w:spacing w:before="120" w:after="120"/>
      <w:jc w:val="left"/>
      <w:outlineLvl w:val="2"/>
    </w:pPr>
    <w:rPr>
      <w:rFonts w:hAnsi="Arial" w:eastAsia="黑体"/>
      <w:kern w:val="0"/>
    </w:rPr>
  </w:style>
  <w:style w:type="paragraph" w:customStyle="1" w:styleId="38">
    <w:name w:val="表格名称"/>
    <w:basedOn w:val="1"/>
    <w:link w:val="61"/>
    <w:qFormat/>
    <w:uiPriority w:val="0"/>
    <w:pPr>
      <w:widowControl/>
      <w:ind w:firstLine="0" w:firstLineChars="0"/>
      <w:jc w:val="center"/>
    </w:pPr>
    <w:rPr>
      <w:rFonts w:eastAsia="黑体"/>
      <w:b/>
      <w:kern w:val="0"/>
      <w:sz w:val="18"/>
    </w:rPr>
  </w:style>
  <w:style w:type="paragraph" w:customStyle="1" w:styleId="39">
    <w:name w:val="表格内容居中正常_制度头表格"/>
    <w:qFormat/>
    <w:uiPriority w:val="0"/>
    <w:pPr>
      <w:spacing w:line="360" w:lineRule="auto"/>
      <w:jc w:val="center"/>
    </w:pPr>
    <w:rPr>
      <w:rFonts w:ascii="Times New Roman" w:hAnsi="Times New Roman" w:eastAsia="宋体" w:cs="Times New Roman"/>
      <w:szCs w:val="21"/>
      <w:lang w:val="en-US" w:eastAsia="zh-CN" w:bidi="ar-SA"/>
    </w:rPr>
  </w:style>
  <w:style w:type="character" w:customStyle="1" w:styleId="40">
    <w:name w:val="批注框文本 字符"/>
    <w:basedOn w:val="29"/>
    <w:link w:val="16"/>
    <w:qFormat/>
    <w:uiPriority w:val="99"/>
    <w:rPr>
      <w:kern w:val="2"/>
      <w:sz w:val="18"/>
      <w:szCs w:val="18"/>
    </w:rPr>
  </w:style>
  <w:style w:type="character" w:customStyle="1" w:styleId="41">
    <w:name w:val="文档结构图 字符"/>
    <w:basedOn w:val="29"/>
    <w:link w:val="12"/>
    <w:semiHidden/>
    <w:qFormat/>
    <w:uiPriority w:val="99"/>
    <w:rPr>
      <w:rFonts w:ascii="宋体"/>
      <w:kern w:val="2"/>
      <w:sz w:val="18"/>
      <w:szCs w:val="18"/>
    </w:rPr>
  </w:style>
  <w:style w:type="character" w:customStyle="1" w:styleId="42">
    <w:name w:val="不明显参考1"/>
    <w:basedOn w:val="29"/>
    <w:qFormat/>
    <w:uiPriority w:val="31"/>
    <w:rPr>
      <w:smallCaps/>
      <w:color w:val="C0504D" w:themeColor="accent2"/>
      <w:u w:val="single"/>
      <w14:textFill>
        <w14:solidFill>
          <w14:schemeClr w14:val="accent2"/>
        </w14:solidFill>
      </w14:textFill>
    </w:rPr>
  </w:style>
  <w:style w:type="character" w:customStyle="1" w:styleId="43">
    <w:name w:val="明显参考1"/>
    <w:basedOn w:val="29"/>
    <w:qFormat/>
    <w:uiPriority w:val="32"/>
    <w:rPr>
      <w:b/>
      <w:bCs/>
      <w:smallCaps/>
      <w:color w:val="C0504D" w:themeColor="accent2"/>
      <w:spacing w:val="5"/>
      <w:u w:val="single"/>
      <w14:textFill>
        <w14:solidFill>
          <w14:schemeClr w14:val="accent2"/>
        </w14:solidFill>
      </w14:textFill>
    </w:rPr>
  </w:style>
  <w:style w:type="character" w:customStyle="1" w:styleId="44">
    <w:name w:val="书籍标题1"/>
    <w:basedOn w:val="29"/>
    <w:qFormat/>
    <w:uiPriority w:val="33"/>
    <w:rPr>
      <w:b/>
      <w:bCs/>
      <w:smallCaps/>
      <w:spacing w:val="5"/>
    </w:rPr>
  </w:style>
  <w:style w:type="character" w:customStyle="1" w:styleId="45">
    <w:name w:val="明显强调1"/>
    <w:basedOn w:val="29"/>
    <w:qFormat/>
    <w:uiPriority w:val="21"/>
    <w:rPr>
      <w:b/>
      <w:bCs/>
      <w:i/>
      <w:iCs/>
      <w:color w:val="4F81BD" w:themeColor="accent1"/>
      <w14:textFill>
        <w14:solidFill>
          <w14:schemeClr w14:val="accent1"/>
        </w14:solidFill>
      </w14:textFill>
    </w:rPr>
  </w:style>
  <w:style w:type="character" w:customStyle="1" w:styleId="46">
    <w:name w:val="副标题 字符"/>
    <w:basedOn w:val="29"/>
    <w:link w:val="21"/>
    <w:qFormat/>
    <w:uiPriority w:val="99"/>
    <w:rPr>
      <w:rFonts w:asciiTheme="majorHAnsi" w:hAnsiTheme="majorHAnsi" w:cstheme="majorBidi"/>
      <w:b/>
      <w:bCs/>
      <w:kern w:val="28"/>
      <w:sz w:val="32"/>
      <w:szCs w:val="32"/>
    </w:rPr>
  </w:style>
  <w:style w:type="paragraph" w:customStyle="1" w:styleId="47">
    <w:name w:val="表格内容"/>
    <w:basedOn w:val="1"/>
    <w:link w:val="49"/>
    <w:qFormat/>
    <w:uiPriority w:val="0"/>
    <w:pPr>
      <w:ind w:firstLine="0" w:firstLineChars="0"/>
      <w:jc w:val="left"/>
    </w:pPr>
    <w:rPr>
      <w:bCs/>
      <w:sz w:val="18"/>
    </w:rPr>
  </w:style>
  <w:style w:type="paragraph" w:customStyle="1" w:styleId="48">
    <w:name w:val="列出段落1"/>
    <w:basedOn w:val="1"/>
    <w:unhideWhenUsed/>
    <w:qFormat/>
    <w:uiPriority w:val="99"/>
    <w:pPr>
      <w:ind w:firstLine="420"/>
    </w:pPr>
  </w:style>
  <w:style w:type="character" w:customStyle="1" w:styleId="49">
    <w:name w:val="表格内容 Char"/>
    <w:basedOn w:val="29"/>
    <w:link w:val="47"/>
    <w:qFormat/>
    <w:uiPriority w:val="0"/>
    <w:rPr>
      <w:bCs/>
      <w:kern w:val="2"/>
      <w:sz w:val="18"/>
      <w:szCs w:val="24"/>
    </w:rPr>
  </w:style>
  <w:style w:type="character" w:customStyle="1" w:styleId="50">
    <w:name w:val="页眉 字符1"/>
    <w:basedOn w:val="29"/>
    <w:link w:val="18"/>
    <w:semiHidden/>
    <w:qFormat/>
    <w:uiPriority w:val="0"/>
    <w:rPr>
      <w:kern w:val="2"/>
      <w:sz w:val="18"/>
      <w:szCs w:val="18"/>
    </w:rPr>
  </w:style>
  <w:style w:type="character" w:customStyle="1" w:styleId="51">
    <w:name w:val="标题 3 字符"/>
    <w:link w:val="4"/>
    <w:qFormat/>
    <w:uiPriority w:val="99"/>
    <w:rPr>
      <w:rFonts w:eastAsia="黑体"/>
      <w:kern w:val="2"/>
      <w:sz w:val="28"/>
    </w:rPr>
  </w:style>
  <w:style w:type="character" w:customStyle="1" w:styleId="52">
    <w:name w:val="标题 2 字符"/>
    <w:link w:val="3"/>
    <w:qFormat/>
    <w:uiPriority w:val="99"/>
    <w:rPr>
      <w:rFonts w:eastAsia="黑体"/>
      <w:kern w:val="2"/>
      <w:sz w:val="21"/>
    </w:rPr>
  </w:style>
  <w:style w:type="character" w:customStyle="1" w:styleId="53">
    <w:name w:val="标题 5 字符"/>
    <w:link w:val="6"/>
    <w:qFormat/>
    <w:uiPriority w:val="99"/>
    <w:rPr>
      <w:rFonts w:eastAsia="黑体"/>
      <w:kern w:val="2"/>
      <w:sz w:val="21"/>
    </w:rPr>
  </w:style>
  <w:style w:type="character" w:customStyle="1" w:styleId="54">
    <w:name w:val="标题 4 字符"/>
    <w:link w:val="5"/>
    <w:qFormat/>
    <w:uiPriority w:val="99"/>
    <w:rPr>
      <w:rFonts w:ascii="Arial" w:hAnsi="Arial" w:eastAsia="黑体"/>
      <w:b/>
      <w:kern w:val="2"/>
      <w:sz w:val="28"/>
    </w:rPr>
  </w:style>
  <w:style w:type="character" w:customStyle="1" w:styleId="55">
    <w:name w:val="标题 1 字符"/>
    <w:link w:val="2"/>
    <w:qFormat/>
    <w:uiPriority w:val="99"/>
    <w:rPr>
      <w:rFonts w:ascii="黑体" w:hAnsi="黑体" w:eastAsia="黑体"/>
      <w:b/>
      <w:kern w:val="44"/>
      <w:sz w:val="21"/>
      <w:szCs w:val="21"/>
    </w:rPr>
  </w:style>
  <w:style w:type="character" w:customStyle="1" w:styleId="56">
    <w:name w:val="标题 6 字符"/>
    <w:basedOn w:val="29"/>
    <w:link w:val="7"/>
    <w:qFormat/>
    <w:uiPriority w:val="99"/>
    <w:rPr>
      <w:rFonts w:ascii="Arial" w:hAnsi="Arial" w:eastAsia="黑体"/>
      <w:b/>
      <w:kern w:val="2"/>
      <w:sz w:val="24"/>
    </w:rPr>
  </w:style>
  <w:style w:type="character" w:customStyle="1" w:styleId="57">
    <w:name w:val="标题 7 字符"/>
    <w:basedOn w:val="29"/>
    <w:link w:val="8"/>
    <w:qFormat/>
    <w:uiPriority w:val="99"/>
    <w:rPr>
      <w:b/>
      <w:kern w:val="2"/>
      <w:sz w:val="24"/>
    </w:rPr>
  </w:style>
  <w:style w:type="character" w:customStyle="1" w:styleId="58">
    <w:name w:val="标题 8 字符"/>
    <w:basedOn w:val="29"/>
    <w:link w:val="9"/>
    <w:qFormat/>
    <w:uiPriority w:val="99"/>
    <w:rPr>
      <w:rFonts w:ascii="Arial" w:hAnsi="Arial" w:eastAsia="黑体"/>
      <w:kern w:val="2"/>
      <w:sz w:val="24"/>
    </w:rPr>
  </w:style>
  <w:style w:type="character" w:customStyle="1" w:styleId="59">
    <w:name w:val="标题 9 字符"/>
    <w:basedOn w:val="29"/>
    <w:link w:val="10"/>
    <w:qFormat/>
    <w:uiPriority w:val="99"/>
    <w:rPr>
      <w:rFonts w:ascii="Arial" w:hAnsi="Arial" w:eastAsia="黑体"/>
      <w:kern w:val="2"/>
      <w:sz w:val="21"/>
    </w:rPr>
  </w:style>
  <w:style w:type="character" w:customStyle="1" w:styleId="60">
    <w:name w:val="页眉 字符"/>
    <w:qFormat/>
    <w:uiPriority w:val="99"/>
    <w:rPr>
      <w:rFonts w:eastAsia="宋体"/>
      <w:kern w:val="2"/>
      <w:sz w:val="18"/>
      <w:lang w:val="en-US" w:eastAsia="zh-CN"/>
    </w:rPr>
  </w:style>
  <w:style w:type="character" w:customStyle="1" w:styleId="61">
    <w:name w:val="表格名称 Char"/>
    <w:link w:val="38"/>
    <w:qFormat/>
    <w:uiPriority w:val="0"/>
    <w:rPr>
      <w:rFonts w:eastAsia="黑体"/>
      <w:b/>
      <w:sz w:val="18"/>
      <w:szCs w:val="24"/>
    </w:rPr>
  </w:style>
  <w:style w:type="character" w:customStyle="1" w:styleId="62">
    <w:name w:val="首行缩进 Char"/>
    <w:link w:val="63"/>
    <w:qFormat/>
    <w:uiPriority w:val="0"/>
    <w:rPr>
      <w:rFonts w:eastAsia="方正书宋简体"/>
      <w:kern w:val="2"/>
      <w:sz w:val="21"/>
    </w:rPr>
  </w:style>
  <w:style w:type="paragraph" w:customStyle="1" w:styleId="63">
    <w:name w:val="首行缩进"/>
    <w:basedOn w:val="1"/>
    <w:link w:val="62"/>
    <w:qFormat/>
    <w:uiPriority w:val="0"/>
    <w:pPr>
      <w:spacing w:line="300" w:lineRule="auto"/>
      <w:ind w:firstLine="420"/>
    </w:pPr>
    <w:rPr>
      <w:rFonts w:eastAsia="方正书宋简体"/>
      <w:sz w:val="21"/>
      <w:szCs w:val="20"/>
    </w:rPr>
  </w:style>
  <w:style w:type="character" w:customStyle="1" w:styleId="64">
    <w:name w:val="纯文本 字符"/>
    <w:link w:val="14"/>
    <w:qFormat/>
    <w:uiPriority w:val="0"/>
    <w:rPr>
      <w:rFonts w:ascii="宋体" w:hAnsi="Courier New"/>
      <w:kern w:val="2"/>
      <w:sz w:val="21"/>
    </w:rPr>
  </w:style>
  <w:style w:type="character" w:customStyle="1" w:styleId="65">
    <w:name w:val="纯文本 Char"/>
    <w:basedOn w:val="29"/>
    <w:semiHidden/>
    <w:qFormat/>
    <w:uiPriority w:val="99"/>
    <w:rPr>
      <w:rFonts w:ascii="宋体" w:hAnsi="Courier New" w:cs="Courier New"/>
      <w:kern w:val="2"/>
      <w:sz w:val="21"/>
      <w:szCs w:val="21"/>
    </w:rPr>
  </w:style>
  <w:style w:type="character" w:customStyle="1" w:styleId="66">
    <w:name w:val="样式6 Char"/>
    <w:link w:val="67"/>
    <w:qFormat/>
    <w:uiPriority w:val="0"/>
    <w:rPr>
      <w:kern w:val="2"/>
      <w:sz w:val="21"/>
    </w:rPr>
  </w:style>
  <w:style w:type="paragraph" w:customStyle="1" w:styleId="67">
    <w:name w:val="样式6"/>
    <w:basedOn w:val="1"/>
    <w:link w:val="66"/>
    <w:qFormat/>
    <w:uiPriority w:val="0"/>
    <w:pPr>
      <w:tabs>
        <w:tab w:val="left" w:pos="1571"/>
      </w:tabs>
      <w:spacing w:line="240" w:lineRule="auto"/>
      <w:ind w:firstLine="0" w:firstLineChars="0"/>
    </w:pPr>
    <w:rPr>
      <w:sz w:val="21"/>
      <w:szCs w:val="20"/>
    </w:rPr>
  </w:style>
  <w:style w:type="character" w:customStyle="1" w:styleId="68">
    <w:name w:val="发布"/>
    <w:qFormat/>
    <w:uiPriority w:val="0"/>
    <w:rPr>
      <w:rFonts w:ascii="黑体" w:eastAsia="黑体"/>
      <w:spacing w:val="22"/>
      <w:w w:val="100"/>
      <w:position w:val="3"/>
      <w:sz w:val="28"/>
    </w:rPr>
  </w:style>
  <w:style w:type="character" w:customStyle="1" w:styleId="69">
    <w:name w:val="font51"/>
    <w:qFormat/>
    <w:uiPriority w:val="0"/>
    <w:rPr>
      <w:rFonts w:hint="eastAsia" w:ascii="宋体" w:hAnsi="宋体" w:eastAsia="宋体" w:cs="宋体"/>
      <w:color w:val="000000"/>
      <w:sz w:val="18"/>
      <w:szCs w:val="18"/>
      <w:u w:val="none"/>
    </w:rPr>
  </w:style>
  <w:style w:type="paragraph" w:customStyle="1" w:styleId="70">
    <w:name w:val="表格正文"/>
    <w:basedOn w:val="21"/>
    <w:qFormat/>
    <w:uiPriority w:val="0"/>
    <w:pPr>
      <w:spacing w:before="0" w:after="0" w:line="360" w:lineRule="auto"/>
      <w:ind w:firstLine="0" w:firstLineChars="0"/>
      <w:jc w:val="left"/>
      <w:outlineLvl w:val="9"/>
    </w:pPr>
    <w:rPr>
      <w:rFonts w:asciiTheme="minorEastAsia" w:hAnsiTheme="minorEastAsia" w:eastAsiaTheme="minorEastAsia"/>
      <w:b w:val="0"/>
      <w:sz w:val="18"/>
    </w:rPr>
  </w:style>
  <w:style w:type="paragraph" w:customStyle="1" w:styleId="71">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2">
    <w:name w:val="一级条标题"/>
    <w:basedOn w:val="73"/>
    <w:next w:val="71"/>
    <w:qFormat/>
    <w:uiPriority w:val="0"/>
    <w:pPr>
      <w:outlineLvl w:val="2"/>
    </w:pPr>
    <w:rPr>
      <w:sz w:val="20"/>
    </w:rPr>
  </w:style>
  <w:style w:type="paragraph" w:customStyle="1" w:styleId="73">
    <w:name w:val="章标题"/>
    <w:next w:val="71"/>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74">
    <w:name w:val="批注文字 字符"/>
    <w:basedOn w:val="29"/>
    <w:link w:val="13"/>
    <w:semiHidden/>
    <w:qFormat/>
    <w:uiPriority w:val="99"/>
    <w:rPr>
      <w:kern w:val="2"/>
      <w:szCs w:val="24"/>
    </w:rPr>
  </w:style>
  <w:style w:type="character" w:customStyle="1" w:styleId="75">
    <w:name w:val="批注主题 字符"/>
    <w:basedOn w:val="74"/>
    <w:link w:val="26"/>
    <w:semiHidden/>
    <w:qFormat/>
    <w:uiPriority w:val="99"/>
    <w:rPr>
      <w:b/>
      <w:bCs/>
      <w:kern w:val="2"/>
      <w:szCs w:val="24"/>
    </w:rPr>
  </w:style>
  <w:style w:type="paragraph" w:customStyle="1" w:styleId="76">
    <w:name w:val="Revision"/>
    <w:hidden/>
    <w:semiHidden/>
    <w:qFormat/>
    <w:uiPriority w:val="99"/>
    <w:rPr>
      <w:rFonts w:ascii="Times New Roman" w:hAnsi="Times New Roman" w:eastAsia="宋体" w:cs="Times New Roman"/>
      <w:kern w:val="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6609-0C48-46B7-A0FD-30CB7857E105}">
  <ds:schemaRefs/>
</ds:datastoreItem>
</file>

<file path=docProps/app.xml><?xml version="1.0" encoding="utf-8"?>
<Properties xmlns="http://schemas.openxmlformats.org/officeDocument/2006/extended-properties" xmlns:vt="http://schemas.openxmlformats.org/officeDocument/2006/docPropsVTypes">
  <Template>Normal.dotm</Template>
  <Company>CETIC</Company>
  <Pages>29</Pages>
  <Words>8267</Words>
  <Characters>10171</Characters>
  <Lines>125</Lines>
  <Paragraphs>35</Paragraphs>
  <TotalTime>41</TotalTime>
  <ScaleCrop>false</ScaleCrop>
  <LinksUpToDate>false</LinksUpToDate>
  <CharactersWithSpaces>10283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2020-11-02T22:06:00Z</dcterms:created>
  <dc:creator>设备部</dc:creator>
  <cp:lastModifiedBy>chenyun2</cp:lastModifiedBy>
  <cp:lastPrinted>2017-09-30T02:49:00Z</cp:lastPrinted>
  <dcterms:modified xsi:type="dcterms:W3CDTF">2025-09-04T05:40:47Z</dcterms:modified>
  <dc:title>（2009年版）</dc:title>
  <cp:revision>483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状态">
    <vt:lpwstr>xxx</vt:lpwstr>
  </property>
  <property fmtid="{D5CDD505-2E9C-101B-9397-08002B2CF9AE}" pid="4" name="KSOTemplateDocerSaveRecord">
    <vt:lpwstr>eyJoZGlkIjoiY2M1YWM2MDdmOTU5OWRhMGY2NmY1NDQ5Mzk0MDNiMDMiLCJ1c2VySWQiOiIxNDM1Nzk4MyJ9</vt:lpwstr>
  </property>
  <property fmtid="{D5CDD505-2E9C-101B-9397-08002B2CF9AE}" pid="5" name="ICV">
    <vt:lpwstr>698DAF98B2494D59805F22E3FB8CFFE8_12</vt:lpwstr>
  </property>
</Properties>
</file>