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rPr>
          <w:rFonts w:eastAsia="黑体"/>
          <w:sz w:val="52"/>
        </w:rPr>
      </w:pPr>
      <w:r>
        <w:rPr>
          <w:rFonts w:eastAsia="黑体"/>
          <w:b/>
          <w:sz w:val="52"/>
          <w:szCs w:val="22"/>
        </w:rPr>
        <w:drawing>
          <wp:anchor distT="0" distB="0" distL="114300" distR="114300" simplePos="0" relativeHeight="251659264" behindDoc="1" locked="0" layoutInCell="1" allowOverlap="1">
            <wp:simplePos x="0" y="0"/>
            <wp:positionH relativeFrom="page">
              <wp:posOffset>-19050</wp:posOffset>
            </wp:positionH>
            <wp:positionV relativeFrom="paragraph">
              <wp:posOffset>-914400</wp:posOffset>
            </wp:positionV>
            <wp:extent cx="7560310" cy="3220085"/>
            <wp:effectExtent l="0" t="0" r="13970" b="10795"/>
            <wp:wrapTight wrapText="bothSides">
              <wp:wrapPolygon>
                <wp:start x="0" y="0"/>
                <wp:lineTo x="0" y="21468"/>
                <wp:lineTo x="21553" y="21468"/>
                <wp:lineTo x="21553" y="0"/>
                <wp:lineTo x="0" y="0"/>
              </wp:wrapPolygon>
            </wp:wrapTight>
            <wp:docPr id="48" name="Picture 78"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78" descr="模板-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7560310" cy="3220085"/>
                    </a:xfrm>
                    <a:prstGeom prst="rect">
                      <a:avLst/>
                    </a:prstGeom>
                    <a:noFill/>
                    <a:ln>
                      <a:noFill/>
                    </a:ln>
                  </pic:spPr>
                </pic:pic>
              </a:graphicData>
            </a:graphic>
          </wp:anchor>
        </w:drawing>
      </w:r>
      <w:bookmarkStart w:id="0" w:name="FLDZDTM"/>
      <w:bookmarkEnd w:id="0"/>
    </w:p>
    <w:p>
      <w:pPr>
        <w:spacing w:before="480" w:beforeLines="200"/>
        <w:jc w:val="center"/>
        <w:rPr>
          <w:rFonts w:eastAsia="黑体"/>
          <w:b/>
          <w:sz w:val="52"/>
        </w:rPr>
      </w:pPr>
    </w:p>
    <w:p>
      <w:pPr>
        <w:spacing w:before="480" w:beforeLines="200"/>
        <w:jc w:val="center"/>
        <w:rPr>
          <w:rFonts w:eastAsia="黑体"/>
          <w:b/>
          <w:sz w:val="52"/>
        </w:rPr>
      </w:pPr>
      <w:r>
        <w:rPr>
          <w:rFonts w:eastAsia="黑体"/>
          <w:b/>
          <w:sz w:val="52"/>
        </w:rPr>
        <w:t>10kV</w:t>
      </w:r>
      <w:r>
        <w:rPr>
          <w:rFonts w:hint="eastAsia" w:eastAsia="黑体"/>
          <w:b/>
          <w:sz w:val="52"/>
        </w:rPr>
        <w:t>预装式变电站（紧凑式）</w:t>
      </w:r>
    </w:p>
    <w:p>
      <w:pPr>
        <w:spacing w:before="480" w:beforeLines="200" w:line="360" w:lineRule="auto"/>
        <w:ind w:left="420" w:hanging="420"/>
        <w:jc w:val="center"/>
        <w:rPr>
          <w:rFonts w:eastAsia="黑体"/>
          <w:b/>
          <w:sz w:val="52"/>
        </w:rPr>
      </w:pPr>
      <w:r>
        <w:rPr>
          <w:rFonts w:hint="eastAsia" w:eastAsia="黑体"/>
          <w:b/>
          <w:sz w:val="52"/>
        </w:rPr>
        <w:t>技术规范书</w:t>
      </w:r>
    </w:p>
    <w:p>
      <w:pPr>
        <w:spacing w:before="480" w:beforeLines="200"/>
        <w:jc w:val="center"/>
        <w:rPr>
          <w:rFonts w:eastAsia="黑体"/>
          <w:b/>
          <w:sz w:val="52"/>
        </w:rPr>
      </w:pPr>
      <w:r>
        <w:rPr>
          <w:rFonts w:hint="eastAsia" w:eastAsia="黑体"/>
          <w:b/>
          <w:sz w:val="52"/>
        </w:rPr>
        <w:t>（通用部分）</w:t>
      </w:r>
    </w:p>
    <w:p>
      <w:pPr>
        <w:spacing w:before="480" w:beforeLines="200" w:line="360" w:lineRule="auto"/>
        <w:ind w:left="420" w:hanging="420"/>
        <w:jc w:val="center"/>
        <w:rPr>
          <w:rFonts w:eastAsia="黑体"/>
          <w:b/>
          <w:sz w:val="36"/>
        </w:rPr>
      </w:pPr>
      <w:r>
        <w:rPr>
          <w:rFonts w:hint="eastAsia" w:eastAsia="黑体"/>
          <w:b/>
          <w:sz w:val="36"/>
        </w:rPr>
        <w:t>版本号：</w:t>
      </w:r>
      <w:r>
        <w:rPr>
          <w:rFonts w:eastAsia="黑体"/>
          <w:b/>
          <w:sz w:val="36"/>
        </w:rPr>
        <w:t>20</w:t>
      </w:r>
      <w:r>
        <w:rPr>
          <w:rFonts w:hint="eastAsia" w:eastAsia="黑体"/>
          <w:b/>
          <w:sz w:val="36"/>
        </w:rPr>
        <w:t>25版</w:t>
      </w:r>
      <w:r>
        <w:rPr>
          <w:rFonts w:eastAsia="黑体"/>
          <w:b/>
          <w:sz w:val="36"/>
        </w:rPr>
        <w:t>V1.0</w:t>
      </w:r>
    </w:p>
    <w:p>
      <w:pPr>
        <w:spacing w:before="480" w:beforeLines="200" w:line="360" w:lineRule="auto"/>
        <w:ind w:left="420" w:hanging="420"/>
        <w:jc w:val="center"/>
        <w:rPr>
          <w:rFonts w:eastAsia="黑体"/>
          <w:b/>
          <w:sz w:val="36"/>
        </w:rPr>
      </w:pPr>
    </w:p>
    <w:p>
      <w:pPr>
        <w:spacing w:before="480" w:beforeLines="200" w:line="360" w:lineRule="auto"/>
        <w:ind w:left="420" w:hanging="420"/>
        <w:jc w:val="center"/>
        <w:rPr>
          <w:rFonts w:eastAsia="黑体"/>
          <w:b/>
          <w:sz w:val="36"/>
        </w:rPr>
      </w:pPr>
    </w:p>
    <w:p>
      <w:pPr>
        <w:spacing w:before="480" w:beforeLines="200"/>
        <w:ind w:left="418" w:hanging="415" w:hangingChars="93"/>
        <w:jc w:val="center"/>
        <w:rPr>
          <w:rFonts w:ascii="黑体" w:eastAsia="黑体"/>
          <w:b/>
          <w:spacing w:val="20"/>
          <w:w w:val="135"/>
          <w:sz w:val="30"/>
        </w:rPr>
      </w:pPr>
      <w:r>
        <w:rPr>
          <w:rFonts w:hint="eastAsia" w:ascii="黑体" w:eastAsia="黑体"/>
          <w:b/>
          <w:spacing w:val="20"/>
          <w:w w:val="135"/>
          <w:sz w:val="30"/>
        </w:rPr>
        <w:t>中国南方电网有限责任公司</w:t>
      </w:r>
    </w:p>
    <w:p>
      <w:pPr>
        <w:jc w:val="center"/>
        <w:rPr>
          <w:rFonts w:eastAsia="黑体"/>
          <w:b/>
          <w:szCs w:val="28"/>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spacing w:val="20"/>
          <w:w w:val="135"/>
          <w:sz w:val="30"/>
        </w:rPr>
        <w:t>2025年8月</w:t>
      </w:r>
    </w:p>
    <w:p>
      <w:pPr>
        <w:spacing w:before="317" w:beforeLines="100" w:line="560" w:lineRule="exact"/>
        <w:ind w:left="850"/>
        <w:jc w:val="center"/>
        <w:rPr>
          <w:rFonts w:ascii="Arial" w:hAnsi="Arial"/>
          <w:bCs/>
          <w:sz w:val="44"/>
          <w:szCs w:val="44"/>
        </w:rPr>
      </w:pPr>
      <w:r>
        <w:rPr>
          <w:rFonts w:hint="eastAsia" w:ascii="方正小标宋_GBK" w:hAnsi="方正小标宋_GBK" w:eastAsia="方正小标宋_GBK" w:cs="方正小标宋_GBK"/>
          <w:bCs/>
          <w:sz w:val="44"/>
          <w:szCs w:val="44"/>
        </w:rPr>
        <w:t>知识产权声明</w:t>
      </w:r>
    </w:p>
    <w:p>
      <w:pPr>
        <w:spacing w:line="560" w:lineRule="exact"/>
        <w:ind w:left="851"/>
        <w:jc w:val="center"/>
        <w:rPr>
          <w:rFonts w:ascii="Arial" w:hAnsi="Arial"/>
          <w:b/>
          <w:sz w:val="32"/>
          <w:szCs w:val="32"/>
        </w:rPr>
      </w:pPr>
    </w:p>
    <w:p>
      <w:pPr>
        <w:spacing w:line="560" w:lineRule="exact"/>
        <w:ind w:left="85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南方电网公司拥有本作品的知识产权，未经南方电网公司书面许可，任何单位和个人不得擅自使用（包括但不限于复制、发行、转载、通过信息网络传播等），否则，南方电网公司将依法追究法律责任。</w:t>
      </w:r>
    </w:p>
    <w:p>
      <w:pPr>
        <w:spacing w:line="560" w:lineRule="exact"/>
        <w:ind w:left="850"/>
        <w:rPr>
          <w:rFonts w:ascii="Arial" w:hAnsi="Arial"/>
          <w:sz w:val="28"/>
          <w:szCs w:val="28"/>
        </w:rPr>
      </w:pPr>
    </w:p>
    <w:p>
      <w:pPr>
        <w:spacing w:line="560" w:lineRule="exact"/>
        <w:ind w:left="851" w:firstLine="560"/>
        <w:rPr>
          <w:rFonts w:ascii="Arial" w:hAnsi="Arial"/>
          <w:sz w:val="28"/>
          <w:szCs w:val="28"/>
        </w:rPr>
      </w:pPr>
    </w:p>
    <w:p>
      <w:pPr>
        <w:spacing w:line="560" w:lineRule="exact"/>
        <w:ind w:left="851"/>
        <w:jc w:val="center"/>
        <w:rPr>
          <w:rFonts w:ascii="Trebuchet MS" w:hAnsi="Trebuchet MS" w:cs="Trebuchet MS"/>
          <w:sz w:val="44"/>
          <w:szCs w:val="44"/>
        </w:rPr>
      </w:pPr>
      <w:r>
        <w:rPr>
          <w:rFonts w:ascii="Trebuchet MS" w:hAnsi="Trebuchet MS" w:cs="Trebuchet MS"/>
          <w:sz w:val="44"/>
          <w:szCs w:val="44"/>
        </w:rPr>
        <w:t>Intellectual Property Rights Statement</w:t>
      </w:r>
    </w:p>
    <w:p>
      <w:pPr>
        <w:spacing w:line="560" w:lineRule="exact"/>
        <w:ind w:left="851" w:firstLine="640"/>
        <w:rPr>
          <w:rFonts w:ascii="Arial" w:hAnsi="Arial"/>
          <w:sz w:val="32"/>
          <w:szCs w:val="32"/>
        </w:rPr>
      </w:pPr>
    </w:p>
    <w:p>
      <w:pPr>
        <w:spacing w:line="560" w:lineRule="exact"/>
        <w:ind w:left="851" w:firstLine="640"/>
        <w:rPr>
          <w:sz w:val="32"/>
          <w:szCs w:val="32"/>
        </w:rPr>
      </w:pPr>
      <w:r>
        <w:rPr>
          <w:sz w:val="32"/>
          <w:szCs w:val="32"/>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pPr>
        <w:widowControl/>
        <w:jc w:val="left"/>
        <w:rPr>
          <w:rFonts w:eastAsia="黑体"/>
          <w:sz w:val="32"/>
          <w:szCs w:val="28"/>
        </w:rPr>
      </w:pPr>
      <w:r>
        <w:rPr>
          <w:rFonts w:eastAsia="黑体"/>
          <w:sz w:val="32"/>
          <w:szCs w:val="28"/>
        </w:rPr>
        <w:br w:type="page"/>
      </w:r>
    </w:p>
    <w:p>
      <w:pPr>
        <w:spacing w:line="360" w:lineRule="auto"/>
        <w:jc w:val="center"/>
        <w:rPr>
          <w:rFonts w:eastAsia="黑体"/>
          <w:sz w:val="32"/>
          <w:szCs w:val="28"/>
        </w:rPr>
      </w:pPr>
      <w:r>
        <w:rPr>
          <w:rFonts w:eastAsia="黑体"/>
          <w:sz w:val="32"/>
          <w:szCs w:val="28"/>
        </w:rPr>
        <w:t>本技术规范书对应的专用部分目录</w:t>
      </w:r>
    </w:p>
    <w:tbl>
      <w:tblPr>
        <w:tblStyle w:val="9"/>
        <w:tblW w:w="856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22"/>
        <w:gridCol w:w="2430"/>
        <w:gridCol w:w="491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22" w:type="dxa"/>
            <w:vAlign w:val="center"/>
          </w:tcPr>
          <w:p>
            <w:pPr>
              <w:jc w:val="center"/>
              <w:rPr>
                <w:b/>
                <w:bCs/>
                <w:sz w:val="24"/>
              </w:rPr>
            </w:pPr>
            <w:r>
              <w:rPr>
                <w:rFonts w:hAnsi="宋体"/>
                <w:b/>
                <w:bCs/>
                <w:sz w:val="24"/>
              </w:rPr>
              <w:t>序号</w:t>
            </w:r>
          </w:p>
        </w:tc>
        <w:tc>
          <w:tcPr>
            <w:tcW w:w="2430" w:type="dxa"/>
            <w:vAlign w:val="center"/>
          </w:tcPr>
          <w:p>
            <w:pPr>
              <w:jc w:val="center"/>
              <w:rPr>
                <w:b/>
                <w:bCs/>
                <w:sz w:val="24"/>
              </w:rPr>
            </w:pPr>
            <w:r>
              <w:rPr>
                <w:rFonts w:hAnsi="宋体"/>
                <w:b/>
                <w:bCs/>
                <w:sz w:val="24"/>
              </w:rPr>
              <w:t>名称</w:t>
            </w:r>
          </w:p>
        </w:tc>
        <w:tc>
          <w:tcPr>
            <w:tcW w:w="4910" w:type="dxa"/>
            <w:vAlign w:val="center"/>
          </w:tcPr>
          <w:p>
            <w:pPr>
              <w:jc w:val="center"/>
              <w:rPr>
                <w:b/>
                <w:bCs/>
                <w:sz w:val="24"/>
              </w:rPr>
            </w:pPr>
            <w:r>
              <w:rPr>
                <w:rFonts w:hint="eastAsia" w:hAnsi="宋体"/>
                <w:b/>
                <w:bCs/>
                <w:sz w:val="24"/>
              </w:rPr>
              <w:t>品类优化</w:t>
            </w:r>
            <w:r>
              <w:rPr>
                <w:rFonts w:hAnsi="宋体"/>
                <w:b/>
                <w:bCs/>
                <w:sz w:val="24"/>
              </w:rPr>
              <w:t>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9" w:hRule="atLeast"/>
        </w:trPr>
        <w:tc>
          <w:tcPr>
            <w:tcW w:w="1222" w:type="dxa"/>
            <w:vAlign w:val="center"/>
          </w:tcPr>
          <w:p>
            <w:pPr>
              <w:jc w:val="center"/>
              <w:rPr>
                <w:sz w:val="24"/>
              </w:rPr>
            </w:pPr>
            <w:r>
              <w:rPr>
                <w:rFonts w:hint="eastAsia"/>
                <w:sz w:val="24"/>
              </w:rPr>
              <w:t>1</w:t>
            </w:r>
          </w:p>
        </w:tc>
        <w:tc>
          <w:tcPr>
            <w:tcW w:w="2430" w:type="dxa"/>
            <w:vAlign w:val="center"/>
          </w:tcPr>
          <w:p>
            <w:pPr>
              <w:rPr>
                <w:sz w:val="24"/>
              </w:rPr>
            </w:pPr>
            <w:r>
              <w:rPr>
                <w:rFonts w:hint="eastAsia"/>
                <w:sz w:val="24"/>
              </w:rPr>
              <w:t>10kV预装式变电站（紧凑式）技术规范书（专用部分）</w:t>
            </w:r>
          </w:p>
        </w:tc>
        <w:tc>
          <w:tcPr>
            <w:tcW w:w="4910" w:type="dxa"/>
            <w:vAlign w:val="center"/>
          </w:tcPr>
          <w:p>
            <w:pPr>
              <w:widowControl/>
              <w:snapToGrid w:val="0"/>
              <w:spacing w:before="158" w:beforeLines="50" w:after="158" w:afterLines="50"/>
              <w:jc w:val="left"/>
              <w:rPr>
                <w:rFonts w:ascii="宋体" w:hAnsi="宋体"/>
                <w:kern w:val="0"/>
                <w:sz w:val="24"/>
              </w:rPr>
            </w:pPr>
            <w:r>
              <w:rPr>
                <w:rFonts w:hint="eastAsia"/>
                <w:sz w:val="24"/>
              </w:rPr>
              <w:t>10kV预装式变电站（紧凑式）</w:t>
            </w:r>
            <w:r>
              <w:rPr>
                <w:rFonts w:hint="eastAsia" w:ascii="宋体" w:hAnsi="宋体"/>
                <w:kern w:val="0"/>
                <w:sz w:val="24"/>
              </w:rPr>
              <w:t>，环网型/终端型，配SF6气体绝缘单元式环网柜，配SB20-M-</w:t>
            </w:r>
            <w:r>
              <w:rPr>
                <w:rFonts w:ascii="宋体" w:hAnsi="宋体"/>
                <w:kern w:val="0"/>
                <w:sz w:val="24"/>
              </w:rPr>
              <w:t>400</w:t>
            </w:r>
            <w:r>
              <w:rPr>
                <w:rFonts w:hint="eastAsia" w:ascii="宋体" w:hAnsi="宋体"/>
                <w:kern w:val="0"/>
                <w:sz w:val="24"/>
              </w:rPr>
              <w:t>kVA变压器</w:t>
            </w:r>
          </w:p>
          <w:p>
            <w:pPr>
              <w:widowControl/>
              <w:snapToGrid w:val="0"/>
              <w:spacing w:before="158" w:beforeLines="50" w:after="158" w:afterLines="50"/>
              <w:jc w:val="left"/>
              <w:rPr>
                <w:sz w:val="24"/>
              </w:rPr>
            </w:pPr>
            <w:r>
              <w:rPr>
                <w:rFonts w:hint="eastAsia"/>
                <w:sz w:val="24"/>
              </w:rPr>
              <w:t>10kV预装式变电站（紧凑式）</w:t>
            </w:r>
            <w:r>
              <w:rPr>
                <w:rFonts w:hint="eastAsia" w:ascii="宋体" w:hAnsi="宋体"/>
                <w:kern w:val="0"/>
                <w:sz w:val="24"/>
              </w:rPr>
              <w:t>，环网型/终端型，配SF6气体绝缘单元式环网柜，配SB20-M-630kVA变压器</w:t>
            </w:r>
          </w:p>
        </w:tc>
      </w:tr>
    </w:tbl>
    <w:p>
      <w:pPr>
        <w:pStyle w:val="8"/>
        <w:adjustRightInd w:val="0"/>
        <w:spacing w:before="640" w:after="560" w:line="480" w:lineRule="exact"/>
        <w:textAlignment w:val="baseline"/>
        <w:rPr>
          <w:rFonts w:eastAsia="黑体"/>
          <w:kern w:val="0"/>
          <w:szCs w:val="20"/>
        </w:rPr>
      </w:pPr>
      <w:r>
        <w:rPr>
          <w:rFonts w:eastAsia="黑体"/>
          <w:szCs w:val="20"/>
        </w:rPr>
        <w:br w:type="page"/>
      </w:r>
      <w:bookmarkStart w:id="1" w:name="_Toc424549739"/>
      <w:bookmarkStart w:id="2" w:name="_Toc494039885"/>
      <w:bookmarkStart w:id="3" w:name="_Toc419746465"/>
    </w:p>
    <w:p>
      <w:pPr>
        <w:pStyle w:val="12"/>
        <w:spacing w:line="240" w:lineRule="auto"/>
        <w:jc w:val="center"/>
        <w:rPr>
          <w:rFonts w:ascii="Times New Roman" w:eastAsia="黑体"/>
          <w:sz w:val="32"/>
        </w:rPr>
      </w:pPr>
      <w:r>
        <w:rPr>
          <w:rFonts w:ascii="Times New Roman" w:eastAsia="黑体"/>
          <w:sz w:val="32"/>
        </w:rPr>
        <w:t>目    录</w:t>
      </w:r>
      <w:bookmarkEnd w:id="1"/>
      <w:bookmarkEnd w:id="2"/>
      <w:bookmarkEnd w:id="3"/>
    </w:p>
    <w:p>
      <w:pPr>
        <w:pStyle w:val="6"/>
        <w:tabs>
          <w:tab w:val="left" w:pos="840"/>
          <w:tab w:val="right" w:leader="dot" w:pos="8336"/>
        </w:tabs>
        <w:adjustRightInd w:val="0"/>
        <w:snapToGrid w:val="0"/>
        <w:spacing w:line="360" w:lineRule="auto"/>
        <w:rPr>
          <w:rFonts w:eastAsiaTheme="minorEastAsia"/>
          <w:szCs w:val="22"/>
        </w:rPr>
      </w:pPr>
      <w:r>
        <w:rPr>
          <w:rStyle w:val="11"/>
          <w:rFonts w:eastAsia="黑体"/>
          <w:kern w:val="0"/>
          <w:szCs w:val="20"/>
        </w:rPr>
        <w:fldChar w:fldCharType="begin"/>
      </w:r>
      <w:r>
        <w:rPr>
          <w:rStyle w:val="11"/>
          <w:rFonts w:eastAsia="黑体"/>
        </w:rPr>
        <w:instrText xml:space="preserve"> TOC \o "1-3" \h \z \u </w:instrText>
      </w:r>
      <w:r>
        <w:rPr>
          <w:rStyle w:val="11"/>
          <w:rFonts w:eastAsia="黑体"/>
          <w:kern w:val="0"/>
          <w:szCs w:val="20"/>
        </w:rPr>
        <w:fldChar w:fldCharType="separate"/>
      </w:r>
      <w:r>
        <w:fldChar w:fldCharType="begin"/>
      </w:r>
      <w:r>
        <w:instrText xml:space="preserve"> HYPERLINK \l "_Toc78912247" </w:instrText>
      </w:r>
      <w:r>
        <w:fldChar w:fldCharType="separate"/>
      </w:r>
      <w:r>
        <w:rPr>
          <w:rStyle w:val="11"/>
        </w:rPr>
        <w:t>1</w:t>
      </w:r>
      <w:r>
        <w:rPr>
          <w:rStyle w:val="11"/>
          <w:rFonts w:eastAsia="黑体"/>
        </w:rPr>
        <w:t>总则</w:t>
      </w:r>
      <w:r>
        <w:tab/>
      </w:r>
      <w:r>
        <w:tab/>
      </w:r>
      <w:r>
        <w:fldChar w:fldCharType="begin"/>
      </w:r>
      <w:r>
        <w:instrText xml:space="preserve"> PAGEREF _Toc78912248 \h </w:instrText>
      </w:r>
      <w:r>
        <w:fldChar w:fldCharType="separate"/>
      </w:r>
      <w:r>
        <w:t>2</w:t>
      </w:r>
      <w:r>
        <w:fldChar w:fldCharType="end"/>
      </w:r>
      <w:r>
        <w:fldChar w:fldCharType="end"/>
      </w:r>
    </w:p>
    <w:p>
      <w:pPr>
        <w:pStyle w:val="6"/>
        <w:tabs>
          <w:tab w:val="left" w:pos="840"/>
          <w:tab w:val="right" w:leader="dot" w:pos="8336"/>
        </w:tabs>
        <w:adjustRightInd w:val="0"/>
        <w:snapToGrid w:val="0"/>
        <w:spacing w:line="360" w:lineRule="auto"/>
        <w:rPr>
          <w:rFonts w:eastAsiaTheme="minorEastAsia"/>
          <w:szCs w:val="22"/>
        </w:rPr>
      </w:pPr>
      <w:r>
        <w:fldChar w:fldCharType="begin"/>
      </w:r>
      <w:r>
        <w:instrText xml:space="preserve"> HYPERLINK \l "_Toc78912248" </w:instrText>
      </w:r>
      <w:r>
        <w:fldChar w:fldCharType="separate"/>
      </w:r>
      <w:r>
        <w:rPr>
          <w:rStyle w:val="11"/>
          <w:rFonts w:eastAsia="黑体"/>
        </w:rPr>
        <w:t>2工作范围</w:t>
      </w:r>
      <w:r>
        <w:tab/>
      </w:r>
      <w:r>
        <w:fldChar w:fldCharType="begin"/>
      </w:r>
      <w:r>
        <w:instrText xml:space="preserve"> PAGEREF _Toc78912248 \h </w:instrText>
      </w:r>
      <w:r>
        <w:fldChar w:fldCharType="separate"/>
      </w:r>
      <w:r>
        <w:t>2</w:t>
      </w:r>
      <w:r>
        <w:fldChar w:fldCharType="end"/>
      </w:r>
      <w:r>
        <w:fldChar w:fldCharType="end"/>
      </w:r>
    </w:p>
    <w:p>
      <w:pPr>
        <w:pStyle w:val="7"/>
        <w:tabs>
          <w:tab w:val="right" w:leader="dot" w:pos="8336"/>
        </w:tabs>
        <w:adjustRightInd w:val="0"/>
        <w:snapToGrid w:val="0"/>
        <w:spacing w:line="360" w:lineRule="auto"/>
        <w:ind w:firstLine="420" w:firstLineChars="200"/>
        <w:rPr>
          <w:rFonts w:ascii="Times New Roman" w:eastAsiaTheme="minorEastAsia"/>
          <w:kern w:val="2"/>
          <w:szCs w:val="22"/>
        </w:rPr>
      </w:pPr>
      <w:r>
        <w:fldChar w:fldCharType="begin"/>
      </w:r>
      <w:r>
        <w:instrText xml:space="preserve"> HYPERLINK \l "_Toc78912249" </w:instrText>
      </w:r>
      <w:r>
        <w:fldChar w:fldCharType="separate"/>
      </w:r>
      <w:r>
        <w:rPr>
          <w:rStyle w:val="11"/>
        </w:rPr>
        <w:t>2.1工程概况</w:t>
      </w:r>
      <w:r>
        <w:rPr>
          <w:rFonts w:ascii="Times New Roman"/>
        </w:rPr>
        <w:tab/>
      </w:r>
      <w:r>
        <w:rPr>
          <w:rFonts w:ascii="Times New Roman"/>
        </w:rPr>
        <w:fldChar w:fldCharType="begin"/>
      </w:r>
      <w:r>
        <w:rPr>
          <w:rFonts w:ascii="Times New Roman"/>
        </w:rPr>
        <w:instrText xml:space="preserve"> PAGEREF _Toc78912249 \h </w:instrText>
      </w:r>
      <w:r>
        <w:rPr>
          <w:rFonts w:ascii="Times New Roman"/>
        </w:rPr>
        <w:fldChar w:fldCharType="separate"/>
      </w:r>
      <w:r>
        <w:rPr>
          <w:rFonts w:ascii="Times New Roman"/>
        </w:rPr>
        <w:t>2</w:t>
      </w:r>
      <w:r>
        <w:rPr>
          <w:rFonts w:ascii="Times New Roman"/>
        </w:rPr>
        <w:fldChar w:fldCharType="end"/>
      </w:r>
      <w:r>
        <w:rPr>
          <w:rFonts w:ascii="Times New Roman"/>
        </w:rPr>
        <w:fldChar w:fldCharType="end"/>
      </w:r>
    </w:p>
    <w:p>
      <w:pPr>
        <w:pStyle w:val="7"/>
        <w:tabs>
          <w:tab w:val="right" w:leader="dot" w:pos="8336"/>
        </w:tabs>
        <w:adjustRightInd w:val="0"/>
        <w:snapToGrid w:val="0"/>
        <w:spacing w:line="360" w:lineRule="auto"/>
        <w:ind w:firstLine="420" w:firstLineChars="200"/>
        <w:rPr>
          <w:rFonts w:ascii="Times New Roman" w:eastAsiaTheme="minorEastAsia"/>
          <w:kern w:val="2"/>
          <w:szCs w:val="22"/>
        </w:rPr>
      </w:pPr>
      <w:r>
        <w:fldChar w:fldCharType="begin"/>
      </w:r>
      <w:r>
        <w:instrText xml:space="preserve"> HYPERLINK \l "_Toc78912250" </w:instrText>
      </w:r>
      <w:r>
        <w:fldChar w:fldCharType="separate"/>
      </w:r>
      <w:r>
        <w:rPr>
          <w:rStyle w:val="11"/>
        </w:rPr>
        <w:t>2.2 范围和界限</w:t>
      </w:r>
      <w:r>
        <w:rPr>
          <w:rFonts w:ascii="Times New Roman"/>
        </w:rPr>
        <w:tab/>
      </w:r>
      <w:r>
        <w:rPr>
          <w:rFonts w:ascii="Times New Roman"/>
        </w:rPr>
        <w:fldChar w:fldCharType="begin"/>
      </w:r>
      <w:r>
        <w:rPr>
          <w:rFonts w:ascii="Times New Roman"/>
        </w:rPr>
        <w:instrText xml:space="preserve"> PAGEREF _Toc78912250 \h </w:instrText>
      </w:r>
      <w:r>
        <w:rPr>
          <w:rFonts w:ascii="Times New Roman"/>
        </w:rPr>
        <w:fldChar w:fldCharType="separate"/>
      </w:r>
      <w:r>
        <w:rPr>
          <w:rFonts w:ascii="Times New Roman"/>
        </w:rPr>
        <w:t>2</w:t>
      </w:r>
      <w:r>
        <w:rPr>
          <w:rFonts w:ascii="Times New Roman"/>
        </w:rPr>
        <w:fldChar w:fldCharType="end"/>
      </w:r>
      <w:r>
        <w:rPr>
          <w:rFonts w:ascii="Times New Roman"/>
        </w:rPr>
        <w:fldChar w:fldCharType="end"/>
      </w:r>
    </w:p>
    <w:p>
      <w:pPr>
        <w:pStyle w:val="7"/>
        <w:tabs>
          <w:tab w:val="right" w:leader="dot" w:pos="8336"/>
        </w:tabs>
        <w:adjustRightInd w:val="0"/>
        <w:snapToGrid w:val="0"/>
        <w:spacing w:line="360" w:lineRule="auto"/>
        <w:ind w:firstLine="420" w:firstLineChars="200"/>
        <w:rPr>
          <w:rFonts w:ascii="Times New Roman" w:eastAsiaTheme="minorEastAsia"/>
          <w:kern w:val="2"/>
          <w:szCs w:val="22"/>
        </w:rPr>
      </w:pPr>
      <w:r>
        <w:fldChar w:fldCharType="begin"/>
      </w:r>
      <w:r>
        <w:instrText xml:space="preserve"> HYPERLINK \l "_Toc78912251" </w:instrText>
      </w:r>
      <w:r>
        <w:fldChar w:fldCharType="separate"/>
      </w:r>
      <w:r>
        <w:rPr>
          <w:rStyle w:val="11"/>
        </w:rPr>
        <w:t>2.3 服务范围</w:t>
      </w:r>
      <w:r>
        <w:rPr>
          <w:rFonts w:ascii="Times New Roman"/>
        </w:rPr>
        <w:tab/>
      </w:r>
      <w:r>
        <w:rPr>
          <w:rFonts w:ascii="Times New Roman"/>
        </w:rPr>
        <w:fldChar w:fldCharType="begin"/>
      </w:r>
      <w:r>
        <w:rPr>
          <w:rFonts w:ascii="Times New Roman"/>
        </w:rPr>
        <w:instrText xml:space="preserve"> PAGEREF _Toc78912251 \h </w:instrText>
      </w:r>
      <w:r>
        <w:rPr>
          <w:rFonts w:ascii="Times New Roman"/>
        </w:rPr>
        <w:fldChar w:fldCharType="separate"/>
      </w:r>
      <w:r>
        <w:rPr>
          <w:rFonts w:ascii="Times New Roman"/>
        </w:rPr>
        <w:t>2</w:t>
      </w:r>
      <w:r>
        <w:rPr>
          <w:rFonts w:ascii="Times New Roman"/>
        </w:rPr>
        <w:fldChar w:fldCharType="end"/>
      </w:r>
      <w:r>
        <w:rPr>
          <w:rFonts w:ascii="Times New Roman"/>
        </w:rPr>
        <w:fldChar w:fldCharType="end"/>
      </w:r>
    </w:p>
    <w:p>
      <w:pPr>
        <w:pStyle w:val="6"/>
        <w:tabs>
          <w:tab w:val="left" w:pos="840"/>
          <w:tab w:val="right" w:leader="dot" w:pos="8336"/>
        </w:tabs>
        <w:adjustRightInd w:val="0"/>
        <w:snapToGrid w:val="0"/>
        <w:spacing w:line="360" w:lineRule="auto"/>
        <w:rPr>
          <w:rFonts w:eastAsiaTheme="minorEastAsia"/>
          <w:b/>
          <w:bCs/>
          <w:szCs w:val="22"/>
        </w:rPr>
      </w:pPr>
      <w:r>
        <w:fldChar w:fldCharType="begin"/>
      </w:r>
      <w:r>
        <w:instrText xml:space="preserve"> HYPERLINK \l "_Toc78912252" </w:instrText>
      </w:r>
      <w:r>
        <w:fldChar w:fldCharType="separate"/>
      </w:r>
      <w:r>
        <w:rPr>
          <w:rStyle w:val="11"/>
          <w:b/>
          <w:bCs/>
        </w:rPr>
        <w:t>3应遵循的主要标准</w:t>
      </w:r>
      <w:r>
        <w:rPr>
          <w:b/>
          <w:bCs/>
        </w:rPr>
        <w:tab/>
      </w:r>
      <w:r>
        <w:rPr>
          <w:b/>
          <w:bCs/>
        </w:rPr>
        <w:fldChar w:fldCharType="begin"/>
      </w:r>
      <w:r>
        <w:rPr>
          <w:b/>
          <w:bCs/>
        </w:rPr>
        <w:instrText xml:space="preserve"> PAGEREF _Toc78912252 \h </w:instrText>
      </w:r>
      <w:r>
        <w:rPr>
          <w:b/>
          <w:bCs/>
        </w:rPr>
        <w:fldChar w:fldCharType="separate"/>
      </w:r>
      <w:r>
        <w:rPr>
          <w:b/>
          <w:bCs/>
        </w:rPr>
        <w:t>3</w:t>
      </w:r>
      <w:r>
        <w:rPr>
          <w:b/>
          <w:bCs/>
        </w:rPr>
        <w:fldChar w:fldCharType="end"/>
      </w:r>
      <w:r>
        <w:rPr>
          <w:b/>
          <w:bCs/>
        </w:rPr>
        <w:fldChar w:fldCharType="end"/>
      </w:r>
    </w:p>
    <w:p>
      <w:pPr>
        <w:pStyle w:val="6"/>
        <w:tabs>
          <w:tab w:val="left" w:pos="840"/>
          <w:tab w:val="right" w:leader="dot" w:pos="8336"/>
        </w:tabs>
        <w:adjustRightInd w:val="0"/>
        <w:snapToGrid w:val="0"/>
        <w:spacing w:line="360" w:lineRule="auto"/>
        <w:rPr>
          <w:rFonts w:eastAsiaTheme="minorEastAsia"/>
          <w:szCs w:val="22"/>
        </w:rPr>
      </w:pPr>
      <w:r>
        <w:fldChar w:fldCharType="begin"/>
      </w:r>
      <w:r>
        <w:instrText xml:space="preserve"> HYPERLINK \l "_Toc78912253" </w:instrText>
      </w:r>
      <w:r>
        <w:fldChar w:fldCharType="separate"/>
      </w:r>
      <w:r>
        <w:rPr>
          <w:rStyle w:val="11"/>
          <w:b/>
          <w:bCs/>
        </w:rPr>
        <w:t>4使用条件</w:t>
      </w:r>
      <w:r>
        <w:rPr>
          <w:b/>
          <w:bCs/>
        </w:rPr>
        <w:tab/>
      </w:r>
      <w:r>
        <w:rPr>
          <w:b/>
          <w:bCs/>
        </w:rPr>
        <w:fldChar w:fldCharType="begin"/>
      </w:r>
      <w:r>
        <w:rPr>
          <w:b/>
          <w:bCs/>
        </w:rPr>
        <w:instrText xml:space="preserve"> PAGEREF _Toc78912253 \h </w:instrText>
      </w:r>
      <w:r>
        <w:rPr>
          <w:b/>
          <w:bCs/>
        </w:rPr>
        <w:fldChar w:fldCharType="separate"/>
      </w:r>
      <w:r>
        <w:rPr>
          <w:b/>
          <w:bCs/>
        </w:rPr>
        <w:t>4</w:t>
      </w:r>
      <w:r>
        <w:rPr>
          <w:b/>
          <w:bCs/>
        </w:rPr>
        <w:fldChar w:fldCharType="end"/>
      </w:r>
      <w:r>
        <w:rPr>
          <w:b/>
          <w:bCs/>
        </w:rP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"_Toc78912254" </w:instrText>
      </w:r>
      <w:r>
        <w:fldChar w:fldCharType="separate"/>
      </w:r>
      <w:r>
        <w:rPr>
          <w:rStyle w:val="11"/>
        </w:rPr>
        <w:t>4.1 正常使用条件</w:t>
      </w:r>
      <w:r>
        <w:rPr>
          <w:rStyle w:val="11"/>
        </w:rPr>
        <w:tab/>
      </w:r>
      <w:r>
        <w:rPr>
          <w:rStyle w:val="11"/>
        </w:rPr>
        <w:fldChar w:fldCharType="begin"/>
      </w:r>
      <w:r>
        <w:rPr>
          <w:rStyle w:val="11"/>
        </w:rPr>
        <w:instrText xml:space="preserve"> PAGEREF _Toc78912254 \h </w:instrText>
      </w:r>
      <w:r>
        <w:rPr>
          <w:rStyle w:val="11"/>
        </w:rPr>
        <w:fldChar w:fldCharType="separate"/>
      </w:r>
      <w:r>
        <w:rPr>
          <w:rStyle w:val="11"/>
        </w:rPr>
        <w:t>4</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"_Toc78912262" </w:instrText>
      </w:r>
      <w:r>
        <w:fldChar w:fldCharType="separate"/>
      </w:r>
      <w:r>
        <w:rPr>
          <w:rStyle w:val="11"/>
        </w:rPr>
        <w:t>4.2 特殊使用条件</w:t>
      </w:r>
      <w:r>
        <w:rPr>
          <w:rStyle w:val="11"/>
        </w:rPr>
        <w:tab/>
      </w:r>
      <w:r>
        <w:rPr>
          <w:rStyle w:val="11"/>
        </w:rPr>
        <w:fldChar w:fldCharType="begin"/>
      </w:r>
      <w:r>
        <w:rPr>
          <w:rStyle w:val="11"/>
        </w:rPr>
        <w:instrText xml:space="preserve"> PAGEREF _Toc78912262 \h </w:instrText>
      </w:r>
      <w:r>
        <w:rPr>
          <w:rStyle w:val="11"/>
        </w:rPr>
        <w:fldChar w:fldCharType="separate"/>
      </w:r>
      <w:r>
        <w:rPr>
          <w:rStyle w:val="11"/>
        </w:rPr>
        <w:t>5</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Fonts w:ascii="Times New Roman" w:eastAsiaTheme="minorEastAsia"/>
          <w:kern w:val="2"/>
          <w:szCs w:val="22"/>
        </w:rPr>
      </w:pPr>
      <w:r>
        <w:fldChar w:fldCharType="begin"/>
      </w:r>
      <w:r>
        <w:instrText xml:space="preserve"> HYPERLINK \l "_Toc78912263" </w:instrText>
      </w:r>
      <w:r>
        <w:fldChar w:fldCharType="separate"/>
      </w:r>
      <w:r>
        <w:rPr>
          <w:rStyle w:val="11"/>
        </w:rPr>
        <w:t>4.3 系统条件要求</w:t>
      </w:r>
      <w:r>
        <w:rPr>
          <w:rStyle w:val="11"/>
        </w:rPr>
        <w:tab/>
      </w:r>
      <w:r>
        <w:rPr>
          <w:rStyle w:val="11"/>
        </w:rPr>
        <w:fldChar w:fldCharType="begin"/>
      </w:r>
      <w:r>
        <w:rPr>
          <w:rStyle w:val="11"/>
        </w:rPr>
        <w:instrText xml:space="preserve"> PAGEREF _Toc78912263 \h </w:instrText>
      </w:r>
      <w:r>
        <w:rPr>
          <w:rStyle w:val="11"/>
        </w:rPr>
        <w:fldChar w:fldCharType="separate"/>
      </w:r>
      <w:r>
        <w:rPr>
          <w:rStyle w:val="11"/>
        </w:rPr>
        <w:t>5</w:t>
      </w:r>
      <w:r>
        <w:rPr>
          <w:rStyle w:val="11"/>
        </w:rPr>
        <w:fldChar w:fldCharType="end"/>
      </w:r>
      <w:r>
        <w:rPr>
          <w:rStyle w:val="11"/>
        </w:rPr>
        <w:fldChar w:fldCharType="end"/>
      </w:r>
    </w:p>
    <w:p>
      <w:pPr>
        <w:pStyle w:val="6"/>
        <w:tabs>
          <w:tab w:val="left" w:pos="840"/>
          <w:tab w:val="right" w:leader="dot" w:pos="8336"/>
        </w:tabs>
        <w:adjustRightInd w:val="0"/>
        <w:snapToGrid w:val="0"/>
        <w:spacing w:line="360" w:lineRule="auto"/>
        <w:rPr>
          <w:rFonts w:eastAsiaTheme="minorEastAsia"/>
          <w:szCs w:val="22"/>
        </w:rPr>
      </w:pPr>
      <w:r>
        <w:fldChar w:fldCharType="begin"/>
      </w:r>
      <w:r>
        <w:instrText xml:space="preserve"> HYPERLINK \l "_Toc78912264" </w:instrText>
      </w:r>
      <w:r>
        <w:fldChar w:fldCharType="separate"/>
      </w:r>
      <w:r>
        <w:rPr>
          <w:rStyle w:val="11"/>
          <w:b/>
          <w:bCs/>
        </w:rPr>
        <w:t>5技术要求</w:t>
      </w:r>
      <w:r>
        <w:tab/>
      </w:r>
      <w:r>
        <w:fldChar w:fldCharType="begin"/>
      </w:r>
      <w:r>
        <w:instrText xml:space="preserve"> PAGEREF _Toc78912264 \h </w:instrText>
      </w:r>
      <w:r>
        <w:fldChar w:fldCharType="separate"/>
      </w:r>
      <w:r>
        <w:t>6</w:t>
      </w:r>
      <w:r>
        <w:fldChar w:fldCharType="end"/>
      </w:r>
      <w: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"_Toc78912265" </w:instrText>
      </w:r>
      <w:r>
        <w:fldChar w:fldCharType="separate"/>
      </w:r>
      <w:r>
        <w:rPr>
          <w:rStyle w:val="11"/>
        </w:rPr>
        <w:t>5.1 技术方案</w:t>
      </w:r>
      <w:r>
        <w:rPr>
          <w:rStyle w:val="11"/>
        </w:rPr>
        <w:tab/>
      </w:r>
      <w:r>
        <w:rPr>
          <w:rStyle w:val="11"/>
        </w:rPr>
        <w:fldChar w:fldCharType="begin"/>
      </w:r>
      <w:r>
        <w:rPr>
          <w:rStyle w:val="11"/>
        </w:rPr>
        <w:instrText xml:space="preserve"> PAGEREF _Toc78912265 \h </w:instrText>
      </w:r>
      <w:r>
        <w:rPr>
          <w:rStyle w:val="11"/>
        </w:rPr>
        <w:fldChar w:fldCharType="separate"/>
      </w:r>
      <w:r>
        <w:rPr>
          <w:rStyle w:val="11"/>
        </w:rPr>
        <w:t>6</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"_Toc78912267" </w:instrText>
      </w:r>
      <w:r>
        <w:fldChar w:fldCharType="separate"/>
      </w:r>
      <w:r>
        <w:rPr>
          <w:rStyle w:val="11"/>
        </w:rPr>
        <w:t>5.2 技术参数</w:t>
      </w:r>
      <w:r>
        <w:rPr>
          <w:rStyle w:val="11"/>
        </w:rPr>
        <w:tab/>
      </w:r>
      <w:r>
        <w:rPr>
          <w:rStyle w:val="11"/>
        </w:rPr>
        <w:fldChar w:fldCharType="begin"/>
      </w:r>
      <w:r>
        <w:rPr>
          <w:rStyle w:val="11"/>
        </w:rPr>
        <w:instrText xml:space="preserve"> PAGEREF _Toc78912267 \h </w:instrText>
      </w:r>
      <w:r>
        <w:rPr>
          <w:rStyle w:val="11"/>
        </w:rPr>
        <w:fldChar w:fldCharType="separate"/>
      </w:r>
      <w:r>
        <w:rPr>
          <w:rStyle w:val="11"/>
        </w:rPr>
        <w:t>10</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"_Toc78912268" </w:instrText>
      </w:r>
      <w:r>
        <w:fldChar w:fldCharType="separate"/>
      </w:r>
      <w:r>
        <w:rPr>
          <w:rStyle w:val="11"/>
        </w:rPr>
        <w:t>5.3 结构、性能和制造工艺要求</w:t>
      </w:r>
      <w:r>
        <w:rPr>
          <w:rStyle w:val="11"/>
        </w:rPr>
        <w:tab/>
      </w:r>
      <w:r>
        <w:rPr>
          <w:rStyle w:val="11"/>
        </w:rPr>
        <w:fldChar w:fldCharType="begin"/>
      </w:r>
      <w:r>
        <w:rPr>
          <w:rStyle w:val="11"/>
        </w:rPr>
        <w:instrText xml:space="preserve"> PAGEREF _Toc78912268 \h </w:instrText>
      </w:r>
      <w:r>
        <w:rPr>
          <w:rStyle w:val="11"/>
        </w:rPr>
        <w:fldChar w:fldCharType="separate"/>
      </w:r>
      <w:r>
        <w:rPr>
          <w:rStyle w:val="11"/>
        </w:rPr>
        <w:t>11</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"_Toc78912283" </w:instrText>
      </w:r>
      <w:r>
        <w:fldChar w:fldCharType="separate"/>
      </w:r>
      <w:r>
        <w:rPr>
          <w:rStyle w:val="11"/>
        </w:rPr>
        <w:t>5.4 质量追溯</w:t>
      </w:r>
      <w:r>
        <w:rPr>
          <w:rStyle w:val="11"/>
        </w:rPr>
        <w:tab/>
      </w:r>
      <w:r>
        <w:rPr>
          <w:rStyle w:val="11"/>
        </w:rPr>
        <w:fldChar w:fldCharType="begin"/>
      </w:r>
      <w:r>
        <w:rPr>
          <w:rStyle w:val="11"/>
        </w:rPr>
        <w:instrText xml:space="preserve"> PAGEREF _Toc78912283 \h </w:instrText>
      </w:r>
      <w:r>
        <w:rPr>
          <w:rStyle w:val="11"/>
        </w:rPr>
        <w:fldChar w:fldCharType="separate"/>
      </w:r>
      <w:r>
        <w:rPr>
          <w:rStyle w:val="11"/>
        </w:rPr>
        <w:t>17</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"_Toc78912284" </w:instrText>
      </w:r>
      <w:r>
        <w:fldChar w:fldCharType="separate"/>
      </w:r>
      <w:r>
        <w:rPr>
          <w:rStyle w:val="11"/>
        </w:rPr>
        <w:t>5.5 关于对检修的要求</w:t>
      </w:r>
      <w:r>
        <w:rPr>
          <w:rStyle w:val="11"/>
        </w:rPr>
        <w:tab/>
      </w:r>
      <w:r>
        <w:rPr>
          <w:rStyle w:val="11"/>
        </w:rPr>
        <w:fldChar w:fldCharType="begin"/>
      </w:r>
      <w:r>
        <w:rPr>
          <w:rStyle w:val="11"/>
        </w:rPr>
        <w:instrText xml:space="preserve"> PAGEREF _Toc78912284 \h </w:instrText>
      </w:r>
      <w:r>
        <w:rPr>
          <w:rStyle w:val="11"/>
        </w:rPr>
        <w:fldChar w:fldCharType="separate"/>
      </w:r>
      <w:r>
        <w:rPr>
          <w:rStyle w:val="11"/>
        </w:rPr>
        <w:t>17</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Fonts w:ascii="Times New Roman" w:eastAsiaTheme="minorEastAsia"/>
          <w:kern w:val="2"/>
          <w:szCs w:val="22"/>
        </w:rPr>
      </w:pPr>
      <w:r>
        <w:fldChar w:fldCharType="begin"/>
      </w:r>
      <w:r>
        <w:instrText xml:space="preserve"> HYPERLINK \l "_Toc78912285" </w:instrText>
      </w:r>
      <w:r>
        <w:fldChar w:fldCharType="separate"/>
      </w:r>
      <w:r>
        <w:rPr>
          <w:rStyle w:val="11"/>
        </w:rPr>
        <w:t>5.6 产品对环境的影响</w:t>
      </w:r>
      <w:r>
        <w:rPr>
          <w:rStyle w:val="11"/>
        </w:rPr>
        <w:tab/>
      </w:r>
      <w:r>
        <w:rPr>
          <w:rStyle w:val="11"/>
        </w:rPr>
        <w:fldChar w:fldCharType="begin"/>
      </w:r>
      <w:r>
        <w:rPr>
          <w:rStyle w:val="11"/>
        </w:rPr>
        <w:instrText xml:space="preserve"> PAGEREF _Toc78912285 \h </w:instrText>
      </w:r>
      <w:r>
        <w:rPr>
          <w:rStyle w:val="11"/>
        </w:rPr>
        <w:fldChar w:fldCharType="separate"/>
      </w:r>
      <w:r>
        <w:rPr>
          <w:rStyle w:val="11"/>
        </w:rPr>
        <w:t>17</w:t>
      </w:r>
      <w:r>
        <w:rPr>
          <w:rStyle w:val="11"/>
        </w:rPr>
        <w:fldChar w:fldCharType="end"/>
      </w:r>
      <w:r>
        <w:rPr>
          <w:rStyle w:val="11"/>
        </w:rPr>
        <w:fldChar w:fldCharType="end"/>
      </w:r>
    </w:p>
    <w:p>
      <w:pPr>
        <w:pStyle w:val="6"/>
        <w:tabs>
          <w:tab w:val="left" w:pos="840"/>
          <w:tab w:val="right" w:leader="dot" w:pos="8336"/>
        </w:tabs>
        <w:adjustRightInd w:val="0"/>
        <w:snapToGrid w:val="0"/>
        <w:spacing w:line="360" w:lineRule="auto"/>
        <w:rPr>
          <w:rFonts w:eastAsiaTheme="minorEastAsia"/>
          <w:szCs w:val="22"/>
        </w:rPr>
      </w:pPr>
      <w:r>
        <w:fldChar w:fldCharType="begin"/>
      </w:r>
      <w:r>
        <w:instrText xml:space="preserve"> HYPERLINK \l "_Toc78912286" </w:instrText>
      </w:r>
      <w:r>
        <w:fldChar w:fldCharType="separate"/>
      </w:r>
      <w:r>
        <w:rPr>
          <w:rStyle w:val="11"/>
          <w:b/>
          <w:bCs/>
        </w:rPr>
        <w:t>6试验要求</w:t>
      </w:r>
      <w:r>
        <w:tab/>
      </w:r>
      <w:r>
        <w:fldChar w:fldCharType="begin"/>
      </w:r>
      <w:r>
        <w:instrText xml:space="preserve"> PAGEREF _Toc78912286 \h </w:instrText>
      </w:r>
      <w:r>
        <w:fldChar w:fldCharType="separate"/>
      </w:r>
      <w:r>
        <w:t>17</w:t>
      </w:r>
      <w:r>
        <w:fldChar w:fldCharType="end"/>
      </w:r>
      <w: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"_Toc78912287" </w:instrText>
      </w:r>
      <w:r>
        <w:fldChar w:fldCharType="separate"/>
      </w:r>
      <w:r>
        <w:rPr>
          <w:rStyle w:val="11"/>
        </w:rPr>
        <w:t>6.1 一般要求</w:t>
      </w:r>
      <w:r>
        <w:rPr>
          <w:rStyle w:val="11"/>
        </w:rPr>
        <w:tab/>
      </w:r>
      <w:r>
        <w:rPr>
          <w:rStyle w:val="11"/>
        </w:rPr>
        <w:fldChar w:fldCharType="begin"/>
      </w:r>
      <w:r>
        <w:rPr>
          <w:rStyle w:val="11"/>
        </w:rPr>
        <w:instrText xml:space="preserve"> PAGEREF _Toc78912287 \h </w:instrText>
      </w:r>
      <w:r>
        <w:rPr>
          <w:rStyle w:val="11"/>
        </w:rPr>
        <w:fldChar w:fldCharType="separate"/>
      </w:r>
      <w:r>
        <w:rPr>
          <w:rStyle w:val="11"/>
        </w:rPr>
        <w:t>17</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"_Toc78912288" </w:instrText>
      </w:r>
      <w:r>
        <w:fldChar w:fldCharType="separate"/>
      </w:r>
      <w:r>
        <w:rPr>
          <w:rStyle w:val="11"/>
        </w:rPr>
        <w:t>6.2 试验项目</w:t>
      </w:r>
      <w:r>
        <w:rPr>
          <w:rStyle w:val="11"/>
        </w:rPr>
        <w:tab/>
      </w:r>
      <w:r>
        <w:rPr>
          <w:rStyle w:val="11"/>
        </w:rPr>
        <w:fldChar w:fldCharType="begin"/>
      </w:r>
      <w:r>
        <w:rPr>
          <w:rStyle w:val="11"/>
        </w:rPr>
        <w:instrText xml:space="preserve"> PAGEREF _Toc78912288 \h </w:instrText>
      </w:r>
      <w:r>
        <w:rPr>
          <w:rStyle w:val="11"/>
        </w:rPr>
        <w:fldChar w:fldCharType="separate"/>
      </w:r>
      <w:r>
        <w:rPr>
          <w:rStyle w:val="11"/>
        </w:rPr>
        <w:t>18</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Fonts w:ascii="Times New Roman" w:eastAsiaTheme="minorEastAsia"/>
          <w:szCs w:val="22"/>
        </w:rPr>
      </w:pPr>
      <w:r>
        <w:fldChar w:fldCharType="begin"/>
      </w:r>
      <w:r>
        <w:instrText xml:space="preserve"> HYPERLINK \l "_Toc78912289" </w:instrText>
      </w:r>
      <w:r>
        <w:fldChar w:fldCharType="separate"/>
      </w:r>
      <w:r>
        <w:rPr>
          <w:rStyle w:val="11"/>
        </w:rPr>
        <w:t>6.3 试验方法及要求</w:t>
      </w:r>
      <w:r>
        <w:rPr>
          <w:rStyle w:val="11"/>
        </w:rPr>
        <w:tab/>
      </w:r>
      <w:r>
        <w:rPr>
          <w:rStyle w:val="11"/>
        </w:rPr>
        <w:fldChar w:fldCharType="begin"/>
      </w:r>
      <w:r>
        <w:rPr>
          <w:rStyle w:val="11"/>
        </w:rPr>
        <w:instrText xml:space="preserve"> PAGEREF _Toc78912289 \h </w:instrText>
      </w:r>
      <w:r>
        <w:rPr>
          <w:rStyle w:val="11"/>
        </w:rPr>
        <w:fldChar w:fldCharType="separate"/>
      </w:r>
      <w:r>
        <w:rPr>
          <w:rStyle w:val="11"/>
        </w:rPr>
        <w:t>18</w:t>
      </w:r>
      <w:r>
        <w:rPr>
          <w:rStyle w:val="11"/>
        </w:rPr>
        <w:fldChar w:fldCharType="end"/>
      </w:r>
      <w:r>
        <w:rPr>
          <w:rStyle w:val="11"/>
        </w:rPr>
        <w:fldChar w:fldCharType="end"/>
      </w:r>
    </w:p>
    <w:p>
      <w:pPr>
        <w:pStyle w:val="6"/>
        <w:tabs>
          <w:tab w:val="left" w:pos="840"/>
          <w:tab w:val="right" w:leader="dot" w:pos="8336"/>
        </w:tabs>
        <w:adjustRightInd w:val="0"/>
        <w:snapToGrid w:val="0"/>
        <w:spacing w:line="360" w:lineRule="auto"/>
        <w:rPr>
          <w:rFonts w:eastAsiaTheme="minorEastAsia"/>
          <w:szCs w:val="22"/>
        </w:rPr>
      </w:pPr>
      <w:r>
        <w:fldChar w:fldCharType="begin"/>
      </w:r>
      <w:r>
        <w:instrText xml:space="preserve"> HYPERLINK \l "_Toc78912305" </w:instrText>
      </w:r>
      <w:r>
        <w:fldChar w:fldCharType="separate"/>
      </w:r>
      <w:r>
        <w:rPr>
          <w:rStyle w:val="11"/>
          <w:b/>
          <w:bCs/>
        </w:rPr>
        <w:t>7企业VI标识</w:t>
      </w:r>
      <w:r>
        <w:tab/>
      </w:r>
      <w:r>
        <w:fldChar w:fldCharType="begin"/>
      </w:r>
      <w:r>
        <w:instrText xml:space="preserve"> PAGEREF _Toc78912305 \h </w:instrText>
      </w:r>
      <w:r>
        <w:fldChar w:fldCharType="separate"/>
      </w:r>
      <w:r>
        <w:t>20</w:t>
      </w:r>
      <w:r>
        <w:fldChar w:fldCharType="end"/>
      </w:r>
      <w: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"_Toc78912306" </w:instrText>
      </w:r>
      <w:r>
        <w:fldChar w:fldCharType="separate"/>
      </w:r>
      <w:r>
        <w:rPr>
          <w:rStyle w:val="11"/>
        </w:rPr>
        <w:t>7.1 VI标识</w:t>
      </w:r>
      <w:r>
        <w:rPr>
          <w:rStyle w:val="11"/>
        </w:rPr>
        <w:tab/>
      </w:r>
      <w:r>
        <w:rPr>
          <w:rStyle w:val="11"/>
        </w:rPr>
        <w:fldChar w:fldCharType="begin"/>
      </w:r>
      <w:r>
        <w:rPr>
          <w:rStyle w:val="11"/>
        </w:rPr>
        <w:instrText xml:space="preserve"> PAGEREF _Toc78912306 \h </w:instrText>
      </w:r>
      <w:r>
        <w:rPr>
          <w:rStyle w:val="11"/>
        </w:rPr>
        <w:fldChar w:fldCharType="separate"/>
      </w:r>
      <w:r>
        <w:rPr>
          <w:rStyle w:val="11"/>
        </w:rPr>
        <w:t>21</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Fonts w:ascii="Times New Roman" w:eastAsiaTheme="minorEastAsia"/>
          <w:kern w:val="2"/>
          <w:szCs w:val="22"/>
        </w:rPr>
      </w:pPr>
      <w:r>
        <w:fldChar w:fldCharType="begin"/>
      </w:r>
      <w:r>
        <w:instrText xml:space="preserve"> HYPERLINK \l "_Toc78912307" </w:instrText>
      </w:r>
      <w:r>
        <w:fldChar w:fldCharType="separate"/>
      </w:r>
      <w:r>
        <w:rPr>
          <w:rStyle w:val="11"/>
        </w:rPr>
        <w:t>7.2 标识地点</w:t>
      </w:r>
      <w:r>
        <w:rPr>
          <w:rStyle w:val="11"/>
        </w:rPr>
        <w:tab/>
      </w:r>
      <w:r>
        <w:rPr>
          <w:rStyle w:val="11"/>
        </w:rPr>
        <w:fldChar w:fldCharType="begin"/>
      </w:r>
      <w:r>
        <w:rPr>
          <w:rStyle w:val="11"/>
        </w:rPr>
        <w:instrText xml:space="preserve"> PAGEREF _Toc78912307 \h </w:instrText>
      </w:r>
      <w:r>
        <w:rPr>
          <w:rStyle w:val="11"/>
        </w:rPr>
        <w:fldChar w:fldCharType="separate"/>
      </w:r>
      <w:r>
        <w:rPr>
          <w:rStyle w:val="11"/>
        </w:rPr>
        <w:t>21</w:t>
      </w:r>
      <w:r>
        <w:rPr>
          <w:rStyle w:val="11"/>
        </w:rPr>
        <w:fldChar w:fldCharType="end"/>
      </w:r>
      <w:r>
        <w:rPr>
          <w:rStyle w:val="11"/>
        </w:rPr>
        <w:fldChar w:fldCharType="end"/>
      </w:r>
    </w:p>
    <w:p>
      <w:pPr>
        <w:pStyle w:val="6"/>
        <w:tabs>
          <w:tab w:val="left" w:pos="840"/>
          <w:tab w:val="right" w:leader="dot" w:pos="8336"/>
        </w:tabs>
        <w:adjustRightInd w:val="0"/>
        <w:snapToGrid w:val="0"/>
        <w:spacing w:line="360" w:lineRule="auto"/>
        <w:rPr>
          <w:rFonts w:eastAsiaTheme="minorEastAsia"/>
          <w:szCs w:val="22"/>
        </w:rPr>
      </w:pPr>
      <w:r>
        <w:fldChar w:fldCharType="begin"/>
      </w:r>
      <w:r>
        <w:instrText xml:space="preserve"> HYPERLINK \l "_Toc78912309" </w:instrText>
      </w:r>
      <w:r>
        <w:fldChar w:fldCharType="separate"/>
      </w:r>
      <w:r>
        <w:rPr>
          <w:rStyle w:val="11"/>
          <w:b/>
          <w:bCs/>
        </w:rPr>
        <w:t>8电气及土建接口</w:t>
      </w:r>
      <w:r>
        <w:tab/>
      </w:r>
      <w:r>
        <w:fldChar w:fldCharType="begin"/>
      </w:r>
      <w:r>
        <w:instrText xml:space="preserve"> PAGEREF _Toc78912309 \h </w:instrText>
      </w:r>
      <w:r>
        <w:fldChar w:fldCharType="separate"/>
      </w:r>
      <w:r>
        <w:t>22</w:t>
      </w:r>
      <w:r>
        <w:fldChar w:fldCharType="end"/>
      </w:r>
      <w: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"_Toc78912310" </w:instrText>
      </w:r>
      <w:r>
        <w:fldChar w:fldCharType="separate"/>
      </w:r>
      <w:r>
        <w:rPr>
          <w:rStyle w:val="11"/>
        </w:rPr>
        <w:t>8.1 电气一次接口</w:t>
      </w:r>
      <w:r>
        <w:rPr>
          <w:rStyle w:val="11"/>
        </w:rPr>
        <w:tab/>
      </w:r>
      <w:r>
        <w:rPr>
          <w:rStyle w:val="11"/>
        </w:rPr>
        <w:fldChar w:fldCharType="begin"/>
      </w:r>
      <w:r>
        <w:rPr>
          <w:rStyle w:val="11"/>
        </w:rPr>
        <w:instrText xml:space="preserve"> PAGEREF _Toc78912310 \h </w:instrText>
      </w:r>
      <w:r>
        <w:rPr>
          <w:rStyle w:val="11"/>
        </w:rPr>
        <w:fldChar w:fldCharType="separate"/>
      </w:r>
      <w:r>
        <w:rPr>
          <w:rStyle w:val="11"/>
        </w:rPr>
        <w:t>22</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Fonts w:ascii="Times New Roman" w:eastAsiaTheme="minorEastAsia"/>
          <w:kern w:val="2"/>
          <w:szCs w:val="22"/>
        </w:rPr>
      </w:pPr>
      <w:r>
        <w:fldChar w:fldCharType="begin"/>
      </w:r>
      <w:r>
        <w:instrText xml:space="preserve"> HYPERLINK \l "_Toc78912311" </w:instrText>
      </w:r>
      <w:r>
        <w:fldChar w:fldCharType="separate"/>
      </w:r>
      <w:r>
        <w:rPr>
          <w:rStyle w:val="11"/>
        </w:rPr>
        <w:t>8.2 土建接口</w:t>
      </w:r>
      <w:r>
        <w:rPr>
          <w:rStyle w:val="11"/>
        </w:rPr>
        <w:tab/>
      </w:r>
      <w:r>
        <w:rPr>
          <w:rStyle w:val="11"/>
        </w:rPr>
        <w:fldChar w:fldCharType="begin"/>
      </w:r>
      <w:r>
        <w:rPr>
          <w:rStyle w:val="11"/>
        </w:rPr>
        <w:instrText xml:space="preserve"> PAGEREF _Toc78912311 \h </w:instrText>
      </w:r>
      <w:r>
        <w:rPr>
          <w:rStyle w:val="11"/>
        </w:rPr>
        <w:fldChar w:fldCharType="separate"/>
      </w:r>
      <w:r>
        <w:rPr>
          <w:rStyle w:val="11"/>
        </w:rPr>
        <w:t>26</w:t>
      </w:r>
      <w:r>
        <w:rPr>
          <w:rStyle w:val="11"/>
        </w:rPr>
        <w:fldChar w:fldCharType="end"/>
      </w:r>
      <w:r>
        <w:rPr>
          <w:rStyle w:val="11"/>
        </w:rPr>
        <w:fldChar w:fldCharType="end"/>
      </w:r>
    </w:p>
    <w:p>
      <w:pPr>
        <w:pStyle w:val="6"/>
        <w:tabs>
          <w:tab w:val="left" w:pos="840"/>
          <w:tab w:val="right" w:leader="dot" w:pos="8336"/>
        </w:tabs>
        <w:adjustRightInd w:val="0"/>
        <w:snapToGrid w:val="0"/>
        <w:spacing w:line="360" w:lineRule="auto"/>
        <w:rPr>
          <w:rFonts w:eastAsiaTheme="minorEastAsia"/>
          <w:szCs w:val="22"/>
        </w:rPr>
      </w:pPr>
      <w:r>
        <w:fldChar w:fldCharType="begin"/>
      </w:r>
      <w:r>
        <w:instrText xml:space="preserve"> HYPERLINK \l "_Toc78912314" </w:instrText>
      </w:r>
      <w:r>
        <w:fldChar w:fldCharType="separate"/>
      </w:r>
      <w:r>
        <w:rPr>
          <w:rStyle w:val="11"/>
          <w:b/>
          <w:bCs/>
        </w:rPr>
        <w:t>9监造、运输、质量保证及其他要求</w:t>
      </w:r>
      <w:r>
        <w:tab/>
      </w:r>
      <w:r>
        <w:fldChar w:fldCharType="begin"/>
      </w:r>
      <w:r>
        <w:instrText xml:space="preserve"> PAGEREF _Toc78912314 \h </w:instrText>
      </w:r>
      <w:r>
        <w:fldChar w:fldCharType="separate"/>
      </w:r>
      <w:r>
        <w:t>28</w:t>
      </w:r>
      <w:r>
        <w:fldChar w:fldCharType="end"/>
      </w:r>
      <w: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"_Toc78912315" </w:instrText>
      </w:r>
      <w:r>
        <w:fldChar w:fldCharType="separate"/>
      </w:r>
      <w:r>
        <w:rPr>
          <w:rStyle w:val="11"/>
        </w:rPr>
        <w:t>9.1 监造</w:t>
      </w:r>
      <w:r>
        <w:rPr>
          <w:rStyle w:val="11"/>
        </w:rPr>
        <w:tab/>
      </w:r>
      <w:r>
        <w:rPr>
          <w:rStyle w:val="11"/>
        </w:rPr>
        <w:fldChar w:fldCharType="begin"/>
      </w:r>
      <w:r>
        <w:rPr>
          <w:rStyle w:val="11"/>
        </w:rPr>
        <w:instrText xml:space="preserve"> PAGEREF _Toc78912315 \h </w:instrText>
      </w:r>
      <w:r>
        <w:rPr>
          <w:rStyle w:val="11"/>
        </w:rPr>
        <w:fldChar w:fldCharType="separate"/>
      </w:r>
      <w:r>
        <w:rPr>
          <w:rStyle w:val="11"/>
        </w:rPr>
        <w:t>28</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"_Toc78912316" </w:instrText>
      </w:r>
      <w:r>
        <w:fldChar w:fldCharType="separate"/>
      </w:r>
      <w:r>
        <w:rPr>
          <w:rStyle w:val="11"/>
        </w:rPr>
        <w:t>9.2 运输</w:t>
      </w:r>
      <w:r>
        <w:rPr>
          <w:rStyle w:val="11"/>
        </w:rPr>
        <w:tab/>
      </w:r>
      <w:r>
        <w:rPr>
          <w:rStyle w:val="11"/>
        </w:rPr>
        <w:fldChar w:fldCharType="begin"/>
      </w:r>
      <w:r>
        <w:rPr>
          <w:rStyle w:val="11"/>
        </w:rPr>
        <w:instrText xml:space="preserve"> PAGEREF _Toc78912316 \h </w:instrText>
      </w:r>
      <w:r>
        <w:rPr>
          <w:rStyle w:val="11"/>
        </w:rPr>
        <w:fldChar w:fldCharType="separate"/>
      </w:r>
      <w:r>
        <w:rPr>
          <w:rStyle w:val="11"/>
        </w:rPr>
        <w:t>28</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Style w:val="11"/>
        </w:rPr>
      </w:pPr>
      <w:r>
        <w:fldChar w:fldCharType="begin"/>
      </w:r>
      <w:r>
        <w:instrText xml:space="preserve"> HYPERLINK \l "_Toc78912317" </w:instrText>
      </w:r>
      <w:r>
        <w:fldChar w:fldCharType="separate"/>
      </w:r>
      <w:r>
        <w:rPr>
          <w:rStyle w:val="11"/>
        </w:rPr>
        <w:t>9.3 质量保证</w:t>
      </w:r>
      <w:r>
        <w:rPr>
          <w:rStyle w:val="11"/>
        </w:rPr>
        <w:tab/>
      </w:r>
      <w:r>
        <w:rPr>
          <w:rStyle w:val="11"/>
        </w:rPr>
        <w:fldChar w:fldCharType="begin"/>
      </w:r>
      <w:r>
        <w:rPr>
          <w:rStyle w:val="11"/>
        </w:rPr>
        <w:instrText xml:space="preserve"> PAGEREF _Toc78912317 \h </w:instrText>
      </w:r>
      <w:r>
        <w:rPr>
          <w:rStyle w:val="11"/>
        </w:rPr>
        <w:fldChar w:fldCharType="separate"/>
      </w:r>
      <w:r>
        <w:rPr>
          <w:rStyle w:val="11"/>
        </w:rPr>
        <w:t>29</w:t>
      </w:r>
      <w:r>
        <w:rPr>
          <w:rStyle w:val="11"/>
        </w:rPr>
        <w:fldChar w:fldCharType="end"/>
      </w:r>
      <w:r>
        <w:rPr>
          <w:rStyle w:val="11"/>
        </w:rPr>
        <w:fldChar w:fldCharType="end"/>
      </w:r>
    </w:p>
    <w:p>
      <w:pPr>
        <w:pStyle w:val="7"/>
        <w:tabs>
          <w:tab w:val="right" w:leader="dot" w:pos="8336"/>
        </w:tabs>
        <w:adjustRightInd w:val="0"/>
        <w:snapToGrid w:val="0"/>
        <w:spacing w:line="360" w:lineRule="auto"/>
        <w:ind w:firstLine="420" w:firstLineChars="200"/>
        <w:rPr>
          <w:rFonts w:ascii="Times New Roman" w:eastAsiaTheme="minorEastAsia"/>
          <w:kern w:val="2"/>
          <w:szCs w:val="22"/>
        </w:rPr>
      </w:pPr>
      <w:r>
        <w:fldChar w:fldCharType="begin"/>
      </w:r>
      <w:r>
        <w:instrText xml:space="preserve"> HYPERLINK \l "_Toc78912318" </w:instrText>
      </w:r>
      <w:r>
        <w:fldChar w:fldCharType="separate"/>
      </w:r>
      <w:r>
        <w:rPr>
          <w:rStyle w:val="11"/>
        </w:rPr>
        <w:t>9.4 其他要求</w:t>
      </w:r>
      <w:r>
        <w:rPr>
          <w:rStyle w:val="11"/>
        </w:rPr>
        <w:tab/>
      </w:r>
      <w:r>
        <w:rPr>
          <w:rStyle w:val="11"/>
        </w:rPr>
        <w:fldChar w:fldCharType="begin"/>
      </w:r>
      <w:r>
        <w:rPr>
          <w:rStyle w:val="11"/>
        </w:rPr>
        <w:instrText xml:space="preserve"> PAGEREF _Toc78912318 \h </w:instrText>
      </w:r>
      <w:r>
        <w:rPr>
          <w:rStyle w:val="11"/>
        </w:rPr>
        <w:fldChar w:fldCharType="separate"/>
      </w:r>
      <w:r>
        <w:rPr>
          <w:rStyle w:val="11"/>
        </w:rPr>
        <w:t>29</w:t>
      </w:r>
      <w:r>
        <w:rPr>
          <w:rStyle w:val="11"/>
        </w:rPr>
        <w:fldChar w:fldCharType="end"/>
      </w:r>
      <w:r>
        <w:rPr>
          <w:rStyle w:val="11"/>
        </w:rPr>
        <w:fldChar w:fldCharType="end"/>
      </w:r>
    </w:p>
    <w:p>
      <w:pPr>
        <w:pStyle w:val="6"/>
        <w:tabs>
          <w:tab w:val="right" w:leader="dot" w:pos="8336"/>
        </w:tabs>
        <w:adjustRightInd w:val="0"/>
        <w:snapToGrid w:val="0"/>
        <w:spacing w:line="360" w:lineRule="auto"/>
        <w:rPr>
          <w:rFonts w:eastAsiaTheme="minorEastAsia"/>
          <w:szCs w:val="22"/>
        </w:rPr>
      </w:pPr>
      <w:r>
        <w:fldChar w:fldCharType="begin"/>
      </w:r>
      <w:r>
        <w:instrText xml:space="preserve"> HYPERLINK \l "_Toc78912322" </w:instrText>
      </w:r>
      <w:r>
        <w:fldChar w:fldCharType="separate"/>
      </w:r>
      <w:r>
        <w:rPr>
          <w:rStyle w:val="11"/>
          <w:b/>
          <w:bCs/>
        </w:rPr>
        <w:t>附录A （资料性目录）铭牌示意图</w:t>
      </w:r>
      <w:r>
        <w:tab/>
      </w:r>
      <w:r>
        <w:fldChar w:fldCharType="begin"/>
      </w:r>
      <w:r>
        <w:instrText xml:space="preserve"> PAGEREF _Toc78912322 \h </w:instrText>
      </w:r>
      <w:r>
        <w:fldChar w:fldCharType="separate"/>
      </w:r>
      <w:r>
        <w:t>31</w:t>
      </w:r>
      <w:r>
        <w:fldChar w:fldCharType="end"/>
      </w:r>
      <w:r>
        <w:fldChar w:fldCharType="end"/>
      </w:r>
    </w:p>
    <w:p>
      <w:pPr>
        <w:pStyle w:val="6"/>
        <w:tabs>
          <w:tab w:val="right" w:leader="dot" w:pos="8336"/>
        </w:tabs>
        <w:adjustRightInd w:val="0"/>
        <w:snapToGrid w:val="0"/>
        <w:spacing w:line="360" w:lineRule="auto"/>
        <w:rPr>
          <w:rFonts w:eastAsiaTheme="minorEastAsia"/>
          <w:szCs w:val="22"/>
        </w:rPr>
      </w:pPr>
      <w:r>
        <w:fldChar w:fldCharType="begin"/>
      </w:r>
      <w:r>
        <w:instrText xml:space="preserve"> HYPERLINK \l "_Toc78912323" </w:instrText>
      </w:r>
      <w:r>
        <w:fldChar w:fldCharType="separate"/>
      </w:r>
      <w:r>
        <w:rPr>
          <w:rStyle w:val="11"/>
          <w:b/>
          <w:bCs/>
        </w:rPr>
        <w:t>附录B （资料性目录）设备标准配置表</w:t>
      </w:r>
      <w:r>
        <w:tab/>
      </w:r>
      <w:r>
        <w:fldChar w:fldCharType="begin"/>
      </w:r>
      <w:r>
        <w:instrText xml:space="preserve"> PAGEREF _Toc78912323 \h </w:instrText>
      </w:r>
      <w:r>
        <w:fldChar w:fldCharType="separate"/>
      </w:r>
      <w:r>
        <w:t>32</w:t>
      </w:r>
      <w:r>
        <w:fldChar w:fldCharType="end"/>
      </w:r>
      <w:r>
        <w:fldChar w:fldCharType="end"/>
      </w:r>
    </w:p>
    <w:p>
      <w:pPr>
        <w:adjustRightInd w:val="0"/>
        <w:spacing w:before="640" w:after="560" w:line="480" w:lineRule="exact"/>
        <w:jc w:val="center"/>
        <w:textAlignment w:val="baseline"/>
        <w:rPr>
          <w:rStyle w:val="11"/>
          <w:rFonts w:eastAsia="黑体"/>
        </w:rPr>
        <w:sectPr>
          <w:headerReference r:id="rId7" w:type="default"/>
          <w:pgSz w:w="11906" w:h="16838"/>
          <w:pgMar w:top="1440" w:right="1780" w:bottom="1440" w:left="1780" w:header="720" w:footer="720" w:gutter="0"/>
          <w:pgNumType w:fmt="upperRoman"/>
          <w:cols w:space="425" w:num="1"/>
          <w:docGrid w:type="lines" w:linePitch="317" w:charSpace="0"/>
        </w:sectPr>
      </w:pPr>
      <w:r>
        <w:rPr>
          <w:rStyle w:val="11"/>
          <w:rFonts w:eastAsia="黑体"/>
        </w:rPr>
        <w:fldChar w:fldCharType="end"/>
      </w:r>
    </w:p>
    <w:p>
      <w:pPr>
        <w:pStyle w:val="12"/>
        <w:spacing w:line="360" w:lineRule="auto"/>
        <w:rPr>
          <w:rStyle w:val="11"/>
          <w:rFonts w:hAnsi="宋体" w:eastAsia="黑体"/>
          <w:szCs w:val="24"/>
        </w:rPr>
        <w:sectPr>
          <w:type w:val="continuous"/>
          <w:pgSz w:w="11906" w:h="16838"/>
          <w:pgMar w:top="1985" w:right="1616" w:bottom="1985" w:left="1576" w:header="1418" w:footer="836" w:gutter="0"/>
          <w:pgNumType w:start="1"/>
          <w:cols w:space="425" w:num="1"/>
          <w:docGrid w:linePitch="312" w:charSpace="0"/>
        </w:sectPr>
      </w:pPr>
    </w:p>
    <w:p>
      <w:pPr>
        <w:pStyle w:val="2"/>
        <w:numPr>
          <w:ilvl w:val="1"/>
          <w:numId w:val="1"/>
        </w:numPr>
        <w:topLinePunct/>
        <w:spacing w:before="0" w:after="0" w:line="480" w:lineRule="auto"/>
        <w:textAlignment w:val="baseline"/>
        <w:rPr>
          <w:rFonts w:hAnsi="宋体"/>
          <w:b w:val="0"/>
        </w:rPr>
      </w:pPr>
      <w:r>
        <w:rPr>
          <w:rFonts w:ascii="宋体" w:hAnsi="宋体"/>
        </w:rPr>
        <w:br w:type="page"/>
      </w:r>
      <w:bookmarkStart w:id="4" w:name="_Toc419730935"/>
      <w:bookmarkEnd w:id="4"/>
      <w:bookmarkStart w:id="5" w:name="_Toc419734909"/>
      <w:bookmarkEnd w:id="5"/>
      <w:bookmarkStart w:id="6" w:name="_Toc419730921"/>
      <w:bookmarkEnd w:id="6"/>
      <w:bookmarkStart w:id="7" w:name="_Toc419730881"/>
      <w:bookmarkEnd w:id="7"/>
      <w:bookmarkStart w:id="8" w:name="_Toc419734712"/>
      <w:bookmarkEnd w:id="8"/>
      <w:bookmarkStart w:id="9" w:name="_Toc419730926"/>
      <w:bookmarkEnd w:id="9"/>
      <w:bookmarkStart w:id="10" w:name="_Toc419730892"/>
      <w:bookmarkEnd w:id="10"/>
      <w:bookmarkStart w:id="11" w:name="_Toc419734528"/>
      <w:bookmarkEnd w:id="11"/>
      <w:bookmarkStart w:id="12" w:name="_Toc419734523"/>
      <w:bookmarkEnd w:id="12"/>
      <w:bookmarkStart w:id="13" w:name="_Toc419730879"/>
      <w:bookmarkEnd w:id="13"/>
      <w:bookmarkStart w:id="14" w:name="_Toc419730931"/>
      <w:bookmarkEnd w:id="14"/>
      <w:bookmarkStart w:id="15" w:name="_Toc419734732"/>
      <w:bookmarkEnd w:id="15"/>
      <w:bookmarkStart w:id="16" w:name="_Toc419730934"/>
      <w:bookmarkEnd w:id="16"/>
      <w:bookmarkStart w:id="17" w:name="_Toc419734722"/>
      <w:bookmarkEnd w:id="17"/>
      <w:bookmarkStart w:id="18" w:name="_Toc419730933"/>
      <w:bookmarkEnd w:id="18"/>
      <w:bookmarkStart w:id="19" w:name="_Toc419730878"/>
      <w:bookmarkEnd w:id="19"/>
      <w:bookmarkStart w:id="20" w:name="_Toc419730925"/>
      <w:bookmarkEnd w:id="20"/>
      <w:bookmarkStart w:id="21" w:name="_Toc419734535"/>
      <w:bookmarkEnd w:id="21"/>
      <w:bookmarkStart w:id="22" w:name="_Toc419734527"/>
      <w:bookmarkEnd w:id="22"/>
      <w:bookmarkStart w:id="23" w:name="_Toc419734896"/>
      <w:bookmarkEnd w:id="23"/>
      <w:bookmarkStart w:id="24" w:name="_Toc419730940"/>
      <w:bookmarkEnd w:id="24"/>
      <w:bookmarkStart w:id="25" w:name="_Toc419734904"/>
      <w:bookmarkEnd w:id="25"/>
      <w:bookmarkStart w:id="26" w:name="_Toc419734723"/>
      <w:bookmarkEnd w:id="26"/>
      <w:bookmarkStart w:id="27" w:name="_Toc419730882"/>
      <w:bookmarkEnd w:id="27"/>
      <w:bookmarkStart w:id="28" w:name="_Toc419734531"/>
      <w:bookmarkEnd w:id="28"/>
      <w:bookmarkStart w:id="29" w:name="_Toc419734544"/>
      <w:bookmarkEnd w:id="29"/>
      <w:bookmarkStart w:id="30" w:name="_Toc419734906"/>
      <w:bookmarkEnd w:id="30"/>
      <w:bookmarkStart w:id="31" w:name="_Toc419734539"/>
      <w:bookmarkEnd w:id="31"/>
      <w:bookmarkStart w:id="32" w:name="_Toc419734890"/>
      <w:bookmarkEnd w:id="32"/>
      <w:bookmarkStart w:id="33" w:name="_Toc419730941"/>
      <w:bookmarkEnd w:id="33"/>
      <w:bookmarkStart w:id="34" w:name="_Toc419734714"/>
      <w:bookmarkEnd w:id="34"/>
      <w:bookmarkStart w:id="35" w:name="_Toc419734716"/>
      <w:bookmarkEnd w:id="35"/>
      <w:bookmarkStart w:id="36" w:name="_Toc419730874"/>
      <w:bookmarkEnd w:id="36"/>
      <w:bookmarkStart w:id="37" w:name="_Toc419734715"/>
      <w:bookmarkEnd w:id="37"/>
      <w:bookmarkStart w:id="38" w:name="_Toc419734728"/>
      <w:bookmarkEnd w:id="38"/>
      <w:bookmarkStart w:id="39" w:name="_Toc419734895"/>
      <w:bookmarkEnd w:id="39"/>
      <w:bookmarkStart w:id="40" w:name="_Toc419734891"/>
      <w:bookmarkEnd w:id="40"/>
      <w:bookmarkStart w:id="41" w:name="_Toc419730920"/>
      <w:bookmarkEnd w:id="41"/>
      <w:bookmarkStart w:id="42" w:name="_Toc419734720"/>
      <w:bookmarkEnd w:id="42"/>
      <w:bookmarkStart w:id="43" w:name="_Toc419730884"/>
      <w:bookmarkEnd w:id="43"/>
      <w:bookmarkStart w:id="44" w:name="_Toc419734729"/>
      <w:bookmarkEnd w:id="44"/>
      <w:bookmarkStart w:id="45" w:name="_Toc419734726"/>
      <w:bookmarkEnd w:id="45"/>
      <w:bookmarkStart w:id="46" w:name="_Toc419734902"/>
      <w:bookmarkEnd w:id="46"/>
      <w:bookmarkStart w:id="47" w:name="_Toc419734898"/>
      <w:bookmarkEnd w:id="47"/>
      <w:bookmarkStart w:id="48" w:name="_Toc419734525"/>
      <w:bookmarkEnd w:id="48"/>
      <w:bookmarkStart w:id="49" w:name="_Toc419734897"/>
      <w:bookmarkEnd w:id="49"/>
      <w:bookmarkStart w:id="50" w:name="_Toc419734721"/>
      <w:bookmarkEnd w:id="50"/>
      <w:bookmarkStart w:id="51" w:name="_Toc419734911"/>
      <w:bookmarkEnd w:id="51"/>
      <w:bookmarkStart w:id="52" w:name="_Toc419734717"/>
      <w:bookmarkEnd w:id="52"/>
      <w:bookmarkStart w:id="53" w:name="_Toc419734543"/>
      <w:bookmarkEnd w:id="53"/>
      <w:bookmarkStart w:id="54" w:name="_Toc419730923"/>
      <w:bookmarkEnd w:id="54"/>
      <w:bookmarkStart w:id="55" w:name="_Toc419730895"/>
      <w:bookmarkEnd w:id="55"/>
      <w:bookmarkStart w:id="56" w:name="_Toc419734910"/>
      <w:bookmarkEnd w:id="56"/>
      <w:bookmarkStart w:id="57" w:name="_Toc419730894"/>
      <w:bookmarkEnd w:id="57"/>
      <w:bookmarkStart w:id="58" w:name="_Toc419730887"/>
      <w:bookmarkEnd w:id="58"/>
      <w:bookmarkStart w:id="59" w:name="_Toc419730929"/>
      <w:bookmarkEnd w:id="59"/>
      <w:bookmarkStart w:id="60" w:name="_Toc419734536"/>
      <w:bookmarkEnd w:id="60"/>
      <w:bookmarkStart w:id="61" w:name="_Toc419730889"/>
      <w:bookmarkEnd w:id="61"/>
      <w:bookmarkStart w:id="62" w:name="_Toc419734733"/>
      <w:bookmarkEnd w:id="62"/>
      <w:bookmarkStart w:id="63" w:name="_Toc419734533"/>
      <w:bookmarkEnd w:id="63"/>
      <w:bookmarkStart w:id="64" w:name="_Toc419730890"/>
      <w:bookmarkEnd w:id="64"/>
      <w:bookmarkStart w:id="65" w:name="_Toc419734892"/>
      <w:bookmarkEnd w:id="65"/>
      <w:bookmarkStart w:id="66" w:name="_Toc419730936"/>
      <w:bookmarkEnd w:id="66"/>
      <w:bookmarkStart w:id="67" w:name="_Toc419734540"/>
      <w:bookmarkEnd w:id="67"/>
      <w:bookmarkStart w:id="68" w:name="_Toc419730928"/>
      <w:bookmarkEnd w:id="68"/>
      <w:bookmarkStart w:id="69" w:name="_Toc419734900"/>
      <w:bookmarkEnd w:id="69"/>
      <w:bookmarkStart w:id="70" w:name="_Toc419734727"/>
      <w:bookmarkEnd w:id="70"/>
      <w:bookmarkStart w:id="71" w:name="_Toc419734718"/>
      <w:bookmarkEnd w:id="71"/>
      <w:bookmarkStart w:id="72" w:name="_Toc419734529"/>
      <w:bookmarkEnd w:id="72"/>
      <w:bookmarkStart w:id="73" w:name="_Toc419730885"/>
      <w:bookmarkEnd w:id="73"/>
      <w:bookmarkStart w:id="74" w:name="_Toc419734907"/>
      <w:bookmarkEnd w:id="74"/>
      <w:bookmarkStart w:id="75" w:name="_Toc419730930"/>
      <w:bookmarkEnd w:id="75"/>
      <w:bookmarkStart w:id="76" w:name="_Toc419734538"/>
      <w:bookmarkEnd w:id="76"/>
      <w:bookmarkStart w:id="77" w:name="_Toc419730877"/>
      <w:bookmarkEnd w:id="77"/>
      <w:bookmarkStart w:id="78" w:name="_Toc419734532"/>
      <w:bookmarkEnd w:id="78"/>
      <w:bookmarkStart w:id="79" w:name="_Toc419730937"/>
      <w:bookmarkEnd w:id="79"/>
      <w:bookmarkStart w:id="80" w:name="_Toc419730938"/>
      <w:bookmarkEnd w:id="80"/>
      <w:bookmarkStart w:id="81" w:name="_Toc419730888"/>
      <w:bookmarkEnd w:id="81"/>
      <w:bookmarkStart w:id="82" w:name="_Toc419734905"/>
      <w:bookmarkEnd w:id="82"/>
      <w:bookmarkStart w:id="83" w:name="_Toc419734724"/>
      <w:bookmarkEnd w:id="83"/>
      <w:bookmarkStart w:id="84" w:name="_Toc419730883"/>
      <w:bookmarkEnd w:id="84"/>
      <w:bookmarkStart w:id="85" w:name="_Toc419734903"/>
      <w:bookmarkEnd w:id="85"/>
      <w:bookmarkStart w:id="86" w:name="_Toc419730924"/>
      <w:bookmarkEnd w:id="86"/>
      <w:bookmarkStart w:id="87" w:name="_Toc419734730"/>
      <w:bookmarkEnd w:id="87"/>
      <w:bookmarkStart w:id="88" w:name="_Toc419730875"/>
      <w:bookmarkEnd w:id="88"/>
      <w:bookmarkStart w:id="89" w:name="_Toc419730932"/>
      <w:bookmarkEnd w:id="89"/>
      <w:bookmarkStart w:id="90" w:name="_Toc419730886"/>
      <w:bookmarkEnd w:id="90"/>
      <w:bookmarkStart w:id="91" w:name="_Toc419734731"/>
      <w:bookmarkEnd w:id="91"/>
      <w:bookmarkStart w:id="92" w:name="_Toc419734899"/>
      <w:bookmarkEnd w:id="92"/>
      <w:bookmarkStart w:id="93" w:name="_Toc419734537"/>
      <w:bookmarkEnd w:id="93"/>
      <w:bookmarkStart w:id="94" w:name="_Toc419734901"/>
      <w:bookmarkEnd w:id="94"/>
      <w:bookmarkStart w:id="95" w:name="_Toc419730876"/>
      <w:bookmarkEnd w:id="95"/>
      <w:bookmarkStart w:id="96" w:name="_Toc419734894"/>
      <w:bookmarkEnd w:id="96"/>
      <w:bookmarkStart w:id="97" w:name="_Toc419734534"/>
      <w:bookmarkEnd w:id="97"/>
      <w:bookmarkStart w:id="98" w:name="_Toc419734526"/>
      <w:bookmarkEnd w:id="98"/>
      <w:bookmarkStart w:id="99" w:name="_Toc419730893"/>
      <w:bookmarkEnd w:id="99"/>
      <w:bookmarkStart w:id="100" w:name="_Toc419734542"/>
      <w:bookmarkEnd w:id="100"/>
      <w:bookmarkStart w:id="101" w:name="_Toc419734530"/>
      <w:bookmarkEnd w:id="101"/>
      <w:bookmarkStart w:id="102" w:name="_Toc419730922"/>
      <w:bookmarkEnd w:id="102"/>
      <w:bookmarkStart w:id="103" w:name="_Toc419734719"/>
      <w:bookmarkEnd w:id="103"/>
      <w:bookmarkStart w:id="104" w:name="_Toc419730927"/>
      <w:bookmarkEnd w:id="104"/>
      <w:bookmarkStart w:id="105" w:name="_Toc419734713"/>
      <w:bookmarkEnd w:id="105"/>
      <w:bookmarkStart w:id="106" w:name="_Toc419734524"/>
      <w:bookmarkEnd w:id="106"/>
      <w:bookmarkStart w:id="107" w:name="_Toc419730891"/>
      <w:bookmarkEnd w:id="107"/>
      <w:bookmarkStart w:id="108" w:name="_Toc419730939"/>
      <w:bookmarkEnd w:id="108"/>
      <w:bookmarkStart w:id="109" w:name="_Toc419730880"/>
      <w:bookmarkEnd w:id="109"/>
      <w:bookmarkStart w:id="110" w:name="_Toc419734541"/>
      <w:bookmarkEnd w:id="110"/>
      <w:bookmarkStart w:id="111" w:name="_Toc419734725"/>
      <w:bookmarkEnd w:id="111"/>
      <w:bookmarkStart w:id="112" w:name="_Toc419734893"/>
      <w:bookmarkEnd w:id="112"/>
      <w:bookmarkStart w:id="113" w:name="_Toc419734908"/>
      <w:bookmarkEnd w:id="113"/>
      <w:bookmarkStart w:id="114" w:name="_Toc292025341"/>
      <w:bookmarkStart w:id="115" w:name="_Toc78912247"/>
      <w:bookmarkStart w:id="116" w:name="_Toc419730942"/>
      <w:bookmarkStart w:id="117" w:name="_Toc405368410"/>
      <w:r>
        <w:rPr>
          <w:rFonts w:ascii="黑体" w:hAnsi="黑体" w:eastAsia="黑体"/>
          <w:bCs w:val="0"/>
          <w:sz w:val="21"/>
          <w:szCs w:val="21"/>
        </w:rPr>
        <w:t>总则</w:t>
      </w:r>
      <w:bookmarkEnd w:id="114"/>
      <w:bookmarkEnd w:id="115"/>
      <w:bookmarkEnd w:id="116"/>
      <w:bookmarkEnd w:id="117"/>
    </w:p>
    <w:p>
      <w:pPr>
        <w:numPr>
          <w:ilvl w:val="0"/>
          <w:numId w:val="1"/>
        </w:numPr>
        <w:adjustRightInd w:val="0"/>
        <w:snapToGrid w:val="0"/>
        <w:spacing w:line="360" w:lineRule="auto"/>
        <w:rPr>
          <w:rFonts w:ascii="宋体" w:hAnsi="宋体"/>
          <w:spacing w:val="-4"/>
          <w:szCs w:val="21"/>
        </w:rPr>
      </w:pPr>
      <w:r>
        <w:rPr>
          <w:rFonts w:ascii="宋体" w:hAnsi="宋体"/>
          <w:spacing w:val="-4"/>
          <w:szCs w:val="21"/>
        </w:rPr>
        <w:t>1.1 本技术规范书适用于中国南方电网有限责任公司采购的10kV预装式变电站</w:t>
      </w:r>
      <w:r>
        <w:rPr>
          <w:rFonts w:hint="eastAsia" w:ascii="宋体" w:hAnsi="宋体"/>
          <w:spacing w:val="-4"/>
          <w:szCs w:val="21"/>
        </w:rPr>
        <w:t>（紧凑式）</w:t>
      </w:r>
      <w:r>
        <w:rPr>
          <w:rFonts w:ascii="宋体" w:hAnsi="宋体"/>
          <w:spacing w:val="-4"/>
          <w:szCs w:val="21"/>
        </w:rPr>
        <w:t>，它提出</w:t>
      </w:r>
      <w:r>
        <w:rPr>
          <w:rFonts w:hint="eastAsia" w:ascii="宋体" w:hAnsi="宋体"/>
          <w:spacing w:val="-4"/>
          <w:szCs w:val="21"/>
        </w:rPr>
        <w:t>该设备本体及附属设备</w:t>
      </w:r>
      <w:r>
        <w:rPr>
          <w:rFonts w:ascii="宋体" w:hAnsi="宋体"/>
          <w:spacing w:val="-4"/>
          <w:szCs w:val="21"/>
        </w:rPr>
        <w:t>技术参数、结构、性能、试验、起吊、包装和运输等方面的技术要求。</w:t>
      </w:r>
    </w:p>
    <w:p>
      <w:pPr>
        <w:numPr>
          <w:ilvl w:val="0"/>
          <w:numId w:val="1"/>
        </w:numPr>
        <w:adjustRightInd w:val="0"/>
        <w:snapToGrid w:val="0"/>
        <w:spacing w:line="360" w:lineRule="auto"/>
        <w:rPr>
          <w:rFonts w:ascii="宋体" w:hAnsi="宋体"/>
          <w:spacing w:val="-4"/>
          <w:szCs w:val="21"/>
        </w:rPr>
      </w:pPr>
      <w:r>
        <w:rPr>
          <w:rFonts w:ascii="宋体" w:hAnsi="宋体"/>
          <w:spacing w:val="-4"/>
          <w:szCs w:val="21"/>
        </w:rPr>
        <w:t>1.2 本技术规范书提出的是最低限度的技术要求。凡本技术规范书中未规定，但在相关设备的行业标准、国家标准或IEC标准中有规定的规范条文，投标方应按相关标准的最高技术要求执行。对国家有关安全、环保等强制性标准，必须满足其要求。</w:t>
      </w:r>
    </w:p>
    <w:p>
      <w:pPr>
        <w:numPr>
          <w:ilvl w:val="0"/>
          <w:numId w:val="1"/>
        </w:numPr>
        <w:adjustRightInd w:val="0"/>
        <w:snapToGrid w:val="0"/>
        <w:spacing w:line="360" w:lineRule="auto"/>
        <w:rPr>
          <w:rFonts w:ascii="宋体" w:hAnsi="宋体"/>
          <w:spacing w:val="-4"/>
          <w:szCs w:val="21"/>
        </w:rPr>
      </w:pPr>
      <w:r>
        <w:rPr>
          <w:rFonts w:ascii="宋体" w:hAnsi="宋体"/>
          <w:spacing w:val="-4"/>
          <w:szCs w:val="21"/>
        </w:rPr>
        <w:t>1.3 如果投标方没有以书面形式对本技术规范书的条文提出异议，则意味着投标方提供的设备完全符合本技术规范书的要求。如有异议，</w:t>
      </w:r>
      <w:r>
        <w:rPr>
          <w:rFonts w:hint="eastAsia" w:ascii="宋体" w:hAnsi="宋体"/>
          <w:spacing w:val="-4"/>
          <w:szCs w:val="21"/>
        </w:rPr>
        <w:t>不管是多么微小，</w:t>
      </w:r>
      <w:r>
        <w:rPr>
          <w:rFonts w:ascii="宋体" w:hAnsi="宋体"/>
          <w:spacing w:val="-4"/>
          <w:szCs w:val="21"/>
        </w:rPr>
        <w:t>应在投标文件中以“技术偏差表”为标题的专门章节中加以详细描述。</w:t>
      </w:r>
    </w:p>
    <w:p>
      <w:pPr>
        <w:numPr>
          <w:ilvl w:val="0"/>
          <w:numId w:val="1"/>
        </w:numPr>
        <w:adjustRightInd w:val="0"/>
        <w:snapToGrid w:val="0"/>
        <w:spacing w:line="360" w:lineRule="auto"/>
        <w:rPr>
          <w:rFonts w:ascii="宋体" w:hAnsi="宋体"/>
          <w:spacing w:val="-4"/>
          <w:szCs w:val="21"/>
        </w:rPr>
      </w:pPr>
      <w:r>
        <w:rPr>
          <w:rFonts w:ascii="宋体" w:hAnsi="宋体"/>
          <w:spacing w:val="-4"/>
          <w:szCs w:val="21"/>
        </w:rPr>
        <w:t>1.4 本技术规范书所使用的标准如遇与投标方所执行的标准不一致时，按技术要求较高的标准执行。</w:t>
      </w:r>
    </w:p>
    <w:p>
      <w:pPr>
        <w:numPr>
          <w:ilvl w:val="0"/>
          <w:numId w:val="1"/>
        </w:numPr>
        <w:adjustRightInd w:val="0"/>
        <w:snapToGrid w:val="0"/>
        <w:spacing w:line="360" w:lineRule="auto"/>
        <w:rPr>
          <w:rFonts w:ascii="宋体" w:hAnsi="宋体"/>
          <w:spacing w:val="-4"/>
          <w:szCs w:val="21"/>
        </w:rPr>
      </w:pPr>
      <w:r>
        <w:rPr>
          <w:rFonts w:ascii="宋体" w:hAnsi="宋体"/>
          <w:spacing w:val="-4"/>
          <w:szCs w:val="21"/>
        </w:rPr>
        <w:t>1.5 本技术规范书经买、卖双方确认后作为订货合同的技术附件，与合同正文具有同等的法律效力。</w:t>
      </w:r>
    </w:p>
    <w:p>
      <w:pPr>
        <w:numPr>
          <w:ilvl w:val="0"/>
          <w:numId w:val="1"/>
        </w:numPr>
        <w:adjustRightInd w:val="0"/>
        <w:snapToGrid w:val="0"/>
        <w:spacing w:line="360" w:lineRule="auto"/>
        <w:rPr>
          <w:rFonts w:ascii="宋体" w:hAnsi="宋体"/>
          <w:spacing w:val="-4"/>
          <w:szCs w:val="21"/>
        </w:rPr>
      </w:pPr>
      <w:r>
        <w:rPr>
          <w:rFonts w:ascii="宋体" w:hAnsi="宋体"/>
          <w:spacing w:val="-4"/>
          <w:szCs w:val="21"/>
        </w:rPr>
        <w:t>1.6 本技术规范书未尽事宜，由买、卖双方协商确定。</w:t>
      </w:r>
    </w:p>
    <w:p>
      <w:pPr>
        <w:numPr>
          <w:ilvl w:val="0"/>
          <w:numId w:val="1"/>
        </w:numPr>
        <w:adjustRightInd w:val="0"/>
        <w:snapToGrid w:val="0"/>
        <w:spacing w:line="360" w:lineRule="auto"/>
        <w:rPr>
          <w:rFonts w:ascii="宋体" w:hAnsi="宋体"/>
          <w:spacing w:val="-4"/>
          <w:szCs w:val="21"/>
        </w:rPr>
      </w:pPr>
      <w:r>
        <w:rPr>
          <w:rFonts w:ascii="宋体" w:hAnsi="宋体"/>
          <w:spacing w:val="-4"/>
          <w:szCs w:val="21"/>
        </w:rPr>
        <w:t>1.7 投标方在投标技术文件中应如实反映投标产品与本技术规范书的技术差异。如果投标方没有提出技术差异，而在执行合同的过程中，招标方发现投标方提供的产品与其投标技术文件的条文存在差异，招标方有权利要求退货，</w:t>
      </w:r>
      <w:r>
        <w:rPr>
          <w:rFonts w:hint="eastAsia" w:ascii="宋体" w:hAnsi="宋体"/>
          <w:spacing w:val="-4"/>
          <w:szCs w:val="21"/>
        </w:rPr>
        <w:t>并将对下一年度的评标工作有不同程度的影响。</w:t>
      </w:r>
    </w:p>
    <w:p>
      <w:pPr>
        <w:numPr>
          <w:ilvl w:val="0"/>
          <w:numId w:val="1"/>
        </w:numPr>
        <w:adjustRightInd w:val="0"/>
        <w:snapToGrid w:val="0"/>
        <w:spacing w:line="360" w:lineRule="auto"/>
        <w:rPr>
          <w:rFonts w:ascii="宋体" w:hAnsi="宋体"/>
          <w:spacing w:val="-4"/>
          <w:szCs w:val="21"/>
        </w:rPr>
      </w:pPr>
      <w:r>
        <w:rPr>
          <w:rFonts w:ascii="宋体" w:hAnsi="宋体"/>
          <w:spacing w:val="-4"/>
          <w:szCs w:val="21"/>
        </w:rPr>
        <w:t>1.8 投标方应在投标技术部分按本技术规范书的要求如实详细的填写投标设备的标准配置表，并在投标商务部分按此标准配置进行报价，如发现二者有矛盾之处，将按有利于招标方的条款执行。</w:t>
      </w:r>
    </w:p>
    <w:p>
      <w:pPr>
        <w:numPr>
          <w:ilvl w:val="0"/>
          <w:numId w:val="1"/>
        </w:numPr>
        <w:adjustRightInd w:val="0"/>
        <w:snapToGrid w:val="0"/>
        <w:spacing w:line="360" w:lineRule="auto"/>
        <w:rPr>
          <w:rFonts w:ascii="宋体" w:hAnsi="宋体"/>
          <w:spacing w:val="-4"/>
          <w:szCs w:val="21"/>
        </w:rPr>
      </w:pPr>
      <w:r>
        <w:rPr>
          <w:rFonts w:ascii="宋体" w:hAnsi="宋体"/>
          <w:spacing w:val="-4"/>
          <w:szCs w:val="21"/>
        </w:rPr>
        <w:t>1.9 投标方应充分理解本技术规范书并按具体条款、格式要求填写投标的技术文件，如发现投标的技术文件条款、格式不符合本技术规范书的要求，则认为投标不严肃，在评标时将有不同程度的扣分。</w:t>
      </w:r>
      <w:bookmarkStart w:id="118" w:name="_Toc391757881"/>
      <w:bookmarkEnd w:id="118"/>
      <w:bookmarkStart w:id="119" w:name="_Toc392007885"/>
      <w:bookmarkEnd w:id="119"/>
      <w:bookmarkStart w:id="120" w:name="_Toc391987657"/>
      <w:bookmarkEnd w:id="120"/>
      <w:bookmarkStart w:id="121" w:name="_Toc241911995"/>
      <w:bookmarkStart w:id="122" w:name="_Toc155114607"/>
    </w:p>
    <w:p>
      <w:pPr>
        <w:spacing w:line="360" w:lineRule="auto"/>
        <w:sectPr>
          <w:footerReference r:id="rId8" w:type="default"/>
          <w:type w:val="continuous"/>
          <w:pgSz w:w="11906" w:h="16838"/>
          <w:pgMar w:top="1440" w:right="1780" w:bottom="1440" w:left="1780" w:header="720" w:footer="720" w:gutter="0"/>
          <w:pgNumType w:start="0"/>
          <w:cols w:space="425" w:num="1"/>
          <w:docGrid w:type="lines" w:linePitch="312" w:charSpace="0"/>
        </w:sectPr>
      </w:pPr>
    </w:p>
    <w:p>
      <w:pPr>
        <w:pStyle w:val="2"/>
        <w:numPr>
          <w:ilvl w:val="1"/>
          <w:numId w:val="3"/>
        </w:numPr>
        <w:topLinePunct/>
        <w:spacing w:before="0" w:after="0" w:line="480" w:lineRule="auto"/>
        <w:textAlignment w:val="baseline"/>
        <w:rPr>
          <w:rFonts w:ascii="黑体" w:hAnsi="黑体" w:eastAsia="黑体"/>
          <w:bCs w:val="0"/>
          <w:sz w:val="21"/>
          <w:szCs w:val="21"/>
        </w:rPr>
      </w:pPr>
      <w:bookmarkStart w:id="123" w:name="_Toc78912248"/>
      <w:r>
        <w:rPr>
          <w:rFonts w:hint="eastAsia" w:ascii="黑体" w:hAnsi="黑体" w:eastAsia="黑体"/>
          <w:bCs w:val="0"/>
          <w:sz w:val="21"/>
          <w:szCs w:val="21"/>
        </w:rPr>
        <w:t>工作</w:t>
      </w:r>
      <w:r>
        <w:rPr>
          <w:rFonts w:ascii="黑体" w:hAnsi="黑体" w:eastAsia="黑体"/>
          <w:bCs w:val="0"/>
          <w:sz w:val="21"/>
          <w:szCs w:val="21"/>
        </w:rPr>
        <w:t>范围</w:t>
      </w:r>
      <w:bookmarkEnd w:id="123"/>
    </w:p>
    <w:p>
      <w:pPr>
        <w:pStyle w:val="13"/>
        <w:numPr>
          <w:ilvl w:val="1"/>
          <w:numId w:val="0"/>
        </w:numPr>
        <w:rPr>
          <w:rFonts w:ascii="Times New Roman"/>
        </w:rPr>
      </w:pPr>
      <w:bookmarkStart w:id="124" w:name="_Toc292025343"/>
      <w:bookmarkStart w:id="125" w:name="_Toc405368412"/>
      <w:bookmarkStart w:id="126" w:name="_Toc78912249"/>
      <w:r>
        <w:rPr>
          <w:rFonts w:ascii="Times New Roman"/>
          <w:b/>
        </w:rPr>
        <w:t>2.1</w:t>
      </w:r>
      <w:bookmarkEnd w:id="124"/>
      <w:bookmarkEnd w:id="125"/>
      <w:bookmarkStart w:id="127" w:name="_Toc292025344"/>
      <w:bookmarkEnd w:id="127"/>
      <w:bookmarkStart w:id="128" w:name="_Toc405368413"/>
      <w:bookmarkEnd w:id="128"/>
      <w:r>
        <w:rPr>
          <w:rFonts w:hint="eastAsia" w:ascii="Times New Roman"/>
        </w:rPr>
        <w:t>工程概况</w:t>
      </w:r>
      <w:bookmarkEnd w:id="126"/>
    </w:p>
    <w:p>
      <w:pPr>
        <w:adjustRightInd w:val="0"/>
        <w:spacing w:line="360" w:lineRule="auto"/>
        <w:ind w:firstLine="420" w:firstLineChars="200"/>
        <w:rPr>
          <w:szCs w:val="20"/>
        </w:rPr>
      </w:pPr>
      <w:r>
        <w:rPr>
          <w:rFonts w:hint="eastAsia"/>
          <w:szCs w:val="20"/>
        </w:rPr>
        <w:t>本技术规范书采购的设备适用的工程概况详见专用部分。</w:t>
      </w:r>
    </w:p>
    <w:p>
      <w:pPr>
        <w:pStyle w:val="13"/>
        <w:numPr>
          <w:ilvl w:val="1"/>
          <w:numId w:val="0"/>
        </w:numPr>
        <w:rPr>
          <w:rFonts w:ascii="Times New Roman"/>
          <w:b/>
        </w:rPr>
      </w:pPr>
      <w:bookmarkStart w:id="129" w:name="_Toc78912250"/>
      <w:r>
        <w:rPr>
          <w:rFonts w:ascii="Times New Roman"/>
          <w:b/>
        </w:rPr>
        <w:t xml:space="preserve">2.2 </w:t>
      </w:r>
      <w:r>
        <w:rPr>
          <w:rFonts w:hint="eastAsia" w:ascii="Times New Roman"/>
        </w:rPr>
        <w:t>范围和界限</w:t>
      </w:r>
      <w:bookmarkEnd w:id="129"/>
    </w:p>
    <w:p>
      <w:pPr>
        <w:adjustRightInd w:val="0"/>
        <w:spacing w:line="360" w:lineRule="auto"/>
        <w:ind w:firstLine="420" w:firstLineChars="200"/>
        <w:rPr>
          <w:szCs w:val="20"/>
        </w:rPr>
      </w:pPr>
      <w:bookmarkStart w:id="130" w:name="_Toc292025345"/>
      <w:r>
        <w:rPr>
          <w:szCs w:val="20"/>
        </w:rPr>
        <w:t>1</w:t>
      </w:r>
      <w:r>
        <w:rPr>
          <w:rFonts w:hint="eastAsia"/>
          <w:szCs w:val="20"/>
        </w:rPr>
        <w:t>）本技术规范书适用于中国南方电网公司配网新建、扩建及改造工程，安装在户外的并运行在频率为</w:t>
      </w:r>
      <w:r>
        <w:rPr>
          <w:szCs w:val="20"/>
        </w:rPr>
        <w:t>50Hz</w:t>
      </w:r>
      <w:r>
        <w:rPr>
          <w:rFonts w:hint="eastAsia"/>
          <w:szCs w:val="20"/>
        </w:rPr>
        <w:t>、</w:t>
      </w:r>
      <w:r>
        <w:rPr>
          <w:szCs w:val="20"/>
        </w:rPr>
        <w:t>10kV</w:t>
      </w:r>
      <w:r>
        <w:rPr>
          <w:rFonts w:hint="eastAsia"/>
          <w:szCs w:val="20"/>
        </w:rPr>
        <w:t>电压等级的</w:t>
      </w:r>
      <w:r>
        <w:rPr>
          <w:rFonts w:hint="eastAsia"/>
        </w:rPr>
        <w:t>预装式变电站</w:t>
      </w:r>
      <w:r>
        <w:rPr>
          <w:rFonts w:hint="eastAsia"/>
          <w:szCs w:val="20"/>
        </w:rPr>
        <w:t>。</w:t>
      </w:r>
    </w:p>
    <w:p>
      <w:pPr>
        <w:adjustRightInd w:val="0"/>
        <w:spacing w:line="360" w:lineRule="auto"/>
        <w:ind w:firstLine="420" w:firstLineChars="200"/>
        <w:rPr>
          <w:szCs w:val="20"/>
        </w:rPr>
      </w:pPr>
      <w:r>
        <w:rPr>
          <w:szCs w:val="20"/>
        </w:rPr>
        <w:t>2</w:t>
      </w:r>
      <w:r>
        <w:rPr>
          <w:rFonts w:hint="eastAsia"/>
          <w:szCs w:val="20"/>
        </w:rPr>
        <w:t>）现场安装和试验在投标方的技术指导和监督下由招标方完成。</w:t>
      </w:r>
    </w:p>
    <w:p>
      <w:pPr>
        <w:adjustRightInd w:val="0"/>
        <w:spacing w:line="360" w:lineRule="auto"/>
        <w:ind w:firstLine="420" w:firstLineChars="200"/>
        <w:rPr>
          <w:szCs w:val="20"/>
        </w:rPr>
      </w:pPr>
      <w:r>
        <w:rPr>
          <w:szCs w:val="20"/>
        </w:rPr>
        <w:t>3</w:t>
      </w:r>
      <w:r>
        <w:rPr>
          <w:rFonts w:hint="eastAsia"/>
          <w:szCs w:val="20"/>
        </w:rPr>
        <w:t>）本技术规范书未说明，但与设计、制造、装配、试验、运输、包装、保管、安装和运行维护有关的技术要求，按条款</w:t>
      </w:r>
      <w:r>
        <w:rPr>
          <w:szCs w:val="20"/>
        </w:rPr>
        <w:t>3</w:t>
      </w:r>
      <w:r>
        <w:rPr>
          <w:rFonts w:hint="eastAsia"/>
          <w:szCs w:val="20"/>
        </w:rPr>
        <w:t>所列的有关标准执行。</w:t>
      </w:r>
    </w:p>
    <w:p>
      <w:pPr>
        <w:pStyle w:val="13"/>
        <w:numPr>
          <w:ilvl w:val="1"/>
          <w:numId w:val="0"/>
        </w:numPr>
        <w:rPr>
          <w:rFonts w:ascii="Times New Roman"/>
          <w:b/>
        </w:rPr>
      </w:pPr>
      <w:bookmarkStart w:id="131" w:name="_Toc405368414"/>
      <w:bookmarkStart w:id="132" w:name="_Toc78912251"/>
      <w:r>
        <w:rPr>
          <w:rFonts w:ascii="Times New Roman"/>
          <w:b/>
        </w:rPr>
        <w:t xml:space="preserve">2.3 </w:t>
      </w:r>
      <w:r>
        <w:rPr>
          <w:rFonts w:hint="eastAsia" w:ascii="Times New Roman"/>
        </w:rPr>
        <w:t>服务范围</w:t>
      </w:r>
      <w:bookmarkEnd w:id="130"/>
      <w:bookmarkEnd w:id="131"/>
      <w:bookmarkEnd w:id="132"/>
    </w:p>
    <w:p>
      <w:pPr>
        <w:adjustRightInd w:val="0"/>
        <w:spacing w:line="360" w:lineRule="auto"/>
        <w:ind w:firstLine="420" w:firstLineChars="200"/>
        <w:rPr>
          <w:szCs w:val="20"/>
        </w:rPr>
      </w:pPr>
      <w:r>
        <w:rPr>
          <w:szCs w:val="20"/>
        </w:rPr>
        <w:t>1</w:t>
      </w:r>
      <w:r>
        <w:rPr>
          <w:rFonts w:hint="eastAsia"/>
          <w:szCs w:val="20"/>
        </w:rPr>
        <w:t>）投标方应按本技术规范书的要求提供全新的、合格的</w:t>
      </w:r>
      <w:r>
        <w:rPr>
          <w:szCs w:val="20"/>
        </w:rPr>
        <w:t>10kV</w:t>
      </w:r>
      <w:r>
        <w:rPr>
          <w:rFonts w:hint="eastAsia"/>
          <w:szCs w:val="20"/>
        </w:rPr>
        <w:t>预装式变电站（紧凑式）及其附属设备、备品备件、专用工具和仪器。</w:t>
      </w:r>
    </w:p>
    <w:p>
      <w:pPr>
        <w:adjustRightInd w:val="0"/>
        <w:spacing w:line="360" w:lineRule="auto"/>
        <w:ind w:firstLine="420" w:firstLineChars="200"/>
        <w:rPr>
          <w:szCs w:val="20"/>
        </w:rPr>
      </w:pPr>
      <w:r>
        <w:rPr>
          <w:rFonts w:hint="eastAsia"/>
          <w:szCs w:val="20"/>
        </w:rPr>
        <w:t>投标方所提供的组件或附件如需向第三方外购时，投标方应对质量向招标方负责，并提供相应出厂和验收报告。</w:t>
      </w:r>
    </w:p>
    <w:p>
      <w:pPr>
        <w:adjustRightInd w:val="0"/>
        <w:spacing w:line="360" w:lineRule="auto"/>
        <w:ind w:firstLine="420" w:firstLineChars="200"/>
        <w:rPr>
          <w:szCs w:val="20"/>
        </w:rPr>
      </w:pPr>
      <w:r>
        <w:rPr>
          <w:szCs w:val="20"/>
        </w:rPr>
        <w:t>2</w:t>
      </w:r>
      <w:r>
        <w:rPr>
          <w:rFonts w:hint="eastAsia"/>
          <w:szCs w:val="20"/>
        </w:rPr>
        <w:t>）供货范围</w:t>
      </w:r>
      <w:bookmarkStart w:id="133" w:name="_Toc282433715"/>
      <w:bookmarkStart w:id="134" w:name="_Toc283142589"/>
      <w:bookmarkStart w:id="135" w:name="_Toc283011667"/>
      <w:r>
        <w:rPr>
          <w:rFonts w:hint="eastAsia"/>
          <w:szCs w:val="20"/>
        </w:rPr>
        <w:t>一览表</w:t>
      </w:r>
      <w:bookmarkEnd w:id="133"/>
      <w:bookmarkEnd w:id="134"/>
      <w:bookmarkEnd w:id="135"/>
    </w:p>
    <w:p>
      <w:pPr>
        <w:adjustRightInd w:val="0"/>
        <w:spacing w:line="360" w:lineRule="auto"/>
        <w:ind w:firstLine="420" w:firstLineChars="200"/>
        <w:rPr>
          <w:szCs w:val="20"/>
        </w:rPr>
      </w:pPr>
      <w:r>
        <w:rPr>
          <w:rFonts w:hint="eastAsia"/>
          <w:szCs w:val="20"/>
        </w:rPr>
        <w:t>供货范围及设备技术规格一览表详见专用部分</w:t>
      </w:r>
      <w:r>
        <w:rPr>
          <w:szCs w:val="20"/>
        </w:rPr>
        <w:t>2.1</w:t>
      </w:r>
      <w:r>
        <w:rPr>
          <w:rFonts w:hint="eastAsia"/>
          <w:szCs w:val="20"/>
        </w:rPr>
        <w:t>。</w:t>
      </w:r>
    </w:p>
    <w:p>
      <w:pPr>
        <w:numPr>
          <w:ilvl w:val="0"/>
          <w:numId w:val="4"/>
        </w:numPr>
        <w:adjustRightInd w:val="0"/>
        <w:spacing w:line="360" w:lineRule="auto"/>
        <w:ind w:firstLine="420" w:firstLineChars="200"/>
        <w:rPr>
          <w:szCs w:val="20"/>
        </w:rPr>
      </w:pPr>
      <w:r>
        <w:rPr>
          <w:rFonts w:hint="eastAsia"/>
          <w:szCs w:val="20"/>
        </w:rPr>
        <w:t>工厂试验由投标方在生产厂家内完成，但应有招标方代表参加</w:t>
      </w:r>
      <w:r>
        <w:rPr>
          <w:szCs w:val="20"/>
        </w:rPr>
        <w:t xml:space="preserve">, </w:t>
      </w:r>
      <w:r>
        <w:rPr>
          <w:rFonts w:hint="eastAsia"/>
          <w:szCs w:val="20"/>
        </w:rPr>
        <w:t>参加工厂验收的人数及天数等规定详见规范书商务部分。</w:t>
      </w:r>
    </w:p>
    <w:p>
      <w:pPr>
        <w:numPr>
          <w:ilvl w:val="0"/>
          <w:numId w:val="4"/>
        </w:numPr>
        <w:adjustRightInd w:val="0"/>
        <w:spacing w:line="360" w:lineRule="auto"/>
        <w:ind w:firstLine="420" w:firstLineChars="200"/>
        <w:rPr>
          <w:szCs w:val="20"/>
        </w:rPr>
      </w:pPr>
      <w:r>
        <w:t>招标方</w:t>
      </w:r>
      <w:r>
        <w:rPr>
          <w:rFonts w:hint="eastAsia"/>
        </w:rPr>
        <w:t>有权对正在制造或制造完毕的产品，选择一定数量进行抽查测试，检测产品质量或验证供应商试验的真实性，投标方应配合招标方方做好抽查测试，费用由招标方承担。若有合同设备经检验和抽检不符合技术规范的要求，</w:t>
      </w:r>
      <w:r>
        <w:t>招标方</w:t>
      </w:r>
      <w:r>
        <w:rPr>
          <w:rFonts w:hint="eastAsia"/>
        </w:rPr>
        <w:t>可拒收，并不承担费用。</w:t>
      </w:r>
      <w:r>
        <w:t>招标方</w:t>
      </w:r>
      <w:r>
        <w:rPr>
          <w:rFonts w:hint="eastAsia"/>
        </w:rPr>
        <w:t>有权对正在制造的产品进行重点环节的监造，费用由招标方承担。</w:t>
      </w:r>
    </w:p>
    <w:p>
      <w:pPr>
        <w:adjustRightInd w:val="0"/>
        <w:spacing w:line="360" w:lineRule="auto"/>
        <w:ind w:firstLine="420" w:firstLineChars="200"/>
        <w:rPr>
          <w:szCs w:val="20"/>
        </w:rPr>
      </w:pPr>
      <w:r>
        <w:rPr>
          <w:rFonts w:hint="eastAsia"/>
          <w:szCs w:val="20"/>
        </w:rPr>
        <w:t>5）现场安装和试验在投标方的技术指导下由招标方完成，投标方协助招标方按标准检查安装质量，处理调试投运过程中出现的问题，并提供备品、备件，做好销售服务工作。投标方应选派有经验的技术人员，对安装和运行人员免费培训。安装督导的工作范围及人数和天数等规定详见规范书商务部分。</w:t>
      </w:r>
    </w:p>
    <w:p>
      <w:pPr>
        <w:adjustRightInd w:val="0"/>
        <w:spacing w:line="360" w:lineRule="auto"/>
        <w:ind w:firstLine="420" w:firstLineChars="200"/>
        <w:rPr>
          <w:szCs w:val="20"/>
        </w:rPr>
      </w:pPr>
      <w:r>
        <w:rPr>
          <w:rFonts w:hint="eastAsia"/>
          <w:szCs w:val="20"/>
        </w:rPr>
        <w:t>6）投标方应协助招标方解决设备运行中出现的问题。</w:t>
      </w:r>
    </w:p>
    <w:p>
      <w:pPr>
        <w:adjustRightInd w:val="0"/>
        <w:spacing w:line="360" w:lineRule="auto"/>
        <w:ind w:firstLine="420" w:firstLineChars="200"/>
        <w:rPr>
          <w:szCs w:val="20"/>
        </w:rPr>
      </w:pPr>
      <w:r>
        <w:rPr>
          <w:rFonts w:hint="eastAsia"/>
          <w:szCs w:val="20"/>
        </w:rPr>
        <w:t>7）设计联络会议的地点及招标方参加人员的人数和天数等规定详见规范书商务部分。</w:t>
      </w:r>
    </w:p>
    <w:p>
      <w:pPr>
        <w:adjustRightInd w:val="0"/>
        <w:spacing w:line="360" w:lineRule="auto"/>
        <w:ind w:firstLine="420" w:firstLineChars="200"/>
        <w:rPr>
          <w:szCs w:val="20"/>
        </w:rPr>
      </w:pPr>
      <w:r>
        <w:rPr>
          <w:rFonts w:hint="eastAsia"/>
          <w:szCs w:val="20"/>
        </w:rPr>
        <w:t>8）设备安装、调试和性能试验合格后方可投运。设备投运并稳定运行后，投标方和招标方（业主）双方应根据相关法律、法规和公司管理制度签署合同设备的验收证明书。该证明书共两份，双方各执一份。</w:t>
      </w:r>
    </w:p>
    <w:p>
      <w:pPr>
        <w:adjustRightInd w:val="0"/>
        <w:spacing w:line="360" w:lineRule="auto"/>
        <w:ind w:firstLine="420" w:firstLineChars="200"/>
        <w:rPr>
          <w:szCs w:val="20"/>
        </w:rPr>
      </w:pPr>
      <w:r>
        <w:rPr>
          <w:rFonts w:hint="eastAsia"/>
          <w:szCs w:val="20"/>
        </w:rPr>
        <w:t>9）如果安装、调试、性能试验、试运行及质保期内技术指标一项或多项不能满足合同技术部分要求，招、投标双方共同分析原因，分清责任，如属制造方面的原因，或涉及索赔部分，按商务部分有关条款执行。</w:t>
      </w:r>
      <w:bookmarkEnd w:id="121"/>
      <w:bookmarkEnd w:id="122"/>
    </w:p>
    <w:p>
      <w:pPr>
        <w:pStyle w:val="14"/>
        <w:numPr>
          <w:ilvl w:val="1"/>
          <w:numId w:val="5"/>
        </w:numPr>
        <w:spacing w:before="312" w:beforeLines="100" w:after="312" w:afterLines="100" w:line="416" w:lineRule="exact"/>
        <w:outlineLvl w:val="0"/>
        <w:rPr>
          <w:rFonts w:hAnsi="宋体"/>
        </w:rPr>
      </w:pPr>
      <w:bookmarkStart w:id="136" w:name="_Toc405368415"/>
      <w:bookmarkStart w:id="137" w:name="_Toc78912252"/>
      <w:bookmarkStart w:id="138" w:name="_Toc419730944"/>
      <w:bookmarkStart w:id="139" w:name="_Toc292025346"/>
      <w:r>
        <w:rPr>
          <w:rFonts w:hAnsi="宋体"/>
        </w:rPr>
        <w:t>应遵循的主要标准</w:t>
      </w:r>
      <w:bookmarkEnd w:id="136"/>
      <w:bookmarkEnd w:id="137"/>
      <w:bookmarkEnd w:id="138"/>
      <w:bookmarkEnd w:id="139"/>
    </w:p>
    <w:p>
      <w:pPr>
        <w:adjustRightInd w:val="0"/>
        <w:spacing w:line="360" w:lineRule="auto"/>
        <w:ind w:firstLine="420" w:firstLineChars="200"/>
        <w:rPr>
          <w:szCs w:val="20"/>
        </w:rPr>
      </w:pPr>
      <w:r>
        <w:rPr>
          <w:rFonts w:hint="eastAsia"/>
          <w:szCs w:val="20"/>
        </w:rPr>
        <w:t>除本技术规范书特殊规定外，投标方所提供的设备均按规定的标准和规程的最新版本进行设计、制造、试验和安装。如果这些标准内容有矛盾时，应按技术要求最高的条款执行或按双方商定的标准执行。如果投标方选用本技术规范书规定以外的标准时，则需提交这种替换标准供审查和分析。仅在投标方已证明替换标准相当或优于技术规范书规定的标准，并从招标方处获得书面的认可才能使用。提交供审查的标准应为中文版本。</w:t>
      </w:r>
    </w:p>
    <w:p>
      <w:pPr>
        <w:adjustRightInd w:val="0"/>
        <w:spacing w:line="360" w:lineRule="auto"/>
        <w:ind w:firstLine="420" w:firstLineChars="200"/>
        <w:rPr>
          <w:szCs w:val="20"/>
        </w:rPr>
      </w:pPr>
      <w:r>
        <w:rPr>
          <w:rFonts w:hint="eastAsia"/>
          <w:szCs w:val="20"/>
        </w:rPr>
        <w:t>下列文件中的条款通过本规范的引用而成为本规范的条款。凡是注日期的引用文件，其随后所有的修改单（不包括勘误的内容）或修订版均不适用于本规范。凡是不注日期的引用文件，其最新版本适用于本规范。</w:t>
      </w:r>
    </w:p>
    <w:p>
      <w:pPr>
        <w:spacing w:line="360" w:lineRule="auto"/>
        <w:ind w:firstLine="420" w:firstLineChars="200"/>
      </w:pPr>
      <w:r>
        <w:t>GB/</w:t>
      </w:r>
      <w:r>
        <w:rPr>
          <w:rFonts w:hint="eastAsia"/>
        </w:rPr>
        <w:t>T</w:t>
      </w:r>
      <w:r>
        <w:t xml:space="preserve"> 1094</w:t>
      </w:r>
      <w:r>
        <w:tab/>
      </w:r>
      <w:r>
        <w:tab/>
      </w:r>
      <w:r>
        <w:rPr>
          <w:rFonts w:hint="eastAsia"/>
        </w:rPr>
        <w:t>电力变压器</w:t>
      </w:r>
    </w:p>
    <w:p>
      <w:pPr>
        <w:spacing w:line="360" w:lineRule="auto"/>
        <w:ind w:firstLine="420" w:firstLineChars="200"/>
      </w:pPr>
      <w:r>
        <w:t>GB 2536</w:t>
      </w:r>
      <w:r>
        <w:tab/>
      </w:r>
      <w:r>
        <w:tab/>
      </w:r>
      <w:r>
        <w:tab/>
      </w:r>
      <w:r>
        <w:rPr>
          <w:rFonts w:hint="eastAsia"/>
        </w:rPr>
        <w:t>电工流体 变压器油和开关用的未使用过的矿物绝缘油</w:t>
      </w:r>
    </w:p>
    <w:p>
      <w:pPr>
        <w:spacing w:line="360" w:lineRule="auto"/>
        <w:ind w:firstLine="420" w:firstLineChars="200"/>
      </w:pPr>
      <w:r>
        <w:t>GB 3096</w:t>
      </w:r>
      <w:r>
        <w:tab/>
      </w:r>
      <w:r>
        <w:tab/>
      </w:r>
      <w:r>
        <w:tab/>
      </w:r>
      <w:r>
        <w:rPr>
          <w:rFonts w:hint="eastAsia"/>
        </w:rPr>
        <w:t>声环境质量标准</w:t>
      </w:r>
    </w:p>
    <w:p>
      <w:pPr>
        <w:spacing w:line="360" w:lineRule="auto"/>
        <w:ind w:firstLine="420" w:firstLineChars="200"/>
      </w:pPr>
      <w:r>
        <w:t>GB 3804         3.6kV</w:t>
      </w:r>
      <w:r>
        <w:rPr>
          <w:rFonts w:hint="eastAsia"/>
        </w:rPr>
        <w:t>～</w:t>
      </w:r>
      <w:r>
        <w:t>40.5kV</w:t>
      </w:r>
      <w:r>
        <w:rPr>
          <w:rFonts w:hint="eastAsia"/>
        </w:rPr>
        <w:t>高压交流负荷开关</w:t>
      </w:r>
    </w:p>
    <w:p>
      <w:pPr>
        <w:spacing w:line="360" w:lineRule="auto"/>
        <w:ind w:firstLine="420" w:firstLineChars="200"/>
      </w:pPr>
      <w:r>
        <w:t>GB 3906</w:t>
      </w:r>
      <w:r>
        <w:tab/>
      </w:r>
      <w:r>
        <w:tab/>
      </w:r>
      <w:r>
        <w:tab/>
      </w:r>
      <w:r>
        <w:t>3.6kV</w:t>
      </w:r>
      <w:r>
        <w:rPr>
          <w:rFonts w:hint="eastAsia"/>
        </w:rPr>
        <w:t>～</w:t>
      </w:r>
      <w:r>
        <w:t>40.5kV</w:t>
      </w:r>
      <w:r>
        <w:rPr>
          <w:rFonts w:hint="eastAsia"/>
        </w:rPr>
        <w:t>交流金属封闭开关设备和控制设备</w:t>
      </w:r>
    </w:p>
    <w:p>
      <w:pPr>
        <w:spacing w:line="360" w:lineRule="auto"/>
        <w:ind w:firstLine="420" w:firstLineChars="200"/>
        <w:rPr>
          <w:szCs w:val="21"/>
        </w:rPr>
      </w:pPr>
      <w:r>
        <w:fldChar w:fldCharType="begin"/>
      </w:r>
      <w:r>
        <w:instrText xml:space="preserve"> HYPERLINK "http://172.18.17.61/page/tbsbrowser.cbs?urlname=tbss%3A%2F%2F2Ui9i38FjdR4eWYglMHt8hfJ8SriPxDp0W3uM1xK3xYMt21gRcWz5SlKb1NWrpRNhnZ38qVziTlfwhSq1ELkgCd8afSSYnrI0H2C6cgNo92I96RFCkbJ%2F9ga%2DUtzDuSqK8dVCbZw7WrbqzLfIcqHdx1XxXVaGRhBWHNtYUBZquW0R8NAjBWwmBElmb8enawyoUc%2D9VeHRhto44mTXc6UBaZ2Q6j%2FMcCnyea7b7XKRc4XdSmifHGCx82jRVB6mMn7jjjZybEdHsg" \t "_blank" </w:instrText>
      </w:r>
      <w:r>
        <w:fldChar w:fldCharType="separate"/>
      </w:r>
      <w:r>
        <w:t>GB/</w:t>
      </w:r>
      <w:r>
        <w:rPr>
          <w:rFonts w:hint="eastAsia"/>
        </w:rPr>
        <w:t>T</w:t>
      </w:r>
      <w:r>
        <w:t xml:space="preserve"> 4208</w:t>
      </w:r>
      <w:r>
        <w:fldChar w:fldCharType="end"/>
      </w:r>
      <w:r>
        <w:tab/>
      </w:r>
      <w:r>
        <w:tab/>
      </w:r>
      <w:r>
        <w:fldChar w:fldCharType="begin"/>
      </w:r>
      <w:r>
        <w:instrText xml:space="preserve"> HYPERLINK "http://172.18.17.61/page/tbsbrowser.cbs?urlname=tbss%3A%2F%2F2Ui9i38FjdR4eWYglMHt8hfJ8SriPxDp0W3uM1xK3xYMt21gRcWz5SlKb1NWrpRNhnZ38qVziTlfwhSq1ELkgCd8afSSYnrI0H2C6cgNo92I96RFCkbJ%2F9ga%2DUtzDuSqK8dVCbZw7WrbqzLfIcqHdx1XxXVaGRhBWHNtYUBZquW0R8NAjBWwmBElmb8enawyoUc%2D9VeHRhto44mTXc6UBaZ2Q6j%2FMcCnyea7b7XKRc4XdSmifHGCx82jRVB6mMn7jjjZybEdHsg" \t "_blank" </w:instrText>
      </w:r>
      <w:r>
        <w:fldChar w:fldCharType="separate"/>
      </w:r>
      <w:r>
        <w:t>外壳防护等级(IP代码)</w:t>
      </w:r>
      <w:r>
        <w:fldChar w:fldCharType="end"/>
      </w:r>
    </w:p>
    <w:p>
      <w:pPr>
        <w:spacing w:line="360" w:lineRule="auto"/>
        <w:ind w:firstLine="420" w:firstLineChars="200"/>
      </w:pPr>
      <w:r>
        <w:rPr>
          <w:szCs w:val="21"/>
        </w:rPr>
        <w:t>GB/</w:t>
      </w:r>
      <w:r>
        <w:rPr>
          <w:rFonts w:hint="eastAsia"/>
          <w:szCs w:val="21"/>
        </w:rPr>
        <w:t>T</w:t>
      </w:r>
      <w:r>
        <w:rPr>
          <w:szCs w:val="21"/>
        </w:rPr>
        <w:t xml:space="preserve"> 7251</w:t>
      </w:r>
      <w:r>
        <w:rPr>
          <w:szCs w:val="21"/>
        </w:rPr>
        <w:tab/>
      </w:r>
      <w:r>
        <w:rPr>
          <w:szCs w:val="21"/>
        </w:rPr>
        <w:tab/>
      </w:r>
      <w:r>
        <w:rPr>
          <w:rFonts w:hint="eastAsia"/>
          <w:szCs w:val="21"/>
        </w:rPr>
        <w:t>低压成套开关设备和控制设备</w:t>
      </w:r>
    </w:p>
    <w:p>
      <w:pPr>
        <w:pStyle w:val="3"/>
        <w:spacing w:line="360" w:lineRule="auto"/>
        <w:ind w:firstLine="420" w:firstLineChars="200"/>
        <w:rPr>
          <w:rFonts w:ascii="Times New Roman" w:hAnsi="Times New Roman"/>
          <w:szCs w:val="21"/>
        </w:rPr>
      </w:pPr>
      <w:r>
        <w:rPr>
          <w:rFonts w:ascii="Times New Roman" w:hAnsi="Times New Roman"/>
          <w:szCs w:val="21"/>
        </w:rPr>
        <w:t>GB/T 11022</w:t>
      </w:r>
      <w:r>
        <w:rPr>
          <w:rFonts w:ascii="Times New Roman" w:hAnsi="Times New Roman"/>
          <w:szCs w:val="21"/>
        </w:rPr>
        <w:tab/>
      </w:r>
      <w:r>
        <w:rPr>
          <w:rFonts w:ascii="Times New Roman" w:hAnsi="Times New Roman"/>
          <w:szCs w:val="21"/>
        </w:rPr>
        <w:tab/>
      </w:r>
      <w:r>
        <w:rPr>
          <w:rFonts w:hint="eastAsia" w:ascii="Times New Roman" w:hAnsi="Times New Roman"/>
          <w:szCs w:val="21"/>
        </w:rPr>
        <w:t>高压开关设备和控制设备标准的共用技术要求</w:t>
      </w:r>
    </w:p>
    <w:p>
      <w:pPr>
        <w:pStyle w:val="3"/>
        <w:spacing w:line="360" w:lineRule="auto"/>
        <w:ind w:firstLine="420" w:firstLineChars="200"/>
        <w:rPr>
          <w:rFonts w:ascii="Times New Roman" w:hAnsi="Times New Roman"/>
          <w:szCs w:val="21"/>
        </w:rPr>
      </w:pPr>
      <w:r>
        <w:rPr>
          <w:rFonts w:ascii="Times New Roman" w:hAnsi="Times New Roman"/>
          <w:szCs w:val="21"/>
        </w:rPr>
        <w:t xml:space="preserve">GB/T 12022      </w:t>
      </w:r>
      <w:r>
        <w:rPr>
          <w:rFonts w:hint="eastAsia" w:ascii="Times New Roman" w:hAnsi="Times New Roman"/>
          <w:szCs w:val="21"/>
        </w:rPr>
        <w:t>工业六氟化硫</w:t>
      </w:r>
    </w:p>
    <w:p>
      <w:pPr>
        <w:pStyle w:val="3"/>
        <w:spacing w:line="360" w:lineRule="auto"/>
        <w:ind w:firstLine="420" w:firstLineChars="200"/>
        <w:rPr>
          <w:rFonts w:ascii="Times New Roman" w:hAnsi="Times New Roman"/>
          <w:szCs w:val="21"/>
        </w:rPr>
      </w:pPr>
      <w:r>
        <w:rPr>
          <w:rFonts w:ascii="Times New Roman" w:hAnsi="Times New Roman"/>
          <w:szCs w:val="21"/>
        </w:rPr>
        <w:t>GB/T 14048</w:t>
      </w:r>
      <w:r>
        <w:rPr>
          <w:rFonts w:ascii="Times New Roman" w:hAnsi="Times New Roman"/>
          <w:szCs w:val="21"/>
        </w:rPr>
        <w:tab/>
      </w:r>
      <w:r>
        <w:rPr>
          <w:rFonts w:ascii="Times New Roman" w:hAnsi="Times New Roman"/>
          <w:szCs w:val="21"/>
        </w:rPr>
        <w:tab/>
      </w:r>
      <w:r>
        <w:rPr>
          <w:rFonts w:hint="eastAsia" w:ascii="Times New Roman" w:hAnsi="Times New Roman"/>
          <w:szCs w:val="21"/>
        </w:rPr>
        <w:t>低压开关设备和控制设备</w:t>
      </w:r>
    </w:p>
    <w:p>
      <w:pPr>
        <w:spacing w:line="360" w:lineRule="auto"/>
        <w:ind w:firstLine="420" w:firstLineChars="200"/>
      </w:pPr>
      <w:r>
        <w:rPr>
          <w:rFonts w:hint="eastAsia"/>
        </w:rPr>
        <w:t>GB/T 15576      低压成套无功功率补偿装置</w:t>
      </w:r>
    </w:p>
    <w:p>
      <w:pPr>
        <w:spacing w:line="360" w:lineRule="auto"/>
        <w:ind w:firstLine="420" w:firstLineChars="200"/>
      </w:pPr>
      <w:r>
        <w:t xml:space="preserve">GB 16926        </w:t>
      </w:r>
      <w:r>
        <w:rPr>
          <w:rFonts w:hint="eastAsia"/>
        </w:rPr>
        <w:t>交流高压负荷开关</w:t>
      </w:r>
      <w:r>
        <w:t>-</w:t>
      </w:r>
      <w:r>
        <w:rPr>
          <w:rFonts w:hint="eastAsia"/>
        </w:rPr>
        <w:t>熔断器组合电器</w:t>
      </w:r>
    </w:p>
    <w:p>
      <w:pPr>
        <w:spacing w:line="360" w:lineRule="auto"/>
        <w:ind w:firstLine="420" w:firstLineChars="200"/>
      </w:pPr>
      <w:r>
        <w:t>GB</w:t>
      </w:r>
      <w:r>
        <w:rPr>
          <w:rFonts w:hint="eastAsia"/>
        </w:rPr>
        <w:t>/T</w:t>
      </w:r>
      <w:r>
        <w:t xml:space="preserve"> 17467</w:t>
      </w:r>
      <w:r>
        <w:tab/>
      </w:r>
      <w:r>
        <w:tab/>
      </w:r>
      <w:r>
        <w:rPr>
          <w:rFonts w:hint="eastAsia"/>
        </w:rPr>
        <w:t>高压</w:t>
      </w:r>
      <w:r>
        <w:t>/</w:t>
      </w:r>
      <w:r>
        <w:rPr>
          <w:rFonts w:hint="eastAsia"/>
        </w:rPr>
        <w:t>低压预装式变电站</w:t>
      </w:r>
    </w:p>
    <w:p>
      <w:pPr>
        <w:spacing w:line="360" w:lineRule="auto"/>
        <w:ind w:firstLine="420" w:firstLineChars="200"/>
      </w:pPr>
      <w:r>
        <w:t>GB 20052</w:t>
      </w:r>
      <w:r>
        <w:tab/>
      </w:r>
      <w:r>
        <w:tab/>
      </w:r>
      <w:r>
        <w:rPr>
          <w:rFonts w:hint="eastAsia"/>
        </w:rPr>
        <w:t>电力</w:t>
      </w:r>
      <w:r>
        <w:t>变压器能效限定值及能效等级</w:t>
      </w:r>
    </w:p>
    <w:p>
      <w:pPr>
        <w:spacing w:line="360" w:lineRule="auto"/>
        <w:ind w:firstLine="420" w:firstLineChars="200"/>
      </w:pPr>
      <w:r>
        <w:rPr>
          <w:rFonts w:hint="eastAsia"/>
        </w:rPr>
        <w:t>GB50016         建筑设计防火规范</w:t>
      </w:r>
    </w:p>
    <w:p>
      <w:pPr>
        <w:spacing w:line="360" w:lineRule="auto"/>
        <w:ind w:firstLine="420" w:firstLineChars="200"/>
      </w:pPr>
      <w:r>
        <w:rPr>
          <w:rFonts w:hint="eastAsia"/>
        </w:rPr>
        <w:t>GB 50150        电气设备交接试验标准</w:t>
      </w:r>
    </w:p>
    <w:p>
      <w:pPr>
        <w:pStyle w:val="3"/>
        <w:spacing w:line="360" w:lineRule="auto"/>
        <w:ind w:firstLine="420" w:firstLineChars="200"/>
        <w:rPr>
          <w:rFonts w:ascii="Times New Roman" w:hAnsi="Times New Roman"/>
          <w:szCs w:val="21"/>
        </w:rPr>
      </w:pPr>
      <w:r>
        <w:rPr>
          <w:rFonts w:ascii="Times New Roman" w:hAnsi="Times New Roman"/>
          <w:szCs w:val="21"/>
        </w:rPr>
        <w:t>DL/T 404</w:t>
      </w:r>
      <w:r>
        <w:rPr>
          <w:rFonts w:ascii="Times New Roman" w:hAnsi="Times New Roman"/>
          <w:szCs w:val="21"/>
        </w:rPr>
        <w:tab/>
      </w:r>
      <w:r>
        <w:rPr>
          <w:rFonts w:ascii="Times New Roman" w:hAnsi="Times New Roman"/>
          <w:szCs w:val="21"/>
        </w:rPr>
        <w:tab/>
      </w:r>
      <w:r>
        <w:rPr>
          <w:rFonts w:ascii="Times New Roman" w:hAnsi="Times New Roman"/>
          <w:szCs w:val="21"/>
        </w:rPr>
        <w:tab/>
      </w:r>
      <w:r>
        <w:fldChar w:fldCharType="begin"/>
      </w:r>
      <w:r>
        <w:instrText xml:space="preserve"> HYPERLINK "javascript:GetBzMxAndShow(%2215020%22);" </w:instrText>
      </w:r>
      <w:r>
        <w:fldChar w:fldCharType="separate"/>
      </w:r>
      <w:r>
        <w:rPr>
          <w:rFonts w:ascii="Times New Roman" w:hAnsi="Times New Roman"/>
          <w:szCs w:val="21"/>
        </w:rPr>
        <w:t>3.6kV</w:t>
      </w:r>
      <w:r>
        <w:rPr>
          <w:rFonts w:hint="eastAsia" w:ascii="Times New Roman" w:hAnsi="Times New Roman"/>
          <w:szCs w:val="21"/>
        </w:rPr>
        <w:t>～</w:t>
      </w:r>
      <w:r>
        <w:rPr>
          <w:rFonts w:ascii="Times New Roman" w:hAnsi="Times New Roman"/>
          <w:szCs w:val="21"/>
        </w:rPr>
        <w:t>40.5kV</w:t>
      </w:r>
      <w:r>
        <w:rPr>
          <w:rFonts w:hint="eastAsia" w:ascii="Times New Roman" w:hAnsi="Times New Roman"/>
          <w:szCs w:val="21"/>
        </w:rPr>
        <w:t>交流金属封闭开关设备和控制设备</w:t>
      </w:r>
      <w:r>
        <w:rPr>
          <w:rFonts w:hint="eastAsia" w:ascii="Times New Roman" w:hAnsi="Times New Roman"/>
          <w:szCs w:val="21"/>
        </w:rPr>
        <w:fldChar w:fldCharType="end"/>
      </w:r>
    </w:p>
    <w:p>
      <w:pPr>
        <w:spacing w:line="360" w:lineRule="auto"/>
        <w:ind w:firstLine="420" w:firstLineChars="200"/>
      </w:pPr>
      <w:r>
        <w:rPr>
          <w:szCs w:val="21"/>
        </w:rPr>
        <w:t>DL/T 448</w:t>
      </w:r>
      <w:r>
        <w:rPr>
          <w:szCs w:val="21"/>
        </w:rPr>
        <w:tab/>
      </w:r>
      <w:r>
        <w:rPr>
          <w:szCs w:val="21"/>
        </w:rPr>
        <w:tab/>
      </w:r>
      <w:r>
        <w:rPr>
          <w:szCs w:val="21"/>
        </w:rPr>
        <w:tab/>
      </w:r>
      <w:r>
        <w:fldChar w:fldCharType="begin"/>
      </w:r>
      <w:r>
        <w:instrText xml:space="preserve"> HYPERLINK "http://wenku.baidu.com/view/9b9a924de518964bcf847c7c.html" \t "_blank" </w:instrText>
      </w:r>
      <w:r>
        <w:fldChar w:fldCharType="separate"/>
      </w:r>
      <w:r>
        <w:rPr>
          <w:rStyle w:val="11"/>
          <w:rFonts w:hint="eastAsia"/>
          <w:szCs w:val="21"/>
        </w:rPr>
        <w:t>电能计量装置技术管理规程</w:t>
      </w:r>
      <w:r>
        <w:rPr>
          <w:rStyle w:val="11"/>
          <w:rFonts w:hint="eastAsia"/>
          <w:szCs w:val="21"/>
        </w:rPr>
        <w:fldChar w:fldCharType="end"/>
      </w:r>
    </w:p>
    <w:p>
      <w:pPr>
        <w:pStyle w:val="3"/>
        <w:spacing w:line="360" w:lineRule="auto"/>
        <w:ind w:firstLine="420" w:firstLineChars="200"/>
        <w:rPr>
          <w:rFonts w:ascii="Times New Roman" w:hAnsi="Times New Roman"/>
          <w:szCs w:val="21"/>
        </w:rPr>
      </w:pPr>
      <w:r>
        <w:rPr>
          <w:rFonts w:ascii="Times New Roman" w:hAnsi="Times New Roman"/>
          <w:szCs w:val="21"/>
        </w:rPr>
        <w:t>DL/T 537</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高压</w:t>
      </w:r>
      <w:r>
        <w:rPr>
          <w:rFonts w:ascii="Times New Roman" w:hAnsi="Times New Roman"/>
          <w:szCs w:val="21"/>
        </w:rPr>
        <w:t>/</w:t>
      </w:r>
      <w:r>
        <w:rPr>
          <w:rFonts w:hint="eastAsia" w:ascii="Times New Roman" w:hAnsi="Times New Roman"/>
          <w:szCs w:val="21"/>
        </w:rPr>
        <w:t>低压预装箱式变电站选用导则</w:t>
      </w:r>
    </w:p>
    <w:p>
      <w:pPr>
        <w:pStyle w:val="3"/>
        <w:spacing w:line="360" w:lineRule="auto"/>
        <w:ind w:firstLine="420" w:firstLineChars="200"/>
        <w:rPr>
          <w:rFonts w:ascii="Times New Roman" w:hAnsi="Times New Roman"/>
          <w:szCs w:val="21"/>
        </w:rPr>
      </w:pPr>
      <w:r>
        <w:rPr>
          <w:rFonts w:hint="eastAsia" w:ascii="Times New Roman" w:hAnsi="Times New Roman"/>
          <w:szCs w:val="21"/>
        </w:rPr>
        <w:t>DL</w:t>
      </w:r>
      <w:r>
        <w:rPr>
          <w:rFonts w:ascii="Times New Roman" w:hAnsi="Times New Roman"/>
          <w:szCs w:val="21"/>
        </w:rPr>
        <w:t>/T</w:t>
      </w:r>
      <w:r>
        <w:rPr>
          <w:rFonts w:hint="eastAsia" w:ascii="Times New Roman" w:hAnsi="Times New Roman"/>
          <w:szCs w:val="21"/>
          <w:lang w:val="en-US"/>
        </w:rPr>
        <w:t xml:space="preserve"> </w:t>
      </w:r>
      <w:r>
        <w:rPr>
          <w:rFonts w:hint="eastAsia" w:ascii="Times New Roman" w:hAnsi="Times New Roman"/>
          <w:szCs w:val="21"/>
        </w:rPr>
        <w:t>586        电力设备用户监造技术导则</w:t>
      </w:r>
    </w:p>
    <w:p>
      <w:pPr>
        <w:pStyle w:val="3"/>
        <w:spacing w:line="360" w:lineRule="auto"/>
        <w:ind w:firstLine="420" w:firstLineChars="200"/>
        <w:rPr>
          <w:rStyle w:val="11"/>
          <w:szCs w:val="21"/>
        </w:rPr>
      </w:pPr>
      <w:r>
        <w:rPr>
          <w:rFonts w:ascii="Times New Roman" w:hAnsi="Times New Roman"/>
          <w:szCs w:val="21"/>
        </w:rPr>
        <w:t>DL/T 621</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交流电气装置的接地</w:t>
      </w:r>
    </w:p>
    <w:p>
      <w:pPr>
        <w:pStyle w:val="3"/>
        <w:spacing w:line="360" w:lineRule="auto"/>
        <w:ind w:firstLine="420" w:firstLineChars="200"/>
        <w:rPr>
          <w:rFonts w:ascii="Times New Roman" w:hAnsi="Times New Roman"/>
          <w:szCs w:val="21"/>
        </w:rPr>
      </w:pPr>
      <w:r>
        <w:rPr>
          <w:rFonts w:ascii="Times New Roman" w:hAnsi="Times New Roman"/>
          <w:szCs w:val="21"/>
        </w:rPr>
        <w:t>DL</w:t>
      </w:r>
      <w:r>
        <w:rPr>
          <w:rFonts w:ascii="Times New Roman" w:hAnsi="Times New Roman"/>
        </w:rPr>
        <w:t>/</w:t>
      </w:r>
      <w:r>
        <w:rPr>
          <w:rFonts w:ascii="Times New Roman" w:hAnsi="Times New Roman"/>
          <w:szCs w:val="21"/>
        </w:rPr>
        <w:t>T</w:t>
      </w:r>
      <w:r>
        <w:rPr>
          <w:rFonts w:hint="eastAsia" w:ascii="Times New Roman" w:hAnsi="Times New Roman"/>
          <w:szCs w:val="21"/>
          <w:lang w:val="en-US"/>
        </w:rPr>
        <w:t xml:space="preserve"> </w:t>
      </w:r>
      <w:r>
        <w:rPr>
          <w:rFonts w:ascii="Times New Roman" w:hAnsi="Times New Roman"/>
          <w:szCs w:val="21"/>
        </w:rPr>
        <w:t xml:space="preserve">5352      </w:t>
      </w:r>
      <w:r>
        <w:rPr>
          <w:rFonts w:hint="eastAsia" w:ascii="Times New Roman" w:hAnsi="Times New Roman"/>
          <w:szCs w:val="21"/>
          <w:lang w:val="en-US"/>
        </w:rPr>
        <w:t xml:space="preserve"> </w:t>
      </w:r>
      <w:r>
        <w:rPr>
          <w:rFonts w:hint="eastAsia" w:ascii="Times New Roman" w:hAnsi="Times New Roman"/>
          <w:szCs w:val="21"/>
        </w:rPr>
        <w:t>高压配电装置设计技术规程</w:t>
      </w:r>
    </w:p>
    <w:p>
      <w:pPr>
        <w:pStyle w:val="3"/>
        <w:spacing w:line="360" w:lineRule="auto"/>
        <w:ind w:firstLine="420" w:firstLineChars="200"/>
        <w:rPr>
          <w:rFonts w:ascii="Times New Roman" w:hAnsi="Times New Roman"/>
          <w:szCs w:val="21"/>
          <w:lang w:val="en-US"/>
        </w:rPr>
      </w:pPr>
      <w:r>
        <w:rPr>
          <w:rFonts w:hint="eastAsia" w:ascii="Times New Roman" w:hAnsi="Times New Roman"/>
          <w:szCs w:val="21"/>
          <w:lang w:val="en-US"/>
        </w:rPr>
        <w:t>DL/T 596        电力设备预防性试验规程</w:t>
      </w:r>
    </w:p>
    <w:p>
      <w:pPr>
        <w:pStyle w:val="3"/>
        <w:spacing w:line="360" w:lineRule="auto"/>
        <w:ind w:firstLine="420" w:firstLineChars="200"/>
        <w:rPr>
          <w:rFonts w:ascii="Times New Roman" w:hAnsi="Times New Roman"/>
          <w:szCs w:val="21"/>
        </w:rPr>
      </w:pPr>
      <w:r>
        <w:rPr>
          <w:rFonts w:ascii="Times New Roman" w:hAnsi="Times New Roman"/>
          <w:szCs w:val="21"/>
        </w:rPr>
        <w:t>JB/T 10088</w:t>
      </w:r>
      <w:r>
        <w:rPr>
          <w:rFonts w:ascii="Times New Roman" w:hAnsi="Times New Roman"/>
          <w:szCs w:val="21"/>
        </w:rPr>
        <w:tab/>
      </w:r>
      <w:r>
        <w:rPr>
          <w:rFonts w:ascii="Times New Roman" w:hAnsi="Times New Roman"/>
          <w:szCs w:val="21"/>
        </w:rPr>
        <w:tab/>
      </w:r>
      <w:r>
        <w:fldChar w:fldCharType="begin"/>
      </w:r>
      <w:r>
        <w:instrText xml:space="preserve"> HYPERLINK "http://172.18.17.61/page/tbsbrowser.cbs?urlname=tbss%3A%2F%2F2Ui9i38FjdR4eWYglMHt8hfJ8SriPxDp0W3uM1xK3xYMt21gRcWz5SlKb1NWrpRN8SJocei5N09fwhSq1ELkgCd8afSSYnrI0H2C6cgNo92I96RFCkbJ%2F5Nv8Auht9n5sPX2qXSpc92ybhEL5IaPVg3JSZhVPF0MrylG42D%2F8JuV3Axhnl7ift0RGIciflTOskohAVmAWhfFYvPDzm95iJ74ap%2FmRAZ%2FoMKyskyWiYrzcMmuxqq2p8YE85B%2FYj%2FHjjjZybEdHsg" \t "_blank" </w:instrText>
      </w:r>
      <w:r>
        <w:fldChar w:fldCharType="separate"/>
      </w:r>
      <w:r>
        <w:rPr>
          <w:rStyle w:val="11"/>
          <w:szCs w:val="21"/>
        </w:rPr>
        <w:t>6kV</w:t>
      </w:r>
      <w:r>
        <w:rPr>
          <w:rStyle w:val="11"/>
          <w:rFonts w:hint="eastAsia"/>
          <w:szCs w:val="21"/>
        </w:rPr>
        <w:t>～</w:t>
      </w:r>
      <w:r>
        <w:rPr>
          <w:rStyle w:val="11"/>
          <w:szCs w:val="21"/>
        </w:rPr>
        <w:t>500kV</w:t>
      </w:r>
      <w:r>
        <w:rPr>
          <w:rStyle w:val="11"/>
          <w:rFonts w:hint="eastAsia"/>
          <w:szCs w:val="21"/>
        </w:rPr>
        <w:t>级电力变压器声级</w:t>
      </w:r>
      <w:r>
        <w:rPr>
          <w:rStyle w:val="11"/>
          <w:rFonts w:hint="eastAsia"/>
          <w:szCs w:val="21"/>
        </w:rPr>
        <w:fldChar w:fldCharType="end"/>
      </w:r>
    </w:p>
    <w:p>
      <w:pPr>
        <w:spacing w:line="360" w:lineRule="auto"/>
        <w:ind w:firstLine="420" w:firstLineChars="200"/>
        <w:rPr>
          <w:szCs w:val="21"/>
        </w:rPr>
      </w:pPr>
      <w:r>
        <w:rPr>
          <w:szCs w:val="21"/>
        </w:rPr>
        <w:t>Q/CSG 11624</w:t>
      </w:r>
      <w:r>
        <w:rPr>
          <w:szCs w:val="21"/>
        </w:rPr>
        <w:tab/>
      </w:r>
      <w:r>
        <w:rPr>
          <w:rFonts w:hint="eastAsia"/>
          <w:szCs w:val="21"/>
        </w:rPr>
        <w:t xml:space="preserve">    配电变压器能效标准及技术经济评价导则</w:t>
      </w:r>
    </w:p>
    <w:p>
      <w:pPr>
        <w:spacing w:line="360" w:lineRule="auto"/>
        <w:ind w:firstLine="420" w:firstLineChars="200"/>
        <w:rPr>
          <w:szCs w:val="21"/>
        </w:rPr>
      </w:pPr>
      <w:r>
        <w:rPr>
          <w:rFonts w:hint="eastAsia"/>
          <w:szCs w:val="21"/>
        </w:rPr>
        <w:t>Q/CSG 1203004.3  20kV 及以下电网装备技术导则</w:t>
      </w:r>
    </w:p>
    <w:p>
      <w:pPr>
        <w:spacing w:line="360" w:lineRule="auto"/>
        <w:ind w:firstLine="420" w:firstLineChars="200"/>
        <w:rPr>
          <w:szCs w:val="21"/>
        </w:rPr>
      </w:pPr>
      <w:r>
        <w:rPr>
          <w:rFonts w:hint="eastAsia"/>
          <w:szCs w:val="21"/>
        </w:rPr>
        <w:t>Q/CSG1205019    电力设备交接验收规程</w:t>
      </w:r>
    </w:p>
    <w:p>
      <w:pPr>
        <w:pStyle w:val="16"/>
        <w:spacing w:line="360" w:lineRule="auto"/>
        <w:rPr>
          <w:szCs w:val="21"/>
        </w:rPr>
      </w:pPr>
      <w:r>
        <w:rPr>
          <w:rFonts w:hint="eastAsia"/>
        </w:rPr>
        <w:t>中国南方电网有限责任公司：10kV SF6全绝缘负荷开关自动化成套柜标准化技术规范书、10kV SF6全绝缘断路器自动化成套柜标准化技术规范书、10kV油浸式配电变压器技术规范书、0.4kV标准化低压开关柜技术规范书、</w:t>
      </w:r>
      <w:r>
        <w:rPr>
          <w:rFonts w:hint="eastAsia"/>
          <w:szCs w:val="21"/>
        </w:rPr>
        <w:t>配电物联低压智能开关技术规范书。</w:t>
      </w:r>
    </w:p>
    <w:p>
      <w:pPr>
        <w:pStyle w:val="14"/>
        <w:numPr>
          <w:ilvl w:val="1"/>
          <w:numId w:val="5"/>
        </w:numPr>
        <w:spacing w:before="312" w:beforeLines="100" w:after="312" w:afterLines="100" w:line="416" w:lineRule="exact"/>
        <w:outlineLvl w:val="0"/>
        <w:rPr>
          <w:rFonts w:hAnsi="宋体"/>
        </w:rPr>
      </w:pPr>
      <w:bookmarkStart w:id="140" w:name="_Toc419734918"/>
      <w:bookmarkEnd w:id="140"/>
      <w:bookmarkStart w:id="141" w:name="_Toc419734551"/>
      <w:bookmarkEnd w:id="141"/>
      <w:bookmarkStart w:id="142" w:name="_Toc419730945"/>
      <w:bookmarkEnd w:id="142"/>
      <w:bookmarkStart w:id="143" w:name="_Toc419471460"/>
      <w:bookmarkEnd w:id="143"/>
      <w:bookmarkStart w:id="144" w:name="_Toc419734740"/>
      <w:bookmarkEnd w:id="144"/>
      <w:bookmarkStart w:id="145" w:name="_Toc419730899"/>
      <w:bookmarkEnd w:id="145"/>
      <w:bookmarkStart w:id="146" w:name="_Toc419730947"/>
      <w:bookmarkStart w:id="147" w:name="_Toc78912253"/>
      <w:bookmarkStart w:id="148" w:name="_Toc419730946"/>
      <w:r>
        <w:rPr>
          <w:rFonts w:hint="eastAsia" w:hAnsi="宋体"/>
        </w:rPr>
        <w:t>使用条件</w:t>
      </w:r>
      <w:bookmarkEnd w:id="146"/>
      <w:bookmarkEnd w:id="147"/>
    </w:p>
    <w:p>
      <w:pPr>
        <w:spacing w:line="360" w:lineRule="auto"/>
        <w:ind w:firstLine="420" w:firstLineChars="200"/>
      </w:pPr>
      <w:bookmarkStart w:id="149" w:name="_Toc278190495"/>
      <w:bookmarkStart w:id="150" w:name="_Toc278956009"/>
      <w:bookmarkStart w:id="151" w:name="_Toc278190634"/>
      <w:bookmarkStart w:id="152" w:name="_Toc278190565"/>
      <w:r>
        <w:rPr>
          <w:rFonts w:hint="eastAsia"/>
        </w:rPr>
        <w:t>投标方提供的</w:t>
      </w:r>
      <w:r>
        <w:rPr>
          <w:szCs w:val="20"/>
        </w:rPr>
        <w:t>10kV</w:t>
      </w:r>
      <w:r>
        <w:rPr>
          <w:rFonts w:hint="eastAsia"/>
        </w:rPr>
        <w:t>预装式变电站（紧凑式）不仅应满足本技术规范书要求，相关性能参数还应按实际安装地点的外部条件要求进行校验、核对，使所供设备满足实际外部条件要求及全工况运行要求</w:t>
      </w:r>
    </w:p>
    <w:bookmarkEnd w:id="149"/>
    <w:bookmarkEnd w:id="150"/>
    <w:bookmarkEnd w:id="151"/>
    <w:bookmarkEnd w:id="152"/>
    <w:p>
      <w:pPr>
        <w:pStyle w:val="17"/>
        <w:spacing w:before="120" w:after="120"/>
        <w:ind w:left="113" w:hangingChars="54"/>
        <w:outlineLvl w:val="1"/>
        <w:rPr>
          <w:rFonts w:hAnsi="宋体"/>
        </w:rPr>
      </w:pPr>
      <w:bookmarkStart w:id="153" w:name="_Toc78912254"/>
      <w:r>
        <w:rPr>
          <w:rFonts w:hint="eastAsia" w:hAnsi="宋体"/>
        </w:rPr>
        <w:t>正常使用</w:t>
      </w:r>
      <w:r>
        <w:rPr>
          <w:rFonts w:hAnsi="宋体"/>
        </w:rPr>
        <w:t>条件</w:t>
      </w:r>
      <w:bookmarkEnd w:id="153"/>
    </w:p>
    <w:p>
      <w:pPr>
        <w:pStyle w:val="18"/>
        <w:spacing w:before="120" w:after="120"/>
        <w:ind w:left="2325" w:hanging="2324" w:hangingChars="1107"/>
        <w:outlineLvl w:val="2"/>
        <w:rPr>
          <w:rFonts w:hAnsi="黑体"/>
        </w:rPr>
      </w:pPr>
      <w:bookmarkStart w:id="154" w:name="_Toc424549748"/>
      <w:bookmarkStart w:id="155" w:name="_Toc78912255"/>
      <w:r>
        <w:rPr>
          <w:rFonts w:hAnsi="黑体"/>
        </w:rPr>
        <w:t>周围</w:t>
      </w:r>
      <w:r>
        <w:rPr>
          <w:rFonts w:hint="eastAsia" w:hAnsi="黑体"/>
        </w:rPr>
        <w:t>环境</w:t>
      </w:r>
      <w:r>
        <w:rPr>
          <w:rFonts w:hAnsi="黑体"/>
        </w:rPr>
        <w:t>温度</w:t>
      </w:r>
      <w:bookmarkEnd w:id="154"/>
      <w:bookmarkEnd w:id="155"/>
    </w:p>
    <w:p>
      <w:pPr>
        <w:spacing w:line="360" w:lineRule="auto"/>
        <w:ind w:firstLine="420" w:firstLineChars="200"/>
      </w:pPr>
      <w:r>
        <w:t>1</w:t>
      </w:r>
      <w:r>
        <w:rPr>
          <w:rFonts w:hint="eastAsia"/>
        </w:rPr>
        <w:t>）最高温度：</w:t>
      </w:r>
      <w:r>
        <w:t xml:space="preserve"> +45</w:t>
      </w:r>
      <w:r>
        <w:rPr>
          <w:rFonts w:hint="eastAsia" w:ascii="宋体" w:hAnsi="宋体" w:cs="宋体"/>
        </w:rPr>
        <w:t>℃</w:t>
      </w:r>
    </w:p>
    <w:p>
      <w:pPr>
        <w:spacing w:line="360" w:lineRule="auto"/>
        <w:ind w:firstLine="420" w:firstLineChars="200"/>
      </w:pPr>
      <w:r>
        <w:t>2</w:t>
      </w:r>
      <w:r>
        <w:rPr>
          <w:rFonts w:hint="eastAsia"/>
        </w:rPr>
        <w:t>）最高月平均气温：</w:t>
      </w:r>
      <w:r>
        <w:t xml:space="preserve"> +30</w:t>
      </w:r>
      <w:r>
        <w:rPr>
          <w:rFonts w:hint="eastAsia" w:ascii="宋体" w:hAnsi="宋体" w:cs="宋体"/>
        </w:rPr>
        <w:t>℃</w:t>
      </w:r>
    </w:p>
    <w:p>
      <w:pPr>
        <w:spacing w:line="360" w:lineRule="auto"/>
        <w:ind w:firstLine="420" w:firstLineChars="200"/>
      </w:pPr>
      <w:r>
        <w:t>3</w:t>
      </w:r>
      <w:r>
        <w:rPr>
          <w:rFonts w:hint="eastAsia"/>
        </w:rPr>
        <w:t>）最高年平均气温：</w:t>
      </w:r>
      <w:r>
        <w:t xml:space="preserve"> +20</w:t>
      </w:r>
      <w:r>
        <w:rPr>
          <w:rFonts w:hint="eastAsia" w:ascii="宋体" w:hAnsi="宋体" w:cs="宋体"/>
        </w:rPr>
        <w:t>℃</w:t>
      </w:r>
    </w:p>
    <w:p>
      <w:pPr>
        <w:spacing w:line="360" w:lineRule="auto"/>
        <w:ind w:firstLine="420" w:firstLineChars="200"/>
      </w:pPr>
      <w:r>
        <w:t>4</w:t>
      </w:r>
      <w:r>
        <w:rPr>
          <w:rFonts w:hint="eastAsia"/>
        </w:rPr>
        <w:t>）最低气温：</w:t>
      </w:r>
      <w:r>
        <w:t xml:space="preserve"> -25</w:t>
      </w:r>
      <w:r>
        <w:rPr>
          <w:rFonts w:hint="eastAsia" w:ascii="宋体" w:hAnsi="宋体" w:cs="宋体"/>
        </w:rPr>
        <w:t>℃</w:t>
      </w:r>
    </w:p>
    <w:p>
      <w:pPr>
        <w:pStyle w:val="18"/>
        <w:spacing w:before="120" w:after="120"/>
        <w:ind w:left="2325" w:hanging="2324" w:hangingChars="1107"/>
        <w:outlineLvl w:val="2"/>
        <w:rPr>
          <w:rFonts w:hAnsi="黑体"/>
        </w:rPr>
      </w:pPr>
      <w:bookmarkStart w:id="156" w:name="_Toc78912256"/>
      <w:bookmarkStart w:id="157" w:name="_Toc424549749"/>
      <w:r>
        <w:rPr>
          <w:rFonts w:hAnsi="黑体"/>
        </w:rPr>
        <w:t>海拔高度</w:t>
      </w:r>
      <w:bookmarkEnd w:id="156"/>
      <w:bookmarkEnd w:id="157"/>
    </w:p>
    <w:p>
      <w:pPr>
        <w:pStyle w:val="18"/>
        <w:numPr>
          <w:ilvl w:val="0"/>
          <w:numId w:val="0"/>
        </w:numPr>
        <w:spacing w:line="360" w:lineRule="auto"/>
        <w:ind w:firstLine="420" w:firstLineChars="200"/>
        <w:outlineLvl w:val="9"/>
        <w:rPr>
          <w:rFonts w:ascii="宋体" w:hAnsi="宋体" w:eastAsia="宋体"/>
        </w:rPr>
      </w:pPr>
      <w:r>
        <w:rPr>
          <w:rFonts w:ascii="宋体" w:hAnsi="宋体" w:eastAsia="宋体"/>
        </w:rPr>
        <w:t>≤</w:t>
      </w:r>
      <w:r>
        <w:rPr>
          <w:rFonts w:ascii="Times New Roman" w:eastAsia="宋体"/>
        </w:rPr>
        <w:t>1000m</w:t>
      </w:r>
    </w:p>
    <w:p>
      <w:pPr>
        <w:pStyle w:val="18"/>
        <w:spacing w:before="120" w:after="120"/>
        <w:ind w:left="2325" w:hanging="2324" w:hangingChars="1107"/>
        <w:outlineLvl w:val="2"/>
        <w:rPr>
          <w:rFonts w:hAnsi="黑体"/>
        </w:rPr>
      </w:pPr>
      <w:bookmarkStart w:id="158" w:name="_Toc78912257"/>
      <w:bookmarkStart w:id="159" w:name="_Toc424549750"/>
      <w:r>
        <w:rPr>
          <w:rFonts w:hAnsi="黑体"/>
        </w:rPr>
        <w:t>环境相对湿度(在25℃时)</w:t>
      </w:r>
      <w:bookmarkEnd w:id="158"/>
      <w:bookmarkEnd w:id="159"/>
    </w:p>
    <w:p>
      <w:pPr>
        <w:spacing w:line="360" w:lineRule="auto"/>
        <w:ind w:firstLine="420" w:firstLineChars="200"/>
      </w:pPr>
      <w:r>
        <w:t>1</w:t>
      </w:r>
      <w:r>
        <w:rPr>
          <w:rFonts w:hint="eastAsia"/>
        </w:rPr>
        <w:t>）日平均值：</w:t>
      </w:r>
      <w:r>
        <w:rPr>
          <w:rFonts w:ascii="宋体" w:hAnsi="宋体"/>
        </w:rPr>
        <w:t>≤</w:t>
      </w:r>
      <w:r>
        <w:t>95%</w:t>
      </w:r>
    </w:p>
    <w:p>
      <w:pPr>
        <w:spacing w:line="360" w:lineRule="auto"/>
        <w:ind w:firstLine="420" w:firstLineChars="200"/>
      </w:pPr>
      <w:r>
        <w:t>2</w:t>
      </w:r>
      <w:r>
        <w:rPr>
          <w:rFonts w:hint="eastAsia"/>
        </w:rPr>
        <w:t>）月平均值：</w:t>
      </w:r>
      <w:r>
        <w:rPr>
          <w:rFonts w:ascii="宋体" w:hAnsi="宋体"/>
        </w:rPr>
        <w:t>≤</w:t>
      </w:r>
      <w:r>
        <w:t>90%</w:t>
      </w:r>
    </w:p>
    <w:p>
      <w:pPr>
        <w:pStyle w:val="18"/>
        <w:spacing w:before="120" w:after="120"/>
        <w:ind w:left="2325" w:hanging="2324" w:hangingChars="1107"/>
        <w:outlineLvl w:val="2"/>
        <w:rPr>
          <w:rFonts w:hAnsi="黑体"/>
        </w:rPr>
      </w:pPr>
      <w:bookmarkStart w:id="160" w:name="_Toc424549751"/>
      <w:bookmarkStart w:id="161" w:name="_Toc78912258"/>
      <w:r>
        <w:rPr>
          <w:rFonts w:hAnsi="黑体"/>
        </w:rPr>
        <w:t>地震</w:t>
      </w:r>
      <w:bookmarkEnd w:id="160"/>
      <w:r>
        <w:rPr>
          <w:rFonts w:hint="eastAsia" w:hAnsi="黑体"/>
        </w:rPr>
        <w:t>要求</w:t>
      </w:r>
      <w:bookmarkEnd w:id="161"/>
    </w:p>
    <w:p>
      <w:pPr>
        <w:spacing w:line="360" w:lineRule="auto"/>
        <w:ind w:firstLine="420" w:firstLineChars="200"/>
      </w:pPr>
      <w:r>
        <w:rPr>
          <w:rFonts w:hint="eastAsia"/>
        </w:rPr>
        <w:t xml:space="preserve">1）地震烈度 Ⅷ 度 </w:t>
      </w:r>
    </w:p>
    <w:p>
      <w:pPr>
        <w:spacing w:line="360" w:lineRule="auto"/>
        <w:ind w:firstLine="420" w:firstLineChars="200"/>
      </w:pPr>
      <w:r>
        <w:rPr>
          <w:rFonts w:hint="eastAsia"/>
        </w:rPr>
        <w:t>2）耐受地震能力地面水平加速度≤3m/s；正弦共振三个周期安全系数≤1.67</w:t>
      </w:r>
    </w:p>
    <w:p>
      <w:pPr>
        <w:pStyle w:val="18"/>
        <w:spacing w:before="120" w:after="120"/>
        <w:ind w:left="2325" w:hanging="2324" w:hangingChars="1107"/>
        <w:outlineLvl w:val="2"/>
        <w:rPr>
          <w:rFonts w:hAnsi="黑体"/>
        </w:rPr>
      </w:pPr>
      <w:bookmarkStart w:id="162" w:name="_Toc424549752"/>
      <w:bookmarkStart w:id="163" w:name="_Toc78912259"/>
      <w:r>
        <w:rPr>
          <w:rFonts w:hAnsi="黑体"/>
        </w:rPr>
        <w:t>安装地点</w:t>
      </w:r>
      <w:bookmarkEnd w:id="162"/>
      <w:bookmarkEnd w:id="163"/>
    </w:p>
    <w:p>
      <w:pPr>
        <w:spacing w:line="360" w:lineRule="auto"/>
        <w:ind w:firstLine="420" w:firstLineChars="200"/>
      </w:pPr>
      <w:r>
        <w:rPr>
          <w:rFonts w:hint="eastAsia"/>
        </w:rPr>
        <w:t>户外</w:t>
      </w:r>
    </w:p>
    <w:p>
      <w:pPr>
        <w:pStyle w:val="18"/>
        <w:spacing w:before="120" w:after="120"/>
        <w:ind w:left="2325" w:hanging="2324" w:hangingChars="1107"/>
        <w:outlineLvl w:val="2"/>
        <w:rPr>
          <w:rFonts w:hAnsi="黑体"/>
        </w:rPr>
      </w:pPr>
      <w:bookmarkStart w:id="164" w:name="_Toc78912260"/>
      <w:r>
        <w:rPr>
          <w:rFonts w:hint="eastAsia" w:hAnsi="黑体"/>
        </w:rPr>
        <w:t>覆冰厚度</w:t>
      </w:r>
      <w:bookmarkEnd w:id="164"/>
    </w:p>
    <w:p>
      <w:pPr>
        <w:spacing w:line="360" w:lineRule="auto"/>
        <w:ind w:firstLine="420" w:firstLineChars="200"/>
      </w:pPr>
      <w:r>
        <w:rPr>
          <w:rFonts w:hint="eastAsia"/>
        </w:rPr>
        <w:t>2</w:t>
      </w:r>
      <w:r>
        <w:t>0</w:t>
      </w:r>
      <w:r>
        <w:rPr>
          <w:rFonts w:hint="eastAsia"/>
        </w:rPr>
        <w:t>mm</w:t>
      </w:r>
    </w:p>
    <w:p>
      <w:pPr>
        <w:pStyle w:val="18"/>
        <w:spacing w:before="120" w:after="120"/>
        <w:ind w:left="2325" w:hanging="2324" w:hangingChars="1107"/>
        <w:outlineLvl w:val="2"/>
        <w:rPr>
          <w:rFonts w:hAnsi="黑体"/>
        </w:rPr>
      </w:pPr>
      <w:bookmarkStart w:id="165" w:name="_Toc70580078"/>
      <w:bookmarkEnd w:id="165"/>
      <w:bookmarkStart w:id="166" w:name="_Toc78912261"/>
      <w:bookmarkStart w:id="167" w:name="_Toc424549753"/>
      <w:r>
        <w:rPr>
          <w:rFonts w:hint="eastAsia" w:hAnsi="黑体"/>
        </w:rPr>
        <w:t>污秽等级</w:t>
      </w:r>
      <w:bookmarkEnd w:id="166"/>
      <w:bookmarkEnd w:id="167"/>
    </w:p>
    <w:p>
      <w:pPr>
        <w:spacing w:line="360" w:lineRule="auto"/>
        <w:ind w:firstLine="420" w:firstLineChars="200"/>
      </w:pPr>
      <w:r>
        <w:rPr>
          <w:rFonts w:hint="eastAsia"/>
        </w:rPr>
        <w:t>不低于</w:t>
      </w:r>
      <w:r>
        <w:t>e</w:t>
      </w:r>
      <w:r>
        <w:rPr>
          <w:rFonts w:hint="eastAsia"/>
        </w:rPr>
        <w:t>级</w:t>
      </w:r>
    </w:p>
    <w:p>
      <w:pPr>
        <w:pStyle w:val="17"/>
        <w:spacing w:before="120" w:after="120"/>
        <w:ind w:left="113" w:hangingChars="54"/>
        <w:outlineLvl w:val="1"/>
        <w:rPr>
          <w:rFonts w:hAnsi="宋体"/>
        </w:rPr>
      </w:pPr>
      <w:bookmarkStart w:id="168" w:name="_Toc278956010"/>
      <w:bookmarkStart w:id="169" w:name="_Toc278190635"/>
      <w:bookmarkStart w:id="170" w:name="_Toc78912262"/>
      <w:bookmarkStart w:id="171" w:name="_Toc278190566"/>
      <w:bookmarkStart w:id="172" w:name="_Toc278190496"/>
      <w:bookmarkStart w:id="173" w:name="_Toc278190497"/>
      <w:bookmarkStart w:id="174" w:name="_Toc278190636"/>
      <w:bookmarkStart w:id="175" w:name="_Toc278956011"/>
      <w:bookmarkStart w:id="176" w:name="_Toc278190567"/>
      <w:r>
        <w:rPr>
          <w:rFonts w:hint="eastAsia" w:hAnsi="宋体"/>
        </w:rPr>
        <w:t>特殊使用条件</w:t>
      </w:r>
      <w:bookmarkEnd w:id="168"/>
      <w:bookmarkEnd w:id="169"/>
      <w:bookmarkEnd w:id="170"/>
      <w:bookmarkEnd w:id="171"/>
      <w:bookmarkEnd w:id="172"/>
    </w:p>
    <w:p>
      <w:pPr>
        <w:spacing w:line="360" w:lineRule="auto"/>
        <w:ind w:firstLine="420" w:firstLineChars="200"/>
      </w:pPr>
      <w:r>
        <w:t>1</w:t>
      </w:r>
      <w:r>
        <w:rPr>
          <w:rFonts w:hint="eastAsia"/>
        </w:rPr>
        <w:t>）凡是需要满足</w:t>
      </w:r>
      <w:r>
        <w:t>4.1</w:t>
      </w:r>
      <w:r>
        <w:rPr>
          <w:rFonts w:hint="eastAsia"/>
        </w:rPr>
        <w:t>条规定的正常环境条件之外的特殊使用条件，应在询价和订货时说明。</w:t>
      </w:r>
    </w:p>
    <w:p>
      <w:pPr>
        <w:spacing w:line="360" w:lineRule="auto"/>
        <w:ind w:firstLine="420" w:firstLineChars="200"/>
      </w:pPr>
      <w:r>
        <w:t>2</w:t>
      </w:r>
      <w:r>
        <w:rPr>
          <w:rFonts w:hint="eastAsia"/>
        </w:rPr>
        <w:t>）特殊环境条件下，变压器还应符合以下规定：</w:t>
      </w:r>
    </w:p>
    <w:p>
      <w:pPr>
        <w:spacing w:line="360" w:lineRule="auto"/>
        <w:ind w:firstLine="420" w:firstLineChars="200"/>
      </w:pPr>
      <w:r>
        <w:t>a</w:t>
      </w:r>
      <w:r>
        <w:rPr>
          <w:rFonts w:hint="eastAsia"/>
        </w:rPr>
        <w:t>）在较高环境温度或高海拔环境下的温升和冷却：油浸式变压器按</w:t>
      </w:r>
      <w:r>
        <w:t xml:space="preserve">GB/T 1094.2 </w:t>
      </w:r>
      <w:r>
        <w:rPr>
          <w:rFonts w:hint="eastAsia"/>
        </w:rPr>
        <w:t>的规定。</w:t>
      </w:r>
    </w:p>
    <w:p>
      <w:pPr>
        <w:spacing w:line="360" w:lineRule="auto"/>
        <w:ind w:firstLine="420" w:firstLineChars="200"/>
      </w:pPr>
      <w:r>
        <w:t>b</w:t>
      </w:r>
      <w:r>
        <w:rPr>
          <w:rFonts w:hint="eastAsia"/>
        </w:rPr>
        <w:t>）在高海拔环境下的外绝缘：油浸式变压器按</w:t>
      </w:r>
      <w:r>
        <w:t xml:space="preserve">GB/T 1094.3 </w:t>
      </w:r>
      <w:r>
        <w:rPr>
          <w:rFonts w:hint="eastAsia"/>
        </w:rPr>
        <w:t>的规定。</w:t>
      </w:r>
    </w:p>
    <w:p>
      <w:pPr>
        <w:spacing w:line="360" w:lineRule="auto"/>
        <w:ind w:firstLine="420" w:firstLineChars="200"/>
      </w:pPr>
      <w:r>
        <w:t>3</w:t>
      </w:r>
      <w:r>
        <w:rPr>
          <w:rFonts w:hint="eastAsia"/>
        </w:rPr>
        <w:t>）特殊环境条件下，高压开关设备和控制设备还应符合</w:t>
      </w:r>
      <w:r>
        <w:t>GB/T 11022</w:t>
      </w:r>
      <w:r>
        <w:rPr>
          <w:rFonts w:hint="eastAsia"/>
        </w:rPr>
        <w:t>的相关规定。</w:t>
      </w:r>
    </w:p>
    <w:p>
      <w:pPr>
        <w:spacing w:line="360" w:lineRule="auto"/>
        <w:ind w:firstLine="420" w:firstLineChars="200"/>
      </w:pPr>
      <w:r>
        <w:t>4</w:t>
      </w:r>
      <w:r>
        <w:rPr>
          <w:rFonts w:hint="eastAsia"/>
        </w:rPr>
        <w:t>）特殊环境条件下，低压开关设备和控制设备还应符合</w:t>
      </w:r>
      <w:r>
        <w:t>GB/T 14048</w:t>
      </w:r>
      <w:r>
        <w:rPr>
          <w:rFonts w:hint="eastAsia"/>
        </w:rPr>
        <w:t>和</w:t>
      </w:r>
      <w:r>
        <w:t>GB 7151.1</w:t>
      </w:r>
      <w:r>
        <w:rPr>
          <w:rFonts w:hint="eastAsia"/>
        </w:rPr>
        <w:t>的相关规定。</w:t>
      </w:r>
    </w:p>
    <w:p>
      <w:pPr>
        <w:spacing w:line="360" w:lineRule="auto"/>
        <w:ind w:firstLine="420" w:firstLineChars="200"/>
      </w:pPr>
      <w:r>
        <w:rPr>
          <w:rFonts w:hint="eastAsia"/>
        </w:rPr>
        <w:t>5）对于</w:t>
      </w:r>
      <w:r>
        <w:rPr>
          <w:kern w:val="0"/>
          <w:szCs w:val="21"/>
        </w:rPr>
        <w:t>安装在海拔超过1000m的充气类设备，应对使用地点的气压进行校核，保证充气设备内外压差在合理范围以内，绝缘不因气压偏低而减弱。</w:t>
      </w:r>
    </w:p>
    <w:p>
      <w:pPr>
        <w:pStyle w:val="17"/>
        <w:spacing w:before="120" w:after="120"/>
        <w:ind w:left="113" w:hangingChars="54"/>
        <w:outlineLvl w:val="1"/>
        <w:rPr>
          <w:rFonts w:hAnsi="宋体"/>
        </w:rPr>
      </w:pPr>
      <w:bookmarkStart w:id="177" w:name="_Toc78912263"/>
      <w:r>
        <w:rPr>
          <w:rFonts w:hint="eastAsia" w:hAnsi="宋体"/>
        </w:rPr>
        <w:t>系统条件要求</w:t>
      </w:r>
      <w:bookmarkEnd w:id="173"/>
      <w:bookmarkEnd w:id="174"/>
      <w:bookmarkEnd w:id="175"/>
      <w:bookmarkEnd w:id="176"/>
      <w:bookmarkEnd w:id="177"/>
    </w:p>
    <w:p>
      <w:pPr>
        <w:pStyle w:val="15"/>
        <w:spacing w:line="360" w:lineRule="auto"/>
        <w:ind w:firstLine="420"/>
        <w:rPr>
          <w:rFonts w:ascii="Times New Roman"/>
        </w:rPr>
      </w:pPr>
      <w:r>
        <w:rPr>
          <w:rFonts w:hint="eastAsia" w:ascii="Times New Roman"/>
        </w:rPr>
        <w:t>本标准所规定的设备</w:t>
      </w:r>
      <w:r>
        <w:rPr>
          <w:rFonts w:ascii="Times New Roman"/>
        </w:rPr>
        <w:t xml:space="preserve">, </w:t>
      </w:r>
      <w:r>
        <w:rPr>
          <w:rFonts w:hint="eastAsia" w:ascii="Times New Roman"/>
        </w:rPr>
        <w:t>应适用于下列电力系统：</w:t>
      </w:r>
    </w:p>
    <w:p>
      <w:pPr>
        <w:pStyle w:val="18"/>
        <w:numPr>
          <w:ilvl w:val="0"/>
          <w:numId w:val="0"/>
        </w:numPr>
        <w:spacing w:line="360" w:lineRule="auto"/>
        <w:ind w:firstLine="420" w:firstLineChars="200"/>
        <w:outlineLvl w:val="9"/>
        <w:rPr>
          <w:rFonts w:ascii="Times New Roman" w:eastAsia="宋体"/>
          <w:szCs w:val="21"/>
          <w:lang w:val="en-US"/>
        </w:rPr>
      </w:pPr>
      <w:r>
        <w:rPr>
          <w:rFonts w:ascii="Times New Roman" w:eastAsia="宋体"/>
          <w:szCs w:val="21"/>
          <w:lang w:val="en-US"/>
        </w:rPr>
        <w:t>1）系统额定频率： 50Hz</w:t>
      </w:r>
    </w:p>
    <w:p>
      <w:pPr>
        <w:pStyle w:val="18"/>
        <w:numPr>
          <w:ilvl w:val="0"/>
          <w:numId w:val="0"/>
        </w:numPr>
        <w:spacing w:line="360" w:lineRule="auto"/>
        <w:ind w:firstLine="420" w:firstLineChars="200"/>
        <w:outlineLvl w:val="9"/>
        <w:rPr>
          <w:rFonts w:ascii="Times New Roman" w:eastAsia="宋体"/>
          <w:szCs w:val="21"/>
          <w:lang w:val="en-US"/>
        </w:rPr>
      </w:pPr>
      <w:r>
        <w:rPr>
          <w:rFonts w:ascii="Times New Roman" w:eastAsia="宋体"/>
          <w:szCs w:val="21"/>
          <w:lang w:val="en-US"/>
        </w:rPr>
        <w:t>2）系统标称电压： 10/0.4kV</w:t>
      </w:r>
    </w:p>
    <w:p>
      <w:pPr>
        <w:pStyle w:val="18"/>
        <w:numPr>
          <w:ilvl w:val="0"/>
          <w:numId w:val="0"/>
        </w:numPr>
        <w:spacing w:line="360" w:lineRule="auto"/>
        <w:ind w:firstLine="420" w:firstLineChars="200"/>
        <w:outlineLvl w:val="9"/>
        <w:rPr>
          <w:rFonts w:ascii="Times New Roman" w:eastAsia="宋体"/>
          <w:szCs w:val="21"/>
          <w:lang w:val="en-US"/>
        </w:rPr>
      </w:pPr>
      <w:r>
        <w:rPr>
          <w:rFonts w:ascii="Times New Roman" w:eastAsia="宋体"/>
          <w:szCs w:val="21"/>
          <w:lang w:val="en-US"/>
        </w:rPr>
        <w:t xml:space="preserve">3）系统最高运行电压(Um)： 12kV </w:t>
      </w:r>
    </w:p>
    <w:p>
      <w:pPr>
        <w:pStyle w:val="18"/>
        <w:numPr>
          <w:ilvl w:val="0"/>
          <w:numId w:val="0"/>
        </w:numPr>
        <w:spacing w:line="360" w:lineRule="auto"/>
        <w:ind w:firstLine="420" w:firstLineChars="200"/>
        <w:outlineLvl w:val="9"/>
        <w:rPr>
          <w:rFonts w:ascii="Times New Roman" w:eastAsia="宋体"/>
          <w:szCs w:val="21"/>
          <w:lang w:val="en-US"/>
        </w:rPr>
      </w:pPr>
      <w:r>
        <w:rPr>
          <w:rFonts w:ascii="Times New Roman" w:eastAsia="宋体"/>
          <w:szCs w:val="21"/>
          <w:lang w:val="en-US"/>
        </w:rPr>
        <w:t xml:space="preserve">4）系统中性点接地方式： </w:t>
      </w:r>
    </w:p>
    <w:p>
      <w:pPr>
        <w:pStyle w:val="18"/>
        <w:numPr>
          <w:ilvl w:val="0"/>
          <w:numId w:val="0"/>
        </w:numPr>
        <w:spacing w:line="360" w:lineRule="auto"/>
        <w:ind w:firstLine="420" w:firstLineChars="200"/>
        <w:outlineLvl w:val="9"/>
        <w:rPr>
          <w:rFonts w:ascii="Times New Roman" w:eastAsia="宋体"/>
          <w:szCs w:val="21"/>
          <w:lang w:val="en-US"/>
        </w:rPr>
      </w:pPr>
      <w:bookmarkStart w:id="178" w:name="_Toc321477740"/>
      <w:bookmarkStart w:id="179" w:name="_Toc420850180"/>
      <w:bookmarkStart w:id="180" w:name="_Toc6638"/>
      <w:bookmarkStart w:id="181" w:name="_Toc419472991"/>
      <w:r>
        <w:rPr>
          <w:rFonts w:ascii="Times New Roman" w:eastAsia="宋体"/>
          <w:szCs w:val="21"/>
          <w:lang w:val="en-US"/>
        </w:rPr>
        <w:t>10kV系统——不接地、消弧线圈接地或小电阻接地</w:t>
      </w:r>
      <w:bookmarkEnd w:id="178"/>
      <w:bookmarkEnd w:id="179"/>
      <w:bookmarkEnd w:id="180"/>
      <w:bookmarkEnd w:id="181"/>
    </w:p>
    <w:p>
      <w:pPr>
        <w:pStyle w:val="18"/>
        <w:numPr>
          <w:ilvl w:val="0"/>
          <w:numId w:val="0"/>
        </w:numPr>
        <w:spacing w:line="360" w:lineRule="auto"/>
        <w:ind w:firstLine="420" w:firstLineChars="200"/>
        <w:outlineLvl w:val="9"/>
        <w:rPr>
          <w:rFonts w:ascii="Times New Roman" w:eastAsia="宋体"/>
          <w:szCs w:val="21"/>
          <w:lang w:val="en-US"/>
        </w:rPr>
      </w:pPr>
      <w:bookmarkStart w:id="182" w:name="_Toc321477741"/>
      <w:bookmarkStart w:id="183" w:name="_Toc420850181"/>
      <w:bookmarkStart w:id="184" w:name="_Toc419472992"/>
      <w:bookmarkStart w:id="185" w:name="_Toc21190"/>
      <w:r>
        <w:rPr>
          <w:rFonts w:ascii="Times New Roman" w:eastAsia="宋体"/>
          <w:szCs w:val="21"/>
          <w:lang w:val="en-US"/>
        </w:rPr>
        <w:t>0.4kV系统——直接接地</w:t>
      </w:r>
      <w:bookmarkEnd w:id="182"/>
      <w:bookmarkEnd w:id="183"/>
      <w:bookmarkEnd w:id="184"/>
      <w:bookmarkEnd w:id="185"/>
    </w:p>
    <w:bookmarkEnd w:id="148"/>
    <w:p>
      <w:pPr>
        <w:pStyle w:val="14"/>
        <w:numPr>
          <w:ilvl w:val="1"/>
          <w:numId w:val="5"/>
        </w:numPr>
        <w:spacing w:before="312" w:beforeLines="100" w:after="312" w:afterLines="100" w:line="416" w:lineRule="exact"/>
        <w:outlineLvl w:val="0"/>
        <w:rPr>
          <w:rFonts w:hAnsi="宋体"/>
        </w:rPr>
      </w:pPr>
      <w:bookmarkStart w:id="186" w:name="_Toc70580083"/>
      <w:bookmarkEnd w:id="186"/>
      <w:bookmarkStart w:id="187" w:name="_Toc70580082"/>
      <w:bookmarkEnd w:id="187"/>
      <w:bookmarkStart w:id="188" w:name="_Toc78912264"/>
      <w:bookmarkStart w:id="189" w:name="_Toc419730948"/>
      <w:r>
        <w:rPr>
          <w:rFonts w:hint="eastAsia" w:hAnsi="宋体"/>
        </w:rPr>
        <w:t>技术要求</w:t>
      </w:r>
      <w:bookmarkEnd w:id="188"/>
      <w:bookmarkEnd w:id="189"/>
    </w:p>
    <w:p>
      <w:pPr>
        <w:pStyle w:val="17"/>
        <w:spacing w:before="120" w:after="120"/>
        <w:ind w:left="113" w:hangingChars="54"/>
        <w:outlineLvl w:val="1"/>
        <w:rPr>
          <w:rFonts w:hAnsi="宋体"/>
        </w:rPr>
      </w:pPr>
      <w:bookmarkStart w:id="190" w:name="_Toc78912265"/>
      <w:r>
        <w:rPr>
          <w:rFonts w:hint="eastAsia" w:hAnsi="宋体"/>
        </w:rPr>
        <w:t>技术方案</w:t>
      </w:r>
      <w:bookmarkEnd w:id="190"/>
    </w:p>
    <w:p>
      <w:pPr>
        <w:pStyle w:val="18"/>
        <w:spacing w:before="120" w:after="120"/>
        <w:ind w:left="2325" w:hanging="2324" w:hangingChars="1107"/>
        <w:outlineLvl w:val="2"/>
        <w:rPr>
          <w:rFonts w:hAnsi="黑体"/>
        </w:rPr>
      </w:pPr>
      <w:bookmarkStart w:id="191" w:name="_Toc78912266"/>
      <w:r>
        <w:rPr>
          <w:rFonts w:hint="eastAsia" w:hAnsi="黑体"/>
        </w:rPr>
        <w:t>典型电气主接线方案</w:t>
      </w:r>
      <w:bookmarkEnd w:id="191"/>
    </w:p>
    <w:p>
      <w:pPr>
        <w:spacing w:line="360" w:lineRule="auto"/>
        <w:ind w:firstLine="422" w:firstLineChars="200"/>
      </w:pPr>
      <w:r>
        <w:rPr>
          <w:b/>
          <w:bCs/>
        </w:rPr>
        <w:t>5.1.1.1</w:t>
      </w:r>
      <w:r>
        <w:rPr>
          <w:rFonts w:hint="eastAsia"/>
        </w:rPr>
        <w:t>预装式变电站均采用低压计量，</w:t>
      </w:r>
      <w:r>
        <w:t>包括环网型</w:t>
      </w:r>
      <w:r>
        <w:rPr>
          <w:rFonts w:hint="eastAsia"/>
        </w:rPr>
        <w:t>和</w:t>
      </w:r>
      <w:r>
        <w:t>终端型</w:t>
      </w:r>
      <w:r>
        <w:rPr>
          <w:rFonts w:hint="eastAsia"/>
        </w:rPr>
        <w:t>2</w:t>
      </w:r>
      <w:r>
        <w:t>种典型结构方案</w:t>
      </w:r>
    </w:p>
    <w:p>
      <w:pPr>
        <w:spacing w:line="360" w:lineRule="auto"/>
        <w:ind w:firstLine="420" w:firstLineChars="200"/>
      </w:pPr>
      <w:r>
        <w:rPr>
          <w:rFonts w:hint="eastAsia"/>
        </w:rPr>
        <w:t>预装式变电站高压柜采用</w:t>
      </w:r>
      <w:r>
        <w:t>SF6气体绝缘环网柜</w:t>
      </w:r>
      <w:r>
        <w:rPr>
          <w:rFonts w:hint="eastAsia"/>
        </w:rPr>
        <w:t>，63</w:t>
      </w:r>
      <w:r>
        <w:t>0kVA</w:t>
      </w:r>
      <w:r>
        <w:rPr>
          <w:rFonts w:hint="eastAsia"/>
        </w:rPr>
        <w:t>及以下环网型采用KKR组合方案，终端型采用KR组合方案；</w:t>
      </w:r>
      <w:r>
        <w:rPr>
          <w:rFonts w:hint="eastAsia" w:ascii="宋体" w:hAnsi="宋体"/>
        </w:rPr>
        <w:t>预装式变电站</w:t>
      </w:r>
      <w:r>
        <w:rPr>
          <w:rFonts w:hint="eastAsia"/>
        </w:rPr>
        <w:t>电气主接线方案图及平面布置方案见图</w:t>
      </w:r>
      <w:r>
        <w:t>1</w:t>
      </w:r>
      <w:r>
        <w:rPr>
          <w:rFonts w:hint="eastAsia"/>
        </w:rPr>
        <w:t>至图3所示。</w:t>
      </w:r>
    </w:p>
    <w:p>
      <w:pPr>
        <w:spacing w:line="360" w:lineRule="auto"/>
        <w:ind w:firstLine="422" w:firstLineChars="200"/>
      </w:pPr>
      <w:r>
        <w:rPr>
          <w:b/>
          <w:bCs/>
        </w:rPr>
        <w:t xml:space="preserve">5.1.1.2 </w:t>
      </w:r>
      <w:r>
        <w:rPr>
          <w:rFonts w:hint="eastAsia"/>
        </w:rPr>
        <w:t>低压侧</w:t>
      </w:r>
      <w:r>
        <w:t>0.4kV</w:t>
      </w:r>
      <w:r>
        <w:rPr>
          <w:rFonts w:hint="eastAsia"/>
        </w:rPr>
        <w:t>为三相五线制接线，包括单独设置中性线（N）、保护线（PE），N和PE在箱式变电站内相互连接。</w:t>
      </w:r>
    </w:p>
    <w:p>
      <w:pPr>
        <w:spacing w:line="360" w:lineRule="auto"/>
        <w:ind w:firstLine="420" w:firstLineChars="200"/>
        <w:rPr>
          <w:rFonts w:hint="eastAsia" w:ascii="ABCDEF+SimSun" w:hAnsi="ABCDEF+SimSun"/>
        </w:rPr>
      </w:pPr>
      <w:r>
        <w:rPr>
          <w:rFonts w:hint="eastAsia"/>
        </w:rPr>
        <w:t>容量为</w:t>
      </w:r>
      <w:r>
        <w:t>400</w:t>
      </w:r>
      <w:r>
        <w:rPr>
          <w:rFonts w:hint="eastAsia"/>
        </w:rPr>
        <w:t>kVA时，配1组应急发电车接口， 采用2*1000A隔离刀，4路出线，各出线额定电流及回路宜采用</w:t>
      </w:r>
      <w:r>
        <w:rPr>
          <w:rFonts w:ascii="ABCDEF+TimesNewRomanPSMT" w:hAnsi="ABCDEF+TimesNewRomanPSMT"/>
        </w:rPr>
        <w:t>4×400A</w:t>
      </w:r>
      <w:r>
        <w:rPr>
          <w:rFonts w:ascii="ABCDEF+SimSun" w:hAnsi="ABCDEF+SimSun"/>
        </w:rPr>
        <w:t>。</w:t>
      </w:r>
    </w:p>
    <w:p>
      <w:pPr>
        <w:spacing w:line="360" w:lineRule="auto"/>
        <w:ind w:firstLine="420" w:firstLineChars="200"/>
        <w:rPr>
          <w:rFonts w:hint="eastAsia" w:ascii="ABCDEF+SimSun" w:hAnsi="ABCDEF+SimSun"/>
        </w:rPr>
      </w:pPr>
      <w:r>
        <w:t>容量为630kVA时，</w:t>
      </w:r>
      <w:r>
        <w:rPr>
          <w:rFonts w:hint="eastAsia"/>
        </w:rPr>
        <w:t>配1组应急发电车接口，采用2*1500A隔离刀，</w:t>
      </w:r>
      <w:r>
        <w:t xml:space="preserve"> 4路出线，各出线额定电流及回路</w:t>
      </w:r>
      <w:r>
        <w:rPr>
          <w:rFonts w:hint="eastAsia"/>
        </w:rPr>
        <w:t>宜</w:t>
      </w:r>
      <w:r>
        <w:t>采用</w:t>
      </w:r>
      <w:r>
        <w:rPr>
          <w:rFonts w:hint="eastAsia" w:ascii="ABCDEF+TimesNewRomanPSMT" w:hAnsi="ABCDEF+TimesNewRomanPSMT"/>
        </w:rPr>
        <w:t>4</w:t>
      </w:r>
      <w:r>
        <w:rPr>
          <w:rFonts w:ascii="ABCDEF+TimesNewRomanPSMT" w:hAnsi="ABCDEF+TimesNewRomanPSMT"/>
        </w:rPr>
        <w:t>×630A</w:t>
      </w:r>
    </w:p>
    <w:p>
      <w:pPr>
        <w:spacing w:line="360" w:lineRule="auto"/>
        <w:ind w:firstLine="420" w:firstLineChars="200"/>
      </w:pPr>
    </w:p>
    <w:p>
      <w:pPr>
        <w:jc w:val="center"/>
      </w:pPr>
      <w:r>
        <w:rPr>
          <w:rFonts w:hint="eastAsia" w:ascii="宋体" w:hAnsi="宋体"/>
        </w:rPr>
        <w:drawing>
          <wp:inline distT="0" distB="0" distL="114300" distR="114300">
            <wp:extent cx="5296535" cy="5038725"/>
            <wp:effectExtent l="0" t="0" r="6985"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296535" cy="5039274"/>
                    </a:xfrm>
                    <a:prstGeom prst="rect">
                      <a:avLst/>
                    </a:prstGeom>
                  </pic:spPr>
                </pic:pic>
              </a:graphicData>
            </a:graphic>
          </wp:inline>
        </w:drawing>
      </w:r>
      <w:r>
        <w:t xml:space="preserve"> </w:t>
      </w:r>
    </w:p>
    <w:p>
      <w:pPr>
        <w:jc w:val="center"/>
        <w:rPr>
          <w:rFonts w:ascii="宋体" w:hAnsi="宋体"/>
        </w:rPr>
      </w:pPr>
      <w:r>
        <w:rPr>
          <w:rFonts w:hint="eastAsia" w:ascii="宋体" w:hAnsi="宋体"/>
        </w:rPr>
        <w:t>图</w:t>
      </w:r>
      <w:r>
        <w:rPr>
          <w:rFonts w:ascii="宋体" w:hAnsi="宋体"/>
        </w:rPr>
        <w:t>1</w:t>
      </w:r>
      <w:r>
        <w:rPr>
          <w:rFonts w:hint="eastAsia" w:ascii="宋体" w:hAnsi="宋体"/>
        </w:rPr>
        <w:t>：预装式变电站（紧凑式）（</w:t>
      </w:r>
      <w:r>
        <w:rPr>
          <w:rFonts w:ascii="宋体" w:hAnsi="宋体"/>
        </w:rPr>
        <w:t>400kVA~630kVA</w:t>
      </w:r>
      <w:r>
        <w:rPr>
          <w:rFonts w:hint="eastAsia" w:ascii="宋体" w:hAnsi="宋体"/>
        </w:rPr>
        <w:t>）终端型电气主接线方案</w:t>
      </w:r>
    </w:p>
    <w:p>
      <w:pPr>
        <w:jc w:val="center"/>
        <w:rPr>
          <w:rFonts w:ascii="宋体" w:hAnsi="宋体"/>
        </w:rPr>
      </w:pPr>
      <w:r>
        <w:rPr>
          <w:rFonts w:hint="eastAsia"/>
        </w:rPr>
        <w:drawing>
          <wp:inline distT="0" distB="0" distL="114300" distR="114300">
            <wp:extent cx="5297170" cy="5258435"/>
            <wp:effectExtent l="0" t="0" r="6350" b="146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297170" cy="5258784"/>
                    </a:xfrm>
                    <a:prstGeom prst="rect">
                      <a:avLst/>
                    </a:prstGeom>
                  </pic:spPr>
                </pic:pic>
              </a:graphicData>
            </a:graphic>
          </wp:inline>
        </w:drawing>
      </w:r>
    </w:p>
    <w:p>
      <w:pPr>
        <w:jc w:val="center"/>
      </w:pPr>
      <w:r>
        <w:t xml:space="preserve"> </w:t>
      </w:r>
    </w:p>
    <w:p>
      <w:pPr>
        <w:jc w:val="center"/>
        <w:rPr>
          <w:rFonts w:ascii="宋体" w:hAnsi="宋体"/>
        </w:rPr>
      </w:pPr>
      <w:r>
        <w:rPr>
          <w:rFonts w:hint="eastAsia" w:hAnsi="宋体"/>
          <w:szCs w:val="21"/>
        </w:rPr>
        <w:drawing>
          <wp:anchor distT="0" distB="0" distL="114300" distR="114300" simplePos="0" relativeHeight="251660288" behindDoc="0" locked="0" layoutInCell="1" allowOverlap="1">
            <wp:simplePos x="0" y="0"/>
            <wp:positionH relativeFrom="column">
              <wp:posOffset>-10160</wp:posOffset>
            </wp:positionH>
            <wp:positionV relativeFrom="paragraph">
              <wp:posOffset>321945</wp:posOffset>
            </wp:positionV>
            <wp:extent cx="5375275" cy="2661285"/>
            <wp:effectExtent l="0" t="0" r="4445" b="5715"/>
            <wp:wrapSquare wrapText="bothSides"/>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375275" cy="2661285"/>
                    </a:xfrm>
                    <a:prstGeom prst="rect">
                      <a:avLst/>
                    </a:prstGeom>
                  </pic:spPr>
                </pic:pic>
              </a:graphicData>
            </a:graphic>
          </wp:anchor>
        </w:drawing>
      </w:r>
      <w:r>
        <w:rPr>
          <w:rFonts w:hint="eastAsia" w:ascii="宋体" w:hAnsi="宋体"/>
        </w:rPr>
        <w:t>图</w:t>
      </w:r>
      <w:r>
        <w:rPr>
          <w:rFonts w:ascii="宋体" w:hAnsi="宋体"/>
        </w:rPr>
        <w:t>2</w:t>
      </w:r>
      <w:r>
        <w:rPr>
          <w:rFonts w:hint="eastAsia" w:ascii="宋体" w:hAnsi="宋体"/>
        </w:rPr>
        <w:t>：预装式变电站（紧凑式）（400</w:t>
      </w:r>
      <w:r>
        <w:rPr>
          <w:rFonts w:ascii="宋体" w:hAnsi="宋体"/>
        </w:rPr>
        <w:t>kVA~</w:t>
      </w:r>
      <w:r>
        <w:rPr>
          <w:rFonts w:hint="eastAsia" w:ascii="宋体" w:hAnsi="宋体"/>
        </w:rPr>
        <w:t>630</w:t>
      </w:r>
      <w:r>
        <w:rPr>
          <w:rFonts w:ascii="宋体" w:hAnsi="宋体"/>
        </w:rPr>
        <w:t>kVA</w:t>
      </w:r>
      <w:r>
        <w:rPr>
          <w:rFonts w:hint="eastAsia" w:ascii="宋体" w:hAnsi="宋体"/>
        </w:rPr>
        <w:t>）环网型电气主接线</w:t>
      </w:r>
      <w:r>
        <w:rPr>
          <w:rFonts w:ascii="宋体" w:hAnsi="宋体"/>
        </w:rPr>
        <w:t>方案</w:t>
      </w:r>
    </w:p>
    <w:p>
      <w:pPr>
        <w:spacing w:line="360" w:lineRule="auto"/>
        <w:ind w:firstLine="420" w:firstLineChars="200"/>
        <w:jc w:val="center"/>
      </w:pPr>
    </w:p>
    <w:p>
      <w:pPr>
        <w:jc w:val="center"/>
      </w:pPr>
      <w:r>
        <w:rPr>
          <w:rFonts w:hint="eastAsia" w:ascii="宋体" w:hAnsi="宋体"/>
        </w:rPr>
        <w:t>图</w:t>
      </w:r>
      <w:r>
        <w:t>3</w:t>
      </w:r>
      <w:r>
        <w:rPr>
          <w:rFonts w:hint="eastAsia" w:ascii="宋体" w:hAnsi="宋体"/>
        </w:rPr>
        <w:t>：预装式变电站（紧凑式）（400</w:t>
      </w:r>
      <w:r>
        <w:rPr>
          <w:rFonts w:ascii="宋体" w:hAnsi="宋体"/>
        </w:rPr>
        <w:t>kVA~</w:t>
      </w:r>
      <w:r>
        <w:rPr>
          <w:rFonts w:hint="eastAsia" w:ascii="宋体" w:hAnsi="宋体"/>
        </w:rPr>
        <w:t>630</w:t>
      </w:r>
      <w:r>
        <w:rPr>
          <w:rFonts w:ascii="宋体" w:hAnsi="宋体"/>
        </w:rPr>
        <w:t>kVA</w:t>
      </w:r>
      <w:r>
        <w:rPr>
          <w:rFonts w:hint="eastAsia" w:ascii="宋体" w:hAnsi="宋体"/>
        </w:rPr>
        <w:t>）平面</w:t>
      </w:r>
      <w:r>
        <w:rPr>
          <w:rFonts w:hint="eastAsia"/>
        </w:rPr>
        <w:t>布置示意图</w:t>
      </w:r>
    </w:p>
    <w:p>
      <w:pPr>
        <w:pStyle w:val="17"/>
        <w:spacing w:before="120" w:after="120"/>
        <w:ind w:left="113" w:hangingChars="54"/>
        <w:outlineLvl w:val="1"/>
        <w:rPr>
          <w:rFonts w:hAnsi="宋体"/>
        </w:rPr>
      </w:pPr>
      <w:bookmarkStart w:id="192" w:name="_Toc70580087"/>
      <w:bookmarkEnd w:id="192"/>
      <w:bookmarkStart w:id="193" w:name="_Toc70580089"/>
      <w:bookmarkEnd w:id="193"/>
      <w:bookmarkStart w:id="194" w:name="_Toc70580091"/>
      <w:bookmarkEnd w:id="194"/>
      <w:bookmarkStart w:id="195" w:name="_Toc70580088"/>
      <w:bookmarkEnd w:id="195"/>
      <w:bookmarkStart w:id="196" w:name="_Toc70580092"/>
      <w:bookmarkEnd w:id="196"/>
      <w:bookmarkStart w:id="197" w:name="_Toc70580094"/>
      <w:bookmarkEnd w:id="197"/>
      <w:bookmarkStart w:id="198" w:name="_Toc70580093"/>
      <w:bookmarkEnd w:id="198"/>
      <w:bookmarkStart w:id="199" w:name="_Toc78912267"/>
      <w:r>
        <w:rPr>
          <w:rFonts w:hint="eastAsia" w:hAnsi="宋体"/>
        </w:rPr>
        <w:t>技术参数</w:t>
      </w:r>
      <w:bookmarkEnd w:id="199"/>
    </w:p>
    <w:p>
      <w:pPr>
        <w:spacing w:line="360" w:lineRule="auto"/>
        <w:ind w:firstLine="420" w:firstLineChars="200"/>
      </w:pPr>
      <w:r>
        <w:rPr>
          <w:rFonts w:hint="eastAsia"/>
        </w:rPr>
        <w:t>技术参数见技术规范书专用部分的技术参数表。补充规定如下：</w:t>
      </w:r>
    </w:p>
    <w:p>
      <w:pPr>
        <w:spacing w:line="360" w:lineRule="auto"/>
        <w:ind w:firstLine="420" w:firstLineChars="200"/>
      </w:pPr>
      <w:r>
        <w:t>1</w:t>
      </w:r>
      <w:r>
        <w:rPr>
          <w:rFonts w:hint="eastAsia"/>
        </w:rPr>
        <w:t>）低压主单元的热稳定电流（额定短时耐受电流）应为</w:t>
      </w:r>
      <w:r>
        <w:t>65kA</w:t>
      </w:r>
      <w:r>
        <w:rPr>
          <w:rFonts w:hint="eastAsia"/>
        </w:rPr>
        <w:t>；低压主单元额定热稳定时间：</w:t>
      </w:r>
      <w:r>
        <w:t>1s</w:t>
      </w:r>
      <w:r>
        <w:rPr>
          <w:rFonts w:hint="eastAsia"/>
        </w:rPr>
        <w:t>。</w:t>
      </w:r>
    </w:p>
    <w:p>
      <w:pPr>
        <w:spacing w:line="360" w:lineRule="auto"/>
        <w:ind w:firstLine="420" w:firstLineChars="200"/>
      </w:pPr>
      <w:r>
        <w:t>2</w:t>
      </w:r>
      <w:r>
        <w:rPr>
          <w:rFonts w:hint="eastAsia"/>
        </w:rPr>
        <w:t>）低压功能单元的额定短路接通能力（</w:t>
      </w:r>
      <w:r>
        <w:t>I</w:t>
      </w:r>
      <w:r>
        <w:rPr>
          <w:vertAlign w:val="subscript"/>
        </w:rPr>
        <w:t>cm</w:t>
      </w:r>
      <w:r>
        <w:rPr>
          <w:rFonts w:hint="eastAsia"/>
        </w:rPr>
        <w:t>用最大预期峰值电流表示）应不小于其额定极限短路分断能力（</w:t>
      </w:r>
      <w:r>
        <w:t>I</w:t>
      </w:r>
      <w:r>
        <w:rPr>
          <w:vertAlign w:val="subscript"/>
        </w:rPr>
        <w:t>cu</w:t>
      </w:r>
      <w:r>
        <w:rPr>
          <w:rFonts w:hint="eastAsia"/>
        </w:rPr>
        <w:t>用预期分断电流表示）乘以系数</w:t>
      </w:r>
      <w:r>
        <w:t>n</w:t>
      </w:r>
      <w:r>
        <w:rPr>
          <w:rFonts w:hint="eastAsia"/>
        </w:rPr>
        <w:t>，系数</w:t>
      </w:r>
      <w:r>
        <w:t>n</w:t>
      </w:r>
      <w:r>
        <w:rPr>
          <w:rFonts w:hint="eastAsia"/>
        </w:rPr>
        <w:t>见表1如下：</w:t>
      </w:r>
    </w:p>
    <w:p>
      <w:pPr>
        <w:pStyle w:val="19"/>
        <w:rPr>
          <w:rFonts w:hAnsi="黑体"/>
          <w:szCs w:val="21"/>
        </w:rPr>
      </w:pPr>
      <w:r>
        <w:rPr>
          <w:rFonts w:hint="eastAsia"/>
        </w:rPr>
        <w:t>表</w:t>
      </w:r>
      <w:r>
        <w:t xml:space="preserve">1 </w:t>
      </w:r>
      <w:r>
        <w:rPr>
          <w:rFonts w:hint="eastAsia"/>
        </w:rPr>
        <w:t>系数</w:t>
      </w:r>
      <w:r>
        <w:t>n</w:t>
      </w:r>
      <w:r>
        <w:rPr>
          <w:rFonts w:hint="eastAsia"/>
        </w:rPr>
        <w:t>的数值选取</w:t>
      </w:r>
    </w:p>
    <w:tbl>
      <w:tblPr>
        <w:tblStyle w:val="9"/>
        <w:tblW w:w="767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237"/>
        <w:gridCol w:w="2452"/>
        <w:gridCol w:w="198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8" w:hRule="atLeast"/>
          <w:jc w:val="center"/>
        </w:trPr>
        <w:tc>
          <w:tcPr>
            <w:tcW w:w="3237" w:type="dxa"/>
            <w:tcMar>
              <w:left w:w="0" w:type="dxa"/>
              <w:right w:w="0" w:type="dxa"/>
            </w:tcMar>
            <w:vAlign w:val="center"/>
          </w:tcPr>
          <w:p>
            <w:pPr>
              <w:jc w:val="center"/>
              <w:rPr>
                <w:sz w:val="18"/>
                <w:szCs w:val="18"/>
              </w:rPr>
            </w:pPr>
            <w:r>
              <w:rPr>
                <w:rFonts w:hint="eastAsia"/>
                <w:sz w:val="18"/>
                <w:szCs w:val="18"/>
              </w:rPr>
              <w:t>极限短路分断能力</w:t>
            </w:r>
            <w:r>
              <w:rPr>
                <w:sz w:val="18"/>
                <w:szCs w:val="18"/>
              </w:rPr>
              <w:t>I</w:t>
            </w:r>
            <w:r>
              <w:rPr>
                <w:sz w:val="18"/>
                <w:szCs w:val="18"/>
                <w:vertAlign w:val="subscript"/>
              </w:rPr>
              <w:t>cu</w:t>
            </w:r>
            <w:r>
              <w:rPr>
                <w:sz w:val="18"/>
                <w:szCs w:val="18"/>
              </w:rPr>
              <w:t>/ kA</w:t>
            </w:r>
            <w:r>
              <w:rPr>
                <w:rFonts w:hint="eastAsia"/>
                <w:sz w:val="18"/>
                <w:szCs w:val="18"/>
              </w:rPr>
              <w:t>（有效值）</w:t>
            </w:r>
          </w:p>
        </w:tc>
        <w:tc>
          <w:tcPr>
            <w:tcW w:w="2452" w:type="dxa"/>
            <w:vAlign w:val="center"/>
          </w:tcPr>
          <w:p>
            <w:pPr>
              <w:jc w:val="center"/>
              <w:rPr>
                <w:sz w:val="18"/>
                <w:szCs w:val="18"/>
              </w:rPr>
            </w:pPr>
            <w:r>
              <w:rPr>
                <w:rFonts w:hint="eastAsia"/>
                <w:sz w:val="18"/>
                <w:szCs w:val="18"/>
              </w:rPr>
              <w:t>功率因数</w:t>
            </w:r>
          </w:p>
        </w:tc>
        <w:tc>
          <w:tcPr>
            <w:tcW w:w="1985" w:type="dxa"/>
            <w:vAlign w:val="center"/>
          </w:tcPr>
          <w:p>
            <w:pPr>
              <w:jc w:val="center"/>
              <w:rPr>
                <w:sz w:val="18"/>
                <w:szCs w:val="18"/>
              </w:rPr>
            </w:pPr>
            <w:r>
              <w:rPr>
                <w:sz w:val="18"/>
                <w:szCs w:val="18"/>
              </w:rPr>
              <w:t>n</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jc w:val="center"/>
        </w:trPr>
        <w:tc>
          <w:tcPr>
            <w:tcW w:w="3237" w:type="dxa"/>
            <w:vAlign w:val="center"/>
          </w:tcPr>
          <w:p>
            <w:pPr>
              <w:jc w:val="center"/>
              <w:rPr>
                <w:sz w:val="18"/>
                <w:szCs w:val="18"/>
              </w:rPr>
            </w:pPr>
            <w:r>
              <w:rPr>
                <w:rFonts w:hint="eastAsia"/>
                <w:sz w:val="18"/>
                <w:szCs w:val="18"/>
              </w:rPr>
              <w:t>4.5≤I≤6</w:t>
            </w:r>
          </w:p>
        </w:tc>
        <w:tc>
          <w:tcPr>
            <w:tcW w:w="2452" w:type="dxa"/>
            <w:vAlign w:val="center"/>
          </w:tcPr>
          <w:p>
            <w:pPr>
              <w:overflowPunct w:val="0"/>
              <w:autoSpaceDE w:val="0"/>
              <w:spacing w:before="156" w:beforeLines="50" w:after="156" w:afterLines="50"/>
              <w:jc w:val="center"/>
              <w:textAlignment w:val="baseline"/>
              <w:rPr>
                <w:sz w:val="18"/>
                <w:szCs w:val="18"/>
              </w:rPr>
            </w:pPr>
            <w:r>
              <w:rPr>
                <w:sz w:val="18"/>
                <w:szCs w:val="18"/>
              </w:rPr>
              <w:t>0.7</w:t>
            </w:r>
          </w:p>
        </w:tc>
        <w:tc>
          <w:tcPr>
            <w:tcW w:w="1985" w:type="dxa"/>
            <w:vAlign w:val="center"/>
          </w:tcPr>
          <w:p>
            <w:pPr>
              <w:overflowPunct w:val="0"/>
              <w:autoSpaceDE w:val="0"/>
              <w:spacing w:before="156" w:beforeLines="50" w:after="156" w:afterLines="50"/>
              <w:jc w:val="center"/>
              <w:textAlignment w:val="baseline"/>
              <w:rPr>
                <w:sz w:val="18"/>
                <w:szCs w:val="18"/>
              </w:rPr>
            </w:pPr>
            <w:r>
              <w:rPr>
                <w:sz w:val="18"/>
                <w:szCs w:val="18"/>
              </w:rPr>
              <w:t>1.5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jc w:val="center"/>
        </w:trPr>
        <w:tc>
          <w:tcPr>
            <w:tcW w:w="3237" w:type="dxa"/>
            <w:vAlign w:val="center"/>
          </w:tcPr>
          <w:p>
            <w:pPr>
              <w:overflowPunct w:val="0"/>
              <w:autoSpaceDE w:val="0"/>
              <w:spacing w:before="156" w:beforeLines="50" w:after="156" w:afterLines="50"/>
              <w:jc w:val="center"/>
              <w:textAlignment w:val="baseline"/>
              <w:rPr>
                <w:sz w:val="18"/>
                <w:szCs w:val="18"/>
              </w:rPr>
            </w:pPr>
            <w:r>
              <w:rPr>
                <w:sz w:val="18"/>
                <w:szCs w:val="18"/>
              </w:rPr>
              <w:t>6</w:t>
            </w:r>
            <w:r>
              <w:rPr>
                <w:rFonts w:hint="eastAsia"/>
                <w:sz w:val="18"/>
                <w:szCs w:val="18"/>
              </w:rPr>
              <w:t>＜I≤10</w:t>
            </w:r>
          </w:p>
        </w:tc>
        <w:tc>
          <w:tcPr>
            <w:tcW w:w="2452" w:type="dxa"/>
            <w:vAlign w:val="center"/>
          </w:tcPr>
          <w:p>
            <w:pPr>
              <w:overflowPunct w:val="0"/>
              <w:autoSpaceDE w:val="0"/>
              <w:spacing w:before="156" w:beforeLines="50" w:after="156" w:afterLines="50"/>
              <w:jc w:val="center"/>
              <w:textAlignment w:val="baseline"/>
              <w:rPr>
                <w:sz w:val="18"/>
                <w:szCs w:val="18"/>
              </w:rPr>
            </w:pPr>
            <w:r>
              <w:rPr>
                <w:sz w:val="18"/>
                <w:szCs w:val="18"/>
              </w:rPr>
              <w:t>0.5</w:t>
            </w:r>
          </w:p>
        </w:tc>
        <w:tc>
          <w:tcPr>
            <w:tcW w:w="1985" w:type="dxa"/>
            <w:vAlign w:val="center"/>
          </w:tcPr>
          <w:p>
            <w:pPr>
              <w:overflowPunct w:val="0"/>
              <w:autoSpaceDE w:val="0"/>
              <w:spacing w:before="156" w:beforeLines="50" w:after="156" w:afterLines="50"/>
              <w:jc w:val="center"/>
              <w:textAlignment w:val="baseline"/>
              <w:rPr>
                <w:sz w:val="18"/>
                <w:szCs w:val="18"/>
              </w:rPr>
            </w:pPr>
            <w:r>
              <w:rPr>
                <w:sz w:val="18"/>
                <w:szCs w:val="18"/>
              </w:rPr>
              <w:t>1.7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jc w:val="center"/>
        </w:trPr>
        <w:tc>
          <w:tcPr>
            <w:tcW w:w="3237" w:type="dxa"/>
            <w:vAlign w:val="center"/>
          </w:tcPr>
          <w:p>
            <w:pPr>
              <w:overflowPunct w:val="0"/>
              <w:autoSpaceDE w:val="0"/>
              <w:spacing w:before="156" w:beforeLines="50" w:after="156" w:afterLines="50"/>
              <w:jc w:val="center"/>
              <w:textAlignment w:val="baseline"/>
              <w:rPr>
                <w:sz w:val="18"/>
                <w:szCs w:val="18"/>
              </w:rPr>
            </w:pPr>
            <w:r>
              <w:rPr>
                <w:sz w:val="18"/>
                <w:szCs w:val="18"/>
              </w:rPr>
              <w:t>10</w:t>
            </w:r>
            <w:r>
              <w:rPr>
                <w:rFonts w:hint="eastAsia"/>
                <w:sz w:val="18"/>
                <w:szCs w:val="18"/>
              </w:rPr>
              <w:t>＜I≤20</w:t>
            </w:r>
          </w:p>
        </w:tc>
        <w:tc>
          <w:tcPr>
            <w:tcW w:w="2452" w:type="dxa"/>
            <w:vAlign w:val="center"/>
          </w:tcPr>
          <w:p>
            <w:pPr>
              <w:overflowPunct w:val="0"/>
              <w:autoSpaceDE w:val="0"/>
              <w:spacing w:before="156" w:beforeLines="50" w:after="156" w:afterLines="50"/>
              <w:jc w:val="center"/>
              <w:textAlignment w:val="baseline"/>
              <w:rPr>
                <w:sz w:val="18"/>
                <w:szCs w:val="18"/>
              </w:rPr>
            </w:pPr>
            <w:r>
              <w:rPr>
                <w:sz w:val="18"/>
                <w:szCs w:val="18"/>
              </w:rPr>
              <w:t>0.3</w:t>
            </w:r>
          </w:p>
        </w:tc>
        <w:tc>
          <w:tcPr>
            <w:tcW w:w="1985" w:type="dxa"/>
            <w:vAlign w:val="center"/>
          </w:tcPr>
          <w:p>
            <w:pPr>
              <w:overflowPunct w:val="0"/>
              <w:autoSpaceDE w:val="0"/>
              <w:spacing w:before="156" w:beforeLines="50" w:after="156" w:afterLines="50"/>
              <w:jc w:val="center"/>
              <w:textAlignment w:val="baseline"/>
              <w:rPr>
                <w:sz w:val="18"/>
                <w:szCs w:val="18"/>
              </w:rPr>
            </w:pPr>
            <w:r>
              <w:rPr>
                <w:sz w:val="18"/>
                <w:szCs w:val="18"/>
              </w:rPr>
              <w:t>2.0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jc w:val="center"/>
        </w:trPr>
        <w:tc>
          <w:tcPr>
            <w:tcW w:w="3237" w:type="dxa"/>
            <w:vAlign w:val="center"/>
          </w:tcPr>
          <w:p>
            <w:pPr>
              <w:overflowPunct w:val="0"/>
              <w:autoSpaceDE w:val="0"/>
              <w:spacing w:before="156" w:beforeLines="50" w:after="156" w:afterLines="50"/>
              <w:jc w:val="center"/>
              <w:textAlignment w:val="baseline"/>
              <w:rPr>
                <w:sz w:val="18"/>
                <w:szCs w:val="18"/>
              </w:rPr>
            </w:pPr>
            <w:r>
              <w:rPr>
                <w:sz w:val="18"/>
                <w:szCs w:val="18"/>
              </w:rPr>
              <w:t>20</w:t>
            </w:r>
            <w:r>
              <w:rPr>
                <w:rFonts w:hint="eastAsia"/>
                <w:sz w:val="18"/>
                <w:szCs w:val="18"/>
              </w:rPr>
              <w:t>＜I≤50</w:t>
            </w:r>
          </w:p>
        </w:tc>
        <w:tc>
          <w:tcPr>
            <w:tcW w:w="2452" w:type="dxa"/>
            <w:vAlign w:val="center"/>
          </w:tcPr>
          <w:p>
            <w:pPr>
              <w:overflowPunct w:val="0"/>
              <w:autoSpaceDE w:val="0"/>
              <w:spacing w:before="156" w:beforeLines="50" w:after="156" w:afterLines="50"/>
              <w:jc w:val="center"/>
              <w:textAlignment w:val="baseline"/>
              <w:rPr>
                <w:sz w:val="18"/>
                <w:szCs w:val="18"/>
              </w:rPr>
            </w:pPr>
            <w:r>
              <w:rPr>
                <w:sz w:val="18"/>
                <w:szCs w:val="18"/>
              </w:rPr>
              <w:t>0.25</w:t>
            </w:r>
          </w:p>
        </w:tc>
        <w:tc>
          <w:tcPr>
            <w:tcW w:w="1985" w:type="dxa"/>
            <w:vAlign w:val="center"/>
          </w:tcPr>
          <w:p>
            <w:pPr>
              <w:overflowPunct w:val="0"/>
              <w:autoSpaceDE w:val="0"/>
              <w:spacing w:before="156" w:beforeLines="50" w:after="156" w:afterLines="50"/>
              <w:jc w:val="center"/>
              <w:textAlignment w:val="baseline"/>
              <w:rPr>
                <w:sz w:val="18"/>
                <w:szCs w:val="18"/>
              </w:rPr>
            </w:pPr>
            <w:r>
              <w:rPr>
                <w:sz w:val="18"/>
                <w:szCs w:val="18"/>
              </w:rPr>
              <w:t>2.1</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jc w:val="center"/>
        </w:trPr>
        <w:tc>
          <w:tcPr>
            <w:tcW w:w="3237" w:type="dxa"/>
            <w:vAlign w:val="center"/>
          </w:tcPr>
          <w:p>
            <w:pPr>
              <w:overflowPunct w:val="0"/>
              <w:autoSpaceDE w:val="0"/>
              <w:spacing w:before="156" w:beforeLines="50" w:after="156" w:afterLines="50"/>
              <w:jc w:val="center"/>
              <w:textAlignment w:val="baseline"/>
              <w:rPr>
                <w:sz w:val="18"/>
                <w:szCs w:val="18"/>
              </w:rPr>
            </w:pPr>
            <w:r>
              <w:rPr>
                <w:sz w:val="18"/>
                <w:szCs w:val="18"/>
              </w:rPr>
              <w:t>50</w:t>
            </w:r>
            <w:r>
              <w:rPr>
                <w:rFonts w:hint="eastAsia"/>
                <w:sz w:val="18"/>
                <w:szCs w:val="18"/>
              </w:rPr>
              <w:t>＜</w:t>
            </w:r>
            <w:r>
              <w:rPr>
                <w:sz w:val="18"/>
                <w:szCs w:val="18"/>
              </w:rPr>
              <w:t>I</w:t>
            </w:r>
          </w:p>
        </w:tc>
        <w:tc>
          <w:tcPr>
            <w:tcW w:w="2452" w:type="dxa"/>
            <w:vAlign w:val="center"/>
          </w:tcPr>
          <w:p>
            <w:pPr>
              <w:overflowPunct w:val="0"/>
              <w:autoSpaceDE w:val="0"/>
              <w:spacing w:before="156" w:beforeLines="50" w:after="156" w:afterLines="50"/>
              <w:jc w:val="center"/>
              <w:textAlignment w:val="baseline"/>
              <w:rPr>
                <w:sz w:val="18"/>
                <w:szCs w:val="18"/>
              </w:rPr>
            </w:pPr>
            <w:r>
              <w:rPr>
                <w:sz w:val="18"/>
                <w:szCs w:val="18"/>
              </w:rPr>
              <w:t>0.2</w:t>
            </w:r>
          </w:p>
        </w:tc>
        <w:tc>
          <w:tcPr>
            <w:tcW w:w="1985" w:type="dxa"/>
            <w:vAlign w:val="center"/>
          </w:tcPr>
          <w:p>
            <w:pPr>
              <w:overflowPunct w:val="0"/>
              <w:autoSpaceDE w:val="0"/>
              <w:spacing w:before="156" w:beforeLines="50" w:after="156" w:afterLines="50"/>
              <w:jc w:val="center"/>
              <w:textAlignment w:val="baseline"/>
              <w:rPr>
                <w:sz w:val="18"/>
                <w:szCs w:val="18"/>
              </w:rPr>
            </w:pPr>
            <w:r>
              <w:rPr>
                <w:sz w:val="18"/>
                <w:szCs w:val="18"/>
              </w:rPr>
              <w:t>2.2</w:t>
            </w:r>
          </w:p>
        </w:tc>
      </w:tr>
    </w:tbl>
    <w:p>
      <w:pPr>
        <w:pStyle w:val="20"/>
        <w:numPr>
          <w:ilvl w:val="0"/>
          <w:numId w:val="0"/>
        </w:numPr>
        <w:spacing w:line="360" w:lineRule="auto"/>
        <w:ind w:firstLine="360" w:firstLineChars="200"/>
        <w:rPr>
          <w:rFonts w:ascii="黑体" w:hAnsi="黑体" w:eastAsia="黑体"/>
        </w:rPr>
      </w:pPr>
      <w:r>
        <w:rPr>
          <w:rFonts w:hint="eastAsia" w:ascii="黑体" w:hAnsi="黑体" w:eastAsia="黑体"/>
        </w:rPr>
        <w:t>注：额定短路分断能力要求断路器在对应于规定的试验电压的工频恢复电压下应能分断小于和等于相当于额定能力的任何电流值，且功率因数不低于上表的规定。</w:t>
      </w:r>
    </w:p>
    <w:p>
      <w:pPr>
        <w:pStyle w:val="17"/>
        <w:spacing w:before="120" w:after="120"/>
        <w:ind w:left="113" w:hangingChars="54"/>
        <w:outlineLvl w:val="1"/>
        <w:rPr>
          <w:rFonts w:hAnsi="宋体"/>
        </w:rPr>
      </w:pPr>
      <w:bookmarkStart w:id="200" w:name="_Toc78912268"/>
      <w:r>
        <w:rPr>
          <w:rFonts w:hint="eastAsia" w:hAnsi="宋体"/>
        </w:rPr>
        <w:t>结构、性能和制造工艺要求</w:t>
      </w:r>
      <w:bookmarkEnd w:id="200"/>
    </w:p>
    <w:p>
      <w:pPr>
        <w:spacing w:line="360" w:lineRule="auto"/>
        <w:ind w:firstLine="420" w:firstLineChars="200"/>
      </w:pPr>
      <w:r>
        <w:rPr>
          <w:rFonts w:hint="eastAsia"/>
        </w:rPr>
        <w:t>预装式变电站应设计成能够安全而方便地进行正常操作、检查和维护。预装式变电站的变压器室、高压室、低压室宜采用独立隔室，内部隔室间的保护等级不应低于</w:t>
      </w:r>
      <w:r>
        <w:t>IP2XC</w:t>
      </w:r>
      <w:r>
        <w:rPr>
          <w:rFonts w:hint="eastAsia"/>
        </w:rPr>
        <w:t>。</w:t>
      </w:r>
    </w:p>
    <w:p>
      <w:pPr>
        <w:spacing w:line="360" w:lineRule="auto"/>
        <w:ind w:firstLine="420" w:firstLineChars="200"/>
      </w:pPr>
      <w:r>
        <w:rPr>
          <w:rFonts w:hint="eastAsia"/>
        </w:rPr>
        <w:t>预装式变电站的外观设计应美观并尽量与周边环境相适应，具有良好的视觉效果，应保持与周围人文、地理环境相协调。</w:t>
      </w:r>
    </w:p>
    <w:p>
      <w:pPr>
        <w:pStyle w:val="18"/>
        <w:spacing w:before="120" w:after="120"/>
        <w:ind w:left="2325" w:hanging="2324" w:hangingChars="1107"/>
        <w:outlineLvl w:val="2"/>
        <w:rPr>
          <w:rFonts w:hAnsi="黑体"/>
        </w:rPr>
      </w:pPr>
      <w:bookmarkStart w:id="201" w:name="_Toc78912269"/>
      <w:bookmarkStart w:id="202" w:name="_Toc424549759"/>
      <w:r>
        <w:rPr>
          <w:rFonts w:hAnsi="黑体"/>
        </w:rPr>
        <w:t>外壳</w:t>
      </w:r>
      <w:bookmarkEnd w:id="201"/>
      <w:bookmarkEnd w:id="202"/>
    </w:p>
    <w:p>
      <w:pPr>
        <w:pStyle w:val="21"/>
        <w:numPr>
          <w:ilvl w:val="255"/>
          <w:numId w:val="0"/>
        </w:numPr>
        <w:spacing w:line="360" w:lineRule="auto"/>
        <w:outlineLvl w:val="9"/>
        <w:rPr>
          <w:rFonts w:ascii="Times New Roman" w:eastAsia="宋体"/>
          <w:b/>
          <w:bCs/>
          <w:lang w:val="en-US"/>
        </w:rPr>
      </w:pPr>
      <w:r>
        <w:rPr>
          <w:rFonts w:ascii="Times New Roman" w:eastAsia="宋体"/>
          <w:b/>
          <w:bCs/>
          <w:lang w:val="en-US"/>
        </w:rPr>
        <w:t>5.3.1.1</w:t>
      </w:r>
      <w:r>
        <w:rPr>
          <w:rFonts w:hint="eastAsia" w:ascii="Times New Roman" w:eastAsia="宋体"/>
          <w:b/>
          <w:bCs/>
          <w:lang w:val="en-US"/>
        </w:rPr>
        <w:t xml:space="preserve"> </w:t>
      </w:r>
      <w:r>
        <w:rPr>
          <w:rFonts w:hint="eastAsia" w:ascii="Times New Roman" w:eastAsia="宋体"/>
          <w:lang w:val="en-US"/>
        </w:rPr>
        <w:t>预装式变电站外壳（防护等级不低于IP33D）宜选用高强度、使用寿命长的阻燃性材料制成，与外部环境相协调，预装式变电站外壳材料宜采用</w:t>
      </w:r>
      <w:r>
        <w:rPr>
          <w:rFonts w:ascii="Times New Roman" w:eastAsia="宋体"/>
          <w:lang w:val="en-US"/>
        </w:rPr>
        <w:t>304</w:t>
      </w:r>
      <w:r>
        <w:rPr>
          <w:rFonts w:hint="eastAsia" w:ascii="Times New Roman" w:eastAsia="宋体"/>
          <w:lang w:val="en-US"/>
        </w:rPr>
        <w:t>不锈钢板（厚度不小于2</w:t>
      </w:r>
      <w:r>
        <w:rPr>
          <w:rFonts w:ascii="Times New Roman" w:eastAsia="宋体"/>
          <w:lang w:val="en-US"/>
        </w:rPr>
        <w:t>mm</w:t>
      </w:r>
      <w:r>
        <w:rPr>
          <w:rFonts w:hint="eastAsia" w:ascii="Times New Roman" w:eastAsia="宋体"/>
          <w:lang w:val="en-US"/>
        </w:rPr>
        <w:t>）、</w:t>
      </w:r>
      <w:r>
        <w:rPr>
          <w:rFonts w:ascii="Times New Roman" w:eastAsia="宋体"/>
          <w:lang w:val="en-US"/>
        </w:rPr>
        <w:t>SMC</w:t>
      </w:r>
      <w:r>
        <w:rPr>
          <w:rFonts w:hint="eastAsia" w:ascii="Times New Roman" w:eastAsia="宋体"/>
          <w:lang w:val="en-US"/>
        </w:rPr>
        <w:t>（增强纤维不饱和聚酯型材料，</w:t>
      </w:r>
      <w:r>
        <w:rPr>
          <w:rFonts w:hint="eastAsia" w:ascii="Times New Roman" w:eastAsia="宋体"/>
          <w:bCs/>
          <w:lang w:val="en-US"/>
        </w:rPr>
        <w:t>厚度不小于</w:t>
      </w:r>
      <w:r>
        <w:rPr>
          <w:rFonts w:ascii="Times New Roman" w:eastAsia="宋体"/>
          <w:bCs/>
          <w:lang w:val="en-US"/>
        </w:rPr>
        <w:t>4mm</w:t>
      </w:r>
      <w:r>
        <w:rPr>
          <w:rFonts w:hint="eastAsia" w:ascii="Times New Roman" w:eastAsia="宋体"/>
          <w:bCs/>
          <w:lang w:val="en-US"/>
        </w:rPr>
        <w:t>），且不可燃，底板应采用</w:t>
      </w:r>
      <w:r>
        <w:rPr>
          <w:rFonts w:ascii="Times New Roman" w:eastAsia="宋体"/>
          <w:bCs/>
          <w:lang w:val="en-US"/>
        </w:rPr>
        <w:t>304</w:t>
      </w:r>
      <w:r>
        <w:rPr>
          <w:rFonts w:hint="eastAsia" w:ascii="Times New Roman" w:eastAsia="宋体"/>
          <w:bCs/>
          <w:lang w:val="en-US"/>
        </w:rPr>
        <w:t>不锈钢制作，防护等级不低于</w:t>
      </w:r>
      <w:r>
        <w:rPr>
          <w:rFonts w:ascii="Times New Roman" w:eastAsia="宋体"/>
          <w:bCs/>
          <w:lang w:val="en-US"/>
        </w:rPr>
        <w:t>IP</w:t>
      </w:r>
      <w:r>
        <w:rPr>
          <w:rFonts w:hint="eastAsia" w:ascii="Times New Roman" w:eastAsia="宋体"/>
          <w:bCs/>
          <w:lang w:val="en-US"/>
        </w:rPr>
        <w:t>44</w:t>
      </w:r>
      <w:r>
        <w:rPr>
          <w:rFonts w:ascii="Times New Roman" w:eastAsia="宋体"/>
          <w:bCs/>
          <w:lang w:val="en-US"/>
        </w:rPr>
        <w:t>D</w:t>
      </w:r>
      <w:r>
        <w:rPr>
          <w:rFonts w:hint="eastAsia" w:ascii="Times New Roman" w:eastAsia="宋体"/>
          <w:bCs/>
          <w:lang w:val="en-US"/>
        </w:rPr>
        <w:t>，底架应采用槽钢。</w:t>
      </w:r>
    </w:p>
    <w:p>
      <w:pPr>
        <w:pStyle w:val="21"/>
        <w:numPr>
          <w:ilvl w:val="255"/>
          <w:numId w:val="0"/>
        </w:numPr>
        <w:spacing w:line="360" w:lineRule="auto"/>
        <w:outlineLvl w:val="9"/>
        <w:rPr>
          <w:rFonts w:ascii="Times New Roman" w:eastAsia="宋体"/>
        </w:rPr>
      </w:pPr>
      <w:r>
        <w:rPr>
          <w:rFonts w:ascii="Times New Roman" w:eastAsia="宋体"/>
          <w:b/>
          <w:bCs/>
          <w:lang w:val="en-US"/>
        </w:rPr>
        <w:t>5.3.1.2</w:t>
      </w:r>
      <w:r>
        <w:rPr>
          <w:rFonts w:hint="eastAsia" w:ascii="Times New Roman" w:eastAsia="宋体"/>
          <w:lang w:val="en-US"/>
        </w:rPr>
        <w:t>箱体外围四角采用圆角工艺，</w:t>
      </w:r>
      <w:r>
        <w:rPr>
          <w:rFonts w:hint="eastAsia" w:ascii="Times New Roman" w:eastAsia="宋体"/>
        </w:rPr>
        <w:t>外壳应有足够的机械强度，外壳承受不小于20</w:t>
      </w:r>
      <w:r>
        <w:rPr>
          <w:rFonts w:ascii="Times New Roman" w:eastAsia="宋体"/>
        </w:rPr>
        <w:t>J</w:t>
      </w:r>
      <w:r>
        <w:rPr>
          <w:rFonts w:hint="eastAsia" w:ascii="Times New Roman" w:eastAsia="宋体"/>
        </w:rPr>
        <w:t>撞击</w:t>
      </w:r>
      <w:r>
        <w:rPr>
          <w:rFonts w:ascii="Times New Roman" w:eastAsia="宋体"/>
        </w:rPr>
        <w:t>试验后</w:t>
      </w:r>
      <w:r>
        <w:rPr>
          <w:rFonts w:hint="eastAsia" w:ascii="Times New Roman" w:eastAsia="宋体"/>
        </w:rPr>
        <w:t>未</w:t>
      </w:r>
      <w:r>
        <w:rPr>
          <w:rFonts w:ascii="Times New Roman" w:eastAsia="宋体"/>
        </w:rPr>
        <w:t>见</w:t>
      </w:r>
      <w:r>
        <w:rPr>
          <w:rFonts w:hint="eastAsia" w:ascii="Times New Roman" w:eastAsia="宋体"/>
        </w:rPr>
        <w:t>损坏</w:t>
      </w:r>
      <w:r>
        <w:rPr>
          <w:rFonts w:ascii="Times New Roman" w:eastAsia="宋体"/>
        </w:rPr>
        <w:t>，</w:t>
      </w:r>
      <w:r>
        <w:rPr>
          <w:rFonts w:hint="eastAsia" w:ascii="Times New Roman" w:eastAsia="宋体"/>
        </w:rPr>
        <w:t>能耐受规定的顶部</w:t>
      </w:r>
      <w:r>
        <w:rPr>
          <w:rFonts w:ascii="Times New Roman" w:eastAsia="宋体"/>
        </w:rPr>
        <w:t>承受力≥2500N</w:t>
      </w:r>
      <w:r>
        <w:rPr>
          <w:rFonts w:hint="eastAsia" w:ascii="Times New Roman" w:eastAsia="宋体"/>
        </w:rPr>
        <w:t>/</w:t>
      </w:r>
      <w:r>
        <w:rPr>
          <w:rFonts w:ascii="Times New Roman" w:eastAsia="宋体"/>
        </w:rPr>
        <w:t>m²试验后外壳无变形</w:t>
      </w:r>
      <w:r>
        <w:rPr>
          <w:rFonts w:hint="eastAsia" w:ascii="Times New Roman" w:eastAsia="宋体"/>
        </w:rPr>
        <w:t>，</w:t>
      </w:r>
      <w:r>
        <w:rPr>
          <w:rFonts w:ascii="Times New Roman" w:eastAsia="宋体"/>
        </w:rPr>
        <w:t>仅有轻微</w:t>
      </w:r>
      <w:r>
        <w:rPr>
          <w:rFonts w:hint="eastAsia" w:ascii="Times New Roman" w:eastAsia="宋体"/>
        </w:rPr>
        <w:t>痕迹和</w:t>
      </w:r>
      <w:r>
        <w:rPr>
          <w:rFonts w:ascii="Times New Roman" w:eastAsia="宋体"/>
        </w:rPr>
        <w:t>小的凹陷。</w:t>
      </w:r>
      <w:r>
        <w:rPr>
          <w:rFonts w:hint="eastAsia" w:ascii="Times New Roman" w:eastAsia="宋体"/>
        </w:rPr>
        <w:t>外壳在起吊、运输和安装时不应变形或损伤。顶盖采用双层、斜顶结构，有隔热作用，减少日照引起的变电站室内温度升高，顶部承受不小于2500N/m</w:t>
      </w:r>
      <w:r>
        <w:rPr>
          <w:rFonts w:ascii="Times New Roman" w:eastAsia="宋体"/>
          <w:vertAlign w:val="superscript"/>
        </w:rPr>
        <w:t>2</w:t>
      </w:r>
      <w:r>
        <w:rPr>
          <w:rFonts w:hint="eastAsia" w:ascii="Times New Roman" w:eastAsia="宋体"/>
        </w:rPr>
        <w:t>负荷，并确保站顶不渗水、滴漏。设计使用寿命不应小于30年。</w:t>
      </w:r>
    </w:p>
    <w:p>
      <w:pPr>
        <w:pStyle w:val="21"/>
        <w:numPr>
          <w:ilvl w:val="255"/>
          <w:numId w:val="0"/>
        </w:numPr>
        <w:spacing w:line="360" w:lineRule="auto"/>
        <w:outlineLvl w:val="9"/>
        <w:rPr>
          <w:rFonts w:ascii="Times New Roman" w:eastAsia="宋体"/>
        </w:rPr>
      </w:pPr>
      <w:r>
        <w:rPr>
          <w:rFonts w:ascii="Times New Roman" w:eastAsia="宋体"/>
          <w:b/>
          <w:bCs/>
          <w:lang w:val="en-US"/>
        </w:rPr>
        <w:t>5.3.1.3</w:t>
      </w:r>
      <w:r>
        <w:rPr>
          <w:rFonts w:hint="eastAsia" w:ascii="Times New Roman" w:eastAsia="宋体"/>
        </w:rPr>
        <w:t>箱体外壳应有喷涂防护层，防护层为静电喷涂而成，颜色采用工业灰（</w:t>
      </w:r>
      <w:r>
        <w:rPr>
          <w:rFonts w:ascii="Times New Roman" w:eastAsia="宋体"/>
        </w:rPr>
        <w:t>RAL7035</w:t>
      </w:r>
      <w:r>
        <w:rPr>
          <w:rFonts w:hint="eastAsia" w:ascii="Times New Roman" w:eastAsia="宋体"/>
        </w:rPr>
        <w:t>），涂层部分不应小于</w:t>
      </w:r>
      <w:r>
        <w:rPr>
          <w:rFonts w:ascii="Times New Roman" w:eastAsia="宋体"/>
        </w:rPr>
        <w:t>1</w:t>
      </w:r>
      <w:r>
        <w:rPr>
          <w:rFonts w:hint="eastAsia" w:ascii="Times New Roman" w:eastAsia="宋体"/>
          <w:lang w:val="en-US"/>
        </w:rPr>
        <w:t>00</w:t>
      </w:r>
      <w:r>
        <w:rPr>
          <w:rFonts w:ascii="Times New Roman" w:eastAsia="宋体"/>
        </w:rPr>
        <w:t>μm</w:t>
      </w:r>
      <w:r>
        <w:rPr>
          <w:rFonts w:hint="eastAsia" w:ascii="Times New Roman" w:eastAsia="宋体"/>
        </w:rPr>
        <w:t>并应均匀一致。表面覆盖涂层应有牢固的附着力。涂层能阻隔太阳的热辐射。箱壳至少20年不褪色，箱壳表面应丝印明显警示</w:t>
      </w:r>
      <w:r>
        <w:rPr>
          <w:rFonts w:ascii="Times New Roman" w:eastAsia="宋体"/>
        </w:rPr>
        <w:t>标示及粘贴</w:t>
      </w:r>
      <w:r>
        <w:rPr>
          <w:rFonts w:hint="eastAsia" w:ascii="Times New Roman" w:eastAsia="宋体"/>
        </w:rPr>
        <w:t>红白反光警示胶带。</w:t>
      </w:r>
    </w:p>
    <w:p>
      <w:pPr>
        <w:pStyle w:val="21"/>
        <w:numPr>
          <w:ilvl w:val="255"/>
          <w:numId w:val="0"/>
        </w:numPr>
        <w:spacing w:line="360" w:lineRule="auto"/>
        <w:outlineLvl w:val="9"/>
        <w:rPr>
          <w:rFonts w:ascii="Times New Roman" w:eastAsia="宋体"/>
        </w:rPr>
      </w:pPr>
      <w:r>
        <w:rPr>
          <w:rFonts w:ascii="Times New Roman" w:eastAsia="宋体"/>
          <w:b/>
          <w:bCs/>
          <w:lang w:val="en-US"/>
        </w:rPr>
        <w:t>5.3.1.4</w:t>
      </w:r>
      <w:r>
        <w:rPr>
          <w:rFonts w:hint="eastAsia" w:ascii="Times New Roman" w:eastAsia="宋体"/>
        </w:rPr>
        <w:t>门的设计尺寸应与所装用的设备尺寸相配合。所有的门应向外开，开启角度应大于</w:t>
      </w:r>
      <w:r>
        <w:rPr>
          <w:rFonts w:ascii="Times New Roman" w:eastAsia="宋体"/>
        </w:rPr>
        <w:t>120°</w:t>
      </w:r>
      <w:r>
        <w:rPr>
          <w:rFonts w:hint="eastAsia" w:ascii="Times New Roman" w:eastAsia="宋体"/>
        </w:rPr>
        <w:t>，并设定位装置。门应有密封措施，并装有把手、暗闩和能防雨、防堵、防锈，铰链应采用内铰链，门应有装设外挂锁，门锁钥匙应能通用；外露紧固件和五金部件（如门把手、暗闩、铰链等）材质采用</w:t>
      </w:r>
      <w:r>
        <w:rPr>
          <w:rFonts w:ascii="Times New Roman" w:eastAsia="宋体"/>
        </w:rPr>
        <w:t>304</w:t>
      </w:r>
      <w:r>
        <w:rPr>
          <w:rFonts w:hint="eastAsia" w:ascii="Times New Roman" w:eastAsia="宋体"/>
        </w:rPr>
        <w:t>不锈钢。当门关上时，应提供对外壳规定的防护等级。开门时，应具有声光警示功能。</w:t>
      </w:r>
    </w:p>
    <w:p>
      <w:pPr>
        <w:pStyle w:val="21"/>
        <w:numPr>
          <w:ilvl w:val="255"/>
          <w:numId w:val="0"/>
        </w:numPr>
        <w:spacing w:line="360" w:lineRule="auto"/>
        <w:outlineLvl w:val="9"/>
        <w:rPr>
          <w:rFonts w:ascii="Times New Roman" w:eastAsia="宋体"/>
        </w:rPr>
      </w:pPr>
      <w:r>
        <w:rPr>
          <w:rFonts w:ascii="Times New Roman" w:eastAsia="宋体"/>
          <w:b/>
          <w:bCs/>
          <w:lang w:val="en-US"/>
        </w:rPr>
        <w:t>5.3.1.5</w:t>
      </w:r>
      <w:r>
        <w:rPr>
          <w:rFonts w:hint="eastAsia" w:ascii="Times New Roman" w:eastAsia="宋体"/>
        </w:rPr>
        <w:t>预装式变电站应按自然通风设计，箱体应设足够的自然通风口和隔热措施，以保证在正常环境条件下运行时，所有电器设备不超过其最大允许温度；箱站内部应采取除湿、防爆和防凝露措施；站用电控制箱应具有照明、检修维护等功能。</w:t>
      </w:r>
    </w:p>
    <w:p>
      <w:pPr>
        <w:pStyle w:val="21"/>
        <w:numPr>
          <w:ilvl w:val="255"/>
          <w:numId w:val="0"/>
        </w:numPr>
        <w:spacing w:line="360" w:lineRule="auto"/>
        <w:outlineLvl w:val="9"/>
        <w:rPr>
          <w:rFonts w:ascii="Times New Roman" w:eastAsia="宋体"/>
        </w:rPr>
      </w:pPr>
      <w:r>
        <w:rPr>
          <w:rFonts w:ascii="Times New Roman" w:eastAsia="宋体"/>
          <w:b/>
          <w:bCs/>
          <w:lang w:val="en-US"/>
        </w:rPr>
        <w:t>5.3.1.6</w:t>
      </w:r>
      <w:r>
        <w:rPr>
          <w:rFonts w:hint="eastAsia" w:ascii="Times New Roman" w:eastAsia="宋体"/>
        </w:rPr>
        <w:t>预装式变电站中变压器室和低压室应装有强制通风冷却装置，风机能分别根据预设定的变压器室和低压室温度值自动启动和停止，（启动和停电温度应有5-10度的差值），且应有手动和自动模式。预装式变电站内部温度限值为年平均温度45℃、最高温度50℃。散热装置的设计应防止雨水和害虫进入，</w:t>
      </w:r>
      <w:r>
        <w:rPr>
          <w:rFonts w:hint="eastAsia" w:ascii="Times New Roman" w:eastAsia="宋体"/>
          <w:kern w:val="2"/>
          <w:szCs w:val="24"/>
          <w:lang w:val="en-US"/>
        </w:rPr>
        <w:t>并配备304不锈钢防虫网罩（厚度为1mm）；</w:t>
      </w:r>
      <w:r>
        <w:rPr>
          <w:rFonts w:hint="eastAsia" w:ascii="Times New Roman" w:eastAsia="宋体"/>
        </w:rPr>
        <w:t>散热装置应彻底除油，并通过磷酸盐或其他的防锈工艺进行外部处理。</w:t>
      </w:r>
    </w:p>
    <w:p>
      <w:pPr>
        <w:pStyle w:val="21"/>
        <w:numPr>
          <w:ilvl w:val="255"/>
          <w:numId w:val="0"/>
        </w:numPr>
        <w:spacing w:line="360" w:lineRule="auto"/>
        <w:outlineLvl w:val="9"/>
        <w:rPr>
          <w:rFonts w:ascii="Times New Roman" w:eastAsia="宋体"/>
        </w:rPr>
      </w:pPr>
      <w:r>
        <w:rPr>
          <w:rFonts w:ascii="Times New Roman" w:eastAsia="宋体"/>
          <w:b/>
          <w:bCs/>
          <w:lang w:val="en-US"/>
        </w:rPr>
        <w:t>5.3.1.7</w:t>
      </w:r>
      <w:r>
        <w:rPr>
          <w:rFonts w:hint="eastAsia" w:ascii="Times New Roman" w:eastAsia="宋体"/>
        </w:rPr>
        <w:t>箱体顶盖的倾斜度不应小于</w:t>
      </w:r>
      <w:r>
        <w:rPr>
          <w:rFonts w:ascii="Times New Roman" w:eastAsia="宋体"/>
        </w:rPr>
        <w:t>3°</w:t>
      </w:r>
      <w:r>
        <w:rPr>
          <w:rFonts w:hint="eastAsia" w:ascii="Times New Roman" w:eastAsia="宋体"/>
        </w:rPr>
        <w:t>，并应装设防雨檐。</w:t>
      </w:r>
    </w:p>
    <w:p>
      <w:pPr>
        <w:pStyle w:val="21"/>
        <w:numPr>
          <w:ilvl w:val="255"/>
          <w:numId w:val="0"/>
        </w:numPr>
        <w:spacing w:line="360" w:lineRule="auto"/>
        <w:outlineLvl w:val="9"/>
        <w:rPr>
          <w:rFonts w:ascii="Times New Roman" w:eastAsia="宋体"/>
        </w:rPr>
      </w:pPr>
      <w:r>
        <w:rPr>
          <w:rFonts w:ascii="Times New Roman" w:eastAsia="宋体"/>
          <w:b/>
          <w:bCs/>
          <w:lang w:val="en-US"/>
        </w:rPr>
        <w:t>5.3.1.8</w:t>
      </w:r>
      <w:r>
        <w:rPr>
          <w:rFonts w:hint="eastAsia" w:ascii="Times New Roman" w:eastAsia="宋体"/>
        </w:rPr>
        <w:t>高、低压室、变压器室等隔室内应设自动开闭的照明设施。</w:t>
      </w:r>
    </w:p>
    <w:p>
      <w:pPr>
        <w:pStyle w:val="21"/>
        <w:numPr>
          <w:ilvl w:val="255"/>
          <w:numId w:val="0"/>
        </w:numPr>
        <w:spacing w:line="360" w:lineRule="auto"/>
        <w:outlineLvl w:val="9"/>
        <w:rPr>
          <w:rFonts w:ascii="Times New Roman" w:eastAsia="宋体"/>
          <w:szCs w:val="22"/>
        </w:rPr>
      </w:pPr>
      <w:r>
        <w:rPr>
          <w:rFonts w:ascii="Times New Roman" w:eastAsia="宋体"/>
          <w:b/>
          <w:bCs/>
          <w:lang w:val="en-US"/>
        </w:rPr>
        <w:t>5.3.1.9</w:t>
      </w:r>
      <w:r>
        <w:rPr>
          <w:rFonts w:hint="eastAsia" w:ascii="Times New Roman" w:eastAsia="宋体"/>
          <w:szCs w:val="22"/>
        </w:rPr>
        <w:t>预装式变电站应能防止小动物进入。</w:t>
      </w:r>
    </w:p>
    <w:p>
      <w:pPr>
        <w:pStyle w:val="21"/>
        <w:numPr>
          <w:ilvl w:val="255"/>
          <w:numId w:val="0"/>
        </w:numPr>
        <w:adjustRightInd w:val="0"/>
        <w:snapToGrid w:val="0"/>
        <w:spacing w:line="360" w:lineRule="auto"/>
        <w:outlineLvl w:val="9"/>
        <w:rPr>
          <w:rFonts w:ascii="Times New Roman" w:eastAsia="宋体"/>
          <w:szCs w:val="22"/>
        </w:rPr>
      </w:pPr>
      <w:r>
        <w:rPr>
          <w:rFonts w:ascii="Times New Roman" w:eastAsia="宋体"/>
          <w:b/>
          <w:bCs/>
          <w:lang w:val="en-US"/>
        </w:rPr>
        <w:t>5.3.1.10</w:t>
      </w:r>
      <w:r>
        <w:rPr>
          <w:rFonts w:hint="eastAsia" w:ascii="Times New Roman" w:eastAsia="宋体"/>
          <w:szCs w:val="22"/>
          <w:lang w:val="en-US"/>
        </w:rPr>
        <w:t>箱体门应配置行程开关提供门状态辅助接点，开门时接点闭合，并通过有线方</w:t>
      </w:r>
      <w:r>
        <w:rPr>
          <w:rFonts w:hint="eastAsia" w:ascii="Times New Roman" w:eastAsia="宋体"/>
          <w:szCs w:val="22"/>
        </w:rPr>
        <w:t>式传送给配电智能网关。</w:t>
      </w:r>
    </w:p>
    <w:p>
      <w:pPr>
        <w:pStyle w:val="21"/>
        <w:numPr>
          <w:ilvl w:val="255"/>
          <w:numId w:val="0"/>
        </w:numPr>
        <w:spacing w:line="360" w:lineRule="auto"/>
        <w:outlineLvl w:val="9"/>
        <w:rPr>
          <w:rFonts w:eastAsia="宋体"/>
          <w:bCs/>
          <w:kern w:val="2"/>
          <w:szCs w:val="22"/>
        </w:rPr>
      </w:pPr>
      <w:r>
        <w:rPr>
          <w:rFonts w:ascii="Times New Roman" w:eastAsia="宋体"/>
          <w:b/>
          <w:bCs/>
          <w:szCs w:val="22"/>
          <w:lang w:val="en-US"/>
        </w:rPr>
        <w:t>5.3.</w:t>
      </w:r>
      <w:r>
        <w:rPr>
          <w:rFonts w:hint="eastAsia" w:ascii="Times New Roman" w:eastAsia="宋体"/>
          <w:b/>
          <w:bCs/>
          <w:szCs w:val="22"/>
          <w:lang w:val="en-US"/>
        </w:rPr>
        <w:t>1.</w:t>
      </w:r>
      <w:r>
        <w:rPr>
          <w:rFonts w:ascii="Times New Roman" w:eastAsia="宋体"/>
          <w:b/>
          <w:bCs/>
          <w:szCs w:val="22"/>
          <w:lang w:val="en-US"/>
        </w:rPr>
        <w:t>11</w:t>
      </w:r>
      <w:r>
        <w:rPr>
          <w:rFonts w:hint="eastAsia" w:eastAsia="宋体"/>
          <w:bCs/>
          <w:kern w:val="2"/>
          <w:szCs w:val="22"/>
          <w:lang w:val="en-US"/>
        </w:rPr>
        <w:t>智能网关宜采用双电源供电，其中主电源由配电站内配电箱交流220V电源供电；后备电源为电池或站内直流系统供电。正常情况下，智能网关由配电站内配电箱交流电源供电，当交流电源断电，智能网关应在无扰动情况下切换到后备电源供电。智能网关由招标方提供，投标方考虑二次电缆敷设及智能网关的通信接口，投标方负责在厂内整体安装工作，包括终端电源、通信组网等。</w:t>
      </w:r>
    </w:p>
    <w:p>
      <w:pPr>
        <w:pStyle w:val="15"/>
        <w:ind w:firstLine="0" w:firstLineChars="0"/>
        <w:rPr>
          <w:rFonts w:ascii="Times New Roman"/>
          <w:szCs w:val="22"/>
        </w:rPr>
      </w:pPr>
      <w:r>
        <w:rPr>
          <w:rFonts w:ascii="Times New Roman"/>
          <w:b/>
          <w:bCs/>
          <w:szCs w:val="22"/>
        </w:rPr>
        <w:t>5.3.1.12</w:t>
      </w:r>
      <w:r>
        <w:rPr>
          <w:rFonts w:hint="eastAsia" w:ascii="黑体"/>
          <w:bCs/>
          <w:kern w:val="2"/>
          <w:szCs w:val="22"/>
        </w:rPr>
        <w:t>智能网关设置在高压室DTU上方，采用专用平托架固定。</w:t>
      </w:r>
    </w:p>
    <w:p>
      <w:pPr>
        <w:pStyle w:val="18"/>
        <w:spacing w:before="120" w:after="120"/>
        <w:ind w:left="2325" w:hanging="2324" w:hangingChars="1107"/>
        <w:outlineLvl w:val="2"/>
        <w:rPr>
          <w:rFonts w:hAnsi="黑体"/>
        </w:rPr>
      </w:pPr>
      <w:bookmarkStart w:id="203" w:name="_Toc70580098"/>
      <w:bookmarkEnd w:id="203"/>
      <w:bookmarkStart w:id="204" w:name="_Toc78912270"/>
      <w:bookmarkStart w:id="205" w:name="_Toc424549760"/>
      <w:r>
        <w:rPr>
          <w:rFonts w:hAnsi="黑体"/>
        </w:rPr>
        <w:t>高压配电装置</w:t>
      </w:r>
      <w:bookmarkEnd w:id="204"/>
      <w:bookmarkEnd w:id="205"/>
    </w:p>
    <w:p>
      <w:pPr>
        <w:pStyle w:val="21"/>
        <w:numPr>
          <w:ilvl w:val="255"/>
          <w:numId w:val="0"/>
        </w:numPr>
        <w:spacing w:line="360" w:lineRule="auto"/>
        <w:outlineLvl w:val="9"/>
        <w:rPr>
          <w:rFonts w:ascii="Times New Roman" w:eastAsia="宋体"/>
          <w:szCs w:val="21"/>
          <w:lang w:val="en-US"/>
        </w:rPr>
      </w:pPr>
      <w:r>
        <w:rPr>
          <w:rFonts w:ascii="Times New Roman" w:eastAsia="宋体"/>
          <w:b/>
          <w:bCs/>
          <w:lang w:val="en-US"/>
        </w:rPr>
        <w:t>5.3.2.1</w:t>
      </w:r>
      <w:r>
        <w:rPr>
          <w:rFonts w:hint="eastAsia" w:ascii="Times New Roman" w:eastAsia="宋体"/>
          <w:szCs w:val="21"/>
        </w:rPr>
        <w:t>高压配电装置可根据需求选择SF</w:t>
      </w:r>
      <w:r>
        <w:rPr>
          <w:rFonts w:hint="eastAsia" w:ascii="Times New Roman" w:eastAsia="宋体"/>
          <w:szCs w:val="21"/>
          <w:vertAlign w:val="subscript"/>
        </w:rPr>
        <w:t>6</w:t>
      </w:r>
      <w:r>
        <w:rPr>
          <w:rFonts w:hint="eastAsia" w:ascii="Times New Roman" w:eastAsia="宋体"/>
          <w:szCs w:val="21"/>
        </w:rPr>
        <w:t>气体绝缘柜等，应符合</w:t>
      </w:r>
      <w:r>
        <w:rPr>
          <w:rFonts w:hint="eastAsia" w:eastAsia="宋体"/>
          <w:kern w:val="2"/>
        </w:rPr>
        <w:t>南方电网有限责任公司相关环网柜技术规范书</w:t>
      </w:r>
      <w:r>
        <w:rPr>
          <w:rFonts w:hint="eastAsia" w:ascii="Times New Roman" w:eastAsia="宋体"/>
          <w:szCs w:val="21"/>
        </w:rPr>
        <w:t>要求。</w:t>
      </w:r>
    </w:p>
    <w:p>
      <w:pPr>
        <w:pStyle w:val="21"/>
        <w:numPr>
          <w:ilvl w:val="255"/>
          <w:numId w:val="0"/>
        </w:numPr>
        <w:spacing w:line="360" w:lineRule="auto"/>
        <w:outlineLvl w:val="9"/>
        <w:rPr>
          <w:rFonts w:ascii="Times New Roman" w:eastAsia="宋体"/>
          <w:szCs w:val="21"/>
        </w:rPr>
      </w:pPr>
      <w:r>
        <w:rPr>
          <w:rFonts w:ascii="Times New Roman" w:eastAsia="宋体"/>
          <w:b/>
          <w:bCs/>
          <w:lang w:val="en-US"/>
        </w:rPr>
        <w:t>5.3.2.2</w:t>
      </w:r>
      <w:r>
        <w:rPr>
          <w:rFonts w:hint="eastAsia" w:ascii="Times New Roman" w:eastAsia="宋体"/>
          <w:szCs w:val="21"/>
        </w:rPr>
        <w:t>高压室门的内侧应标出主回路的线路图，同时应注明操作程序和注意事项；高压配电间隔的门面上应标出主回路图；开关状态位置应有中文标识；接地开关需设置防误操作的外挂锁；信号灯及仪表应装设在易于观察和方便、安全地更换的地方；电缆接线套管的高度应满足安装、试验、检修的要求。</w:t>
      </w:r>
    </w:p>
    <w:p>
      <w:pPr>
        <w:pStyle w:val="21"/>
        <w:numPr>
          <w:ilvl w:val="255"/>
          <w:numId w:val="0"/>
        </w:numPr>
        <w:spacing w:line="360" w:lineRule="auto"/>
        <w:outlineLvl w:val="9"/>
        <w:rPr>
          <w:rFonts w:ascii="Times New Roman" w:eastAsia="宋体"/>
          <w:szCs w:val="21"/>
          <w:lang w:val="en-US"/>
        </w:rPr>
      </w:pPr>
      <w:r>
        <w:rPr>
          <w:rFonts w:ascii="Times New Roman" w:eastAsia="宋体"/>
          <w:b/>
          <w:bCs/>
          <w:lang w:val="en-US"/>
        </w:rPr>
        <w:t>5.3.2.3</w:t>
      </w:r>
      <w:r>
        <w:rPr>
          <w:rFonts w:hint="eastAsia" w:ascii="Times New Roman" w:eastAsia="宋体"/>
          <w:szCs w:val="21"/>
        </w:rPr>
        <w:t>高压柜至变压器的高压电缆应采用单芯</w:t>
      </w:r>
      <w:r>
        <w:rPr>
          <w:rFonts w:hint="eastAsia" w:ascii="Times New Roman" w:eastAsia="宋体"/>
          <w:szCs w:val="21"/>
          <w:lang w:val="en-US"/>
        </w:rPr>
        <w:t>A级</w:t>
      </w:r>
      <w:r>
        <w:rPr>
          <w:rFonts w:hint="eastAsia" w:ascii="Times New Roman" w:eastAsia="宋体"/>
          <w:szCs w:val="21"/>
        </w:rPr>
        <w:t>阻燃电缆</w:t>
      </w:r>
      <w:r>
        <w:rPr>
          <w:rFonts w:hint="eastAsia" w:ascii="Times New Roman" w:eastAsia="宋体"/>
          <w:kern w:val="2"/>
          <w:szCs w:val="24"/>
          <w:lang w:val="en-US"/>
        </w:rPr>
        <w:t>（型号为ZRA YJV-8.7/15），截面积</w:t>
      </w:r>
      <w:r>
        <w:rPr>
          <w:rFonts w:hint="eastAsia" w:ascii="Times New Roman" w:eastAsia="宋体"/>
          <w:szCs w:val="21"/>
        </w:rPr>
        <w:t>应不小于</w:t>
      </w:r>
      <w:r>
        <w:rPr>
          <w:rFonts w:ascii="Times New Roman" w:eastAsia="宋体"/>
          <w:szCs w:val="21"/>
        </w:rPr>
        <w:t>70mm</w:t>
      </w:r>
      <w:r>
        <w:rPr>
          <w:rFonts w:ascii="Times New Roman" w:eastAsia="宋体"/>
          <w:szCs w:val="21"/>
          <w:vertAlign w:val="superscript"/>
        </w:rPr>
        <w:t>2</w:t>
      </w:r>
      <w:r>
        <w:rPr>
          <w:rFonts w:hint="eastAsia" w:ascii="Times New Roman" w:eastAsia="宋体"/>
          <w:szCs w:val="21"/>
        </w:rPr>
        <w:t>。高压电缆在变压器室，固定位置不小于</w:t>
      </w:r>
      <w:r>
        <w:rPr>
          <w:rFonts w:ascii="Times New Roman" w:eastAsia="宋体"/>
          <w:szCs w:val="21"/>
        </w:rPr>
        <w:t>2</w:t>
      </w:r>
      <w:r>
        <w:rPr>
          <w:rFonts w:hint="eastAsia" w:ascii="Times New Roman" w:eastAsia="宋体"/>
          <w:szCs w:val="21"/>
        </w:rPr>
        <w:t>处，高压电缆与变压器连接处电缆头弯度须满足电缆头制作工艺要求，电缆头处应不受应力。</w:t>
      </w:r>
    </w:p>
    <w:p>
      <w:pPr>
        <w:pStyle w:val="21"/>
        <w:numPr>
          <w:ilvl w:val="255"/>
          <w:numId w:val="0"/>
        </w:numPr>
        <w:spacing w:line="360" w:lineRule="auto"/>
        <w:outlineLvl w:val="9"/>
        <w:rPr>
          <w:rFonts w:ascii="Times New Roman" w:eastAsia="宋体"/>
          <w:szCs w:val="21"/>
          <w:lang w:val="en-US"/>
        </w:rPr>
      </w:pPr>
      <w:r>
        <w:rPr>
          <w:rFonts w:ascii="Times New Roman" w:eastAsia="宋体"/>
          <w:b/>
          <w:bCs/>
          <w:szCs w:val="22"/>
          <w:lang w:val="en-US"/>
        </w:rPr>
        <w:t>5.3.2.4</w:t>
      </w:r>
      <w:r>
        <w:rPr>
          <w:rFonts w:hint="eastAsia" w:ascii="Times New Roman" w:eastAsia="宋体"/>
          <w:szCs w:val="21"/>
          <w:lang w:val="en-US"/>
        </w:rPr>
        <w:t>对于环网型预装式变电站，应配置壁挂型分布式DTU（W600</w:t>
      </w:r>
      <w:r>
        <w:rPr>
          <w:rFonts w:ascii="ABCDEF+TimesNewRomanPSMT" w:hAnsi="ABCDEF+TimesNewRomanPSMT"/>
        </w:rPr>
        <w:t>×</w:t>
      </w:r>
      <w:r>
        <w:rPr>
          <w:rFonts w:hint="eastAsia" w:ascii="ABCDEF+TimesNewRomanPSMT" w:hAnsi="ABCDEF+TimesNewRomanPSMT"/>
        </w:rPr>
        <w:t>D140</w:t>
      </w:r>
      <w:r>
        <w:rPr>
          <w:rFonts w:ascii="ABCDEF+TimesNewRomanPSMT" w:hAnsi="ABCDEF+TimesNewRomanPSMT"/>
        </w:rPr>
        <w:t>×</w:t>
      </w:r>
      <w:r>
        <w:rPr>
          <w:rFonts w:hint="eastAsia" w:ascii="ABCDEF+TimesNewRomanPSMT" w:hAnsi="ABCDEF+TimesNewRomanPSMT"/>
        </w:rPr>
        <w:t>H900）</w:t>
      </w:r>
      <w:r>
        <w:rPr>
          <w:rFonts w:hint="eastAsia" w:ascii="Times New Roman" w:eastAsia="宋体"/>
          <w:szCs w:val="21"/>
          <w:lang w:val="en-US"/>
        </w:rPr>
        <w:t>的环网柜，并应符合南网相关技术规范书要求。DTU由投标方提供，投标方需考虑二次电缆敷设及DTU的通信接口，投标方负责在厂内整体安装工作，包括终端电源、通信组网等。</w:t>
      </w:r>
    </w:p>
    <w:p>
      <w:pPr>
        <w:pStyle w:val="21"/>
        <w:numPr>
          <w:ilvl w:val="255"/>
          <w:numId w:val="0"/>
        </w:numPr>
        <w:spacing w:line="360" w:lineRule="auto"/>
        <w:outlineLvl w:val="9"/>
        <w:rPr>
          <w:rFonts w:ascii="Times New Roman" w:eastAsia="宋体"/>
          <w:szCs w:val="21"/>
          <w:lang w:val="en-US"/>
        </w:rPr>
      </w:pPr>
      <w:r>
        <w:rPr>
          <w:rFonts w:hint="eastAsia" w:ascii="Times New Roman" w:eastAsia="宋体"/>
          <w:szCs w:val="21"/>
          <w:lang w:val="en-US"/>
        </w:rPr>
        <w:t>5.3.2.5 在不考虑太阳辐射效应的前提下，在周围环境最高为40℃时，预装式变电站外壳的可触及部分的最高允许温度不应超过70℃。</w:t>
      </w:r>
    </w:p>
    <w:p>
      <w:pPr>
        <w:pStyle w:val="18"/>
        <w:spacing w:before="120" w:after="120"/>
        <w:ind w:left="2325" w:hanging="2324" w:hangingChars="1107"/>
        <w:outlineLvl w:val="2"/>
        <w:rPr>
          <w:rFonts w:hAnsi="黑体"/>
        </w:rPr>
      </w:pPr>
      <w:bookmarkStart w:id="206" w:name="_Toc78912271"/>
      <w:bookmarkStart w:id="207" w:name="_Toc424549761"/>
      <w:r>
        <w:rPr>
          <w:rFonts w:hAnsi="黑体"/>
        </w:rPr>
        <w:t>低压配电装置</w:t>
      </w:r>
      <w:bookmarkEnd w:id="206"/>
      <w:bookmarkEnd w:id="207"/>
    </w:p>
    <w:p>
      <w:pPr>
        <w:spacing w:line="360" w:lineRule="auto"/>
      </w:pPr>
      <w:r>
        <w:rPr>
          <w:b/>
          <w:bCs/>
          <w:kern w:val="0"/>
          <w:szCs w:val="22"/>
        </w:rPr>
        <w:t>5.3.3.1</w:t>
      </w:r>
      <w:r>
        <w:rPr>
          <w:rFonts w:hint="eastAsia" w:ascii="宋体" w:hAnsi="宋体"/>
          <w:szCs w:val="21"/>
        </w:rPr>
        <w:t>低压配电装置选用固定式低压开关柜，应符合</w:t>
      </w:r>
      <w:r>
        <w:rPr>
          <w:rFonts w:ascii="宋体" w:hAnsi="宋体"/>
          <w:szCs w:val="21"/>
        </w:rPr>
        <w:t>GB</w:t>
      </w:r>
      <w:r>
        <w:rPr>
          <w:rFonts w:hint="eastAsia" w:ascii="宋体" w:hAnsi="宋体"/>
          <w:szCs w:val="21"/>
        </w:rPr>
        <w:t>/T</w:t>
      </w:r>
      <w:r>
        <w:rPr>
          <w:rFonts w:ascii="宋体" w:hAnsi="宋体"/>
          <w:szCs w:val="21"/>
        </w:rPr>
        <w:t xml:space="preserve"> 17467</w:t>
      </w:r>
      <w:r>
        <w:rPr>
          <w:rFonts w:hint="eastAsia" w:ascii="宋体" w:hAnsi="宋体"/>
          <w:szCs w:val="21"/>
        </w:rPr>
        <w:t>《高压</w:t>
      </w:r>
      <w:r>
        <w:rPr>
          <w:rFonts w:ascii="宋体" w:hAnsi="宋体"/>
          <w:szCs w:val="21"/>
        </w:rPr>
        <w:t>/</w:t>
      </w:r>
      <w:r>
        <w:rPr>
          <w:rFonts w:hint="eastAsia" w:ascii="宋体" w:hAnsi="宋体"/>
          <w:szCs w:val="21"/>
        </w:rPr>
        <w:t>低压预装式变电站》和中国南方电网有限责任公司相关低压开关柜技术规范书要求。</w:t>
      </w:r>
    </w:p>
    <w:p>
      <w:pPr>
        <w:pStyle w:val="21"/>
        <w:numPr>
          <w:ilvl w:val="255"/>
          <w:numId w:val="0"/>
        </w:numPr>
        <w:spacing w:line="360" w:lineRule="auto"/>
        <w:outlineLvl w:val="9"/>
        <w:rPr>
          <w:rFonts w:ascii="Times New Roman" w:eastAsia="宋体"/>
        </w:rPr>
      </w:pPr>
      <w:r>
        <w:rPr>
          <w:rFonts w:ascii="Times New Roman" w:eastAsia="宋体"/>
          <w:b/>
          <w:bCs/>
          <w:szCs w:val="22"/>
          <w:lang w:val="en-US"/>
        </w:rPr>
        <w:t>5.3.3.2</w:t>
      </w:r>
      <w:r>
        <w:rPr>
          <w:rFonts w:hint="eastAsia" w:ascii="Times New Roman" w:eastAsia="宋体"/>
        </w:rPr>
        <w:t>预装式变电站的低压进线柜可配置应急发电车接口，</w:t>
      </w:r>
      <w:r>
        <w:rPr>
          <w:rFonts w:hint="eastAsia" w:ascii="Times New Roman" w:eastAsia="宋体"/>
          <w:szCs w:val="21"/>
        </w:rPr>
        <w:t>如配置发电车插拔头，则应采用母口形式。</w:t>
      </w:r>
      <w:r>
        <w:rPr>
          <w:rFonts w:hint="eastAsia" w:ascii="Times New Roman" w:eastAsia="宋体"/>
        </w:rPr>
        <w:t>各出线</w:t>
      </w:r>
      <w:r>
        <w:rPr>
          <w:rFonts w:hint="eastAsia" w:ascii="Times New Roman" w:eastAsia="宋体"/>
          <w:szCs w:val="22"/>
        </w:rPr>
        <w:t>回路</w:t>
      </w:r>
      <w:r>
        <w:rPr>
          <w:rFonts w:hint="eastAsia" w:ascii="Times New Roman" w:eastAsia="宋体"/>
        </w:rPr>
        <w:t>采用塑料外壳式断路器，低压室门的内侧应标出主回路的线路图，信号灯及仪表的装设位置应易于观察和安全地更换。</w:t>
      </w:r>
    </w:p>
    <w:p>
      <w:pPr>
        <w:pStyle w:val="21"/>
        <w:numPr>
          <w:ilvl w:val="255"/>
          <w:numId w:val="0"/>
        </w:numPr>
        <w:spacing w:line="360" w:lineRule="auto"/>
        <w:outlineLvl w:val="9"/>
        <w:rPr>
          <w:rFonts w:ascii="Times New Roman" w:eastAsia="宋体"/>
        </w:rPr>
      </w:pPr>
      <w:r>
        <w:rPr>
          <w:rFonts w:ascii="Times New Roman" w:eastAsia="宋体"/>
          <w:b/>
          <w:bCs/>
          <w:szCs w:val="22"/>
          <w:lang w:val="en-US"/>
        </w:rPr>
        <w:t>5.3.3.3</w:t>
      </w:r>
      <w:r>
        <w:rPr>
          <w:rFonts w:hint="eastAsia" w:ascii="Times New Roman" w:eastAsia="宋体"/>
        </w:rPr>
        <w:t>在预</w:t>
      </w:r>
      <w:r>
        <w:rPr>
          <w:rFonts w:hint="eastAsia" w:ascii="Times New Roman" w:eastAsia="宋体"/>
          <w:szCs w:val="22"/>
        </w:rPr>
        <w:t>装式变电站低压侧低压总柜内应设计量小室，计量小室预留两个计量表的安装位置，并预留表架和接线盒、二次电缆。计量小室位置可方便铅封，所配用的电能计量装置应满足DL</w:t>
      </w:r>
      <w:r>
        <w:rPr>
          <w:rFonts w:hint="eastAsia" w:ascii="Times New Roman" w:eastAsia="宋体"/>
          <w:szCs w:val="22"/>
          <w:lang w:val="en-US"/>
        </w:rPr>
        <w:t>/T</w:t>
      </w:r>
      <w:r>
        <w:rPr>
          <w:rFonts w:hint="eastAsia" w:ascii="Times New Roman" w:eastAsia="宋体"/>
          <w:szCs w:val="22"/>
        </w:rPr>
        <w:t xml:space="preserve"> 448《电能计量装置技术管理规程》以及南方电网公司《电能计量装置典型设计》的规定。电能计量应用专用的电流互感器，电能计量装置的外形尺寸、布置方式和颜色均应与预装式变电站内的高、低压配电装置相协调。</w:t>
      </w:r>
    </w:p>
    <w:p>
      <w:pPr>
        <w:pStyle w:val="21"/>
        <w:numPr>
          <w:ilvl w:val="255"/>
          <w:numId w:val="0"/>
        </w:numPr>
        <w:spacing w:line="360" w:lineRule="auto"/>
        <w:outlineLvl w:val="9"/>
      </w:pPr>
      <w:r>
        <w:rPr>
          <w:rFonts w:ascii="Times New Roman" w:eastAsia="宋体"/>
          <w:b/>
          <w:bCs/>
          <w:szCs w:val="22"/>
          <w:lang w:val="en-US"/>
        </w:rPr>
        <w:t>5.3.3.4</w:t>
      </w:r>
      <w:r>
        <w:rPr>
          <w:rFonts w:hint="eastAsia" w:ascii="Times New Roman" w:eastAsia="宋体"/>
          <w:szCs w:val="22"/>
          <w:lang w:val="en-US"/>
        </w:rPr>
        <w:t xml:space="preserve"> </w:t>
      </w:r>
      <w:r>
        <w:rPr>
          <w:rFonts w:hint="eastAsia" w:ascii="Times New Roman" w:eastAsia="宋体"/>
          <w:szCs w:val="22"/>
        </w:rPr>
        <w:t>低压配电装置应装设低压无功补偿装置，补偿容量一般为变压器容量30%。补偿方式为共补加分补，</w:t>
      </w:r>
      <w:r>
        <w:rPr>
          <w:rFonts w:hint="eastAsia" w:ascii="Times New Roman" w:eastAsia="宋体"/>
          <w:szCs w:val="22"/>
          <w:lang w:val="en-US"/>
        </w:rPr>
        <w:t>应</w:t>
      </w:r>
      <w:r>
        <w:rPr>
          <w:rFonts w:hint="eastAsia" w:ascii="Times New Roman" w:eastAsia="宋体"/>
          <w:szCs w:val="22"/>
        </w:rPr>
        <w:t>按照30%左右分相分补，70%左右三相共补，采用智能电容。无功补偿控制器具备监测电容投入数量及功率因数功能，并监控故障告警，应带有RS485通讯接口，支持Modbus通讯规约与配电智能网关进行数据交互。</w:t>
      </w:r>
    </w:p>
    <w:p>
      <w:pPr>
        <w:pStyle w:val="18"/>
        <w:spacing w:before="120" w:after="120"/>
        <w:ind w:left="2325" w:hanging="2324" w:hangingChars="1107"/>
        <w:outlineLvl w:val="2"/>
        <w:rPr>
          <w:rFonts w:hAnsi="黑体"/>
        </w:rPr>
      </w:pPr>
      <w:bookmarkStart w:id="208" w:name="_Toc424549762"/>
      <w:bookmarkStart w:id="209" w:name="_Toc78912272"/>
      <w:r>
        <w:rPr>
          <w:rFonts w:hint="eastAsia" w:hAnsi="黑体"/>
        </w:rPr>
        <w:t>配电</w:t>
      </w:r>
      <w:r>
        <w:rPr>
          <w:rFonts w:hAnsi="黑体"/>
        </w:rPr>
        <w:t>变压器</w:t>
      </w:r>
      <w:bookmarkEnd w:id="208"/>
      <w:bookmarkEnd w:id="209"/>
    </w:p>
    <w:p>
      <w:pPr>
        <w:pStyle w:val="21"/>
        <w:numPr>
          <w:ilvl w:val="255"/>
          <w:numId w:val="0"/>
        </w:numPr>
        <w:spacing w:line="360" w:lineRule="auto"/>
        <w:outlineLvl w:val="9"/>
        <w:rPr>
          <w:rFonts w:ascii="Times New Roman" w:eastAsia="宋体"/>
        </w:rPr>
      </w:pPr>
      <w:r>
        <w:rPr>
          <w:rFonts w:ascii="Times New Roman" w:eastAsia="宋体"/>
          <w:b/>
          <w:bCs/>
          <w:szCs w:val="22"/>
          <w:lang w:val="en-US"/>
        </w:rPr>
        <w:t>5.3.4.1</w:t>
      </w:r>
      <w:r>
        <w:rPr>
          <w:rFonts w:hint="eastAsia" w:ascii="Times New Roman" w:eastAsia="宋体"/>
          <w:szCs w:val="21"/>
        </w:rPr>
        <w:t>配电变压器根据需求可选用</w:t>
      </w:r>
      <w:r>
        <w:rPr>
          <w:rFonts w:ascii="Times New Roman" w:eastAsia="宋体"/>
          <w:szCs w:val="21"/>
        </w:rPr>
        <w:t>10kV</w:t>
      </w:r>
      <w:r>
        <w:rPr>
          <w:rFonts w:hint="eastAsia" w:ascii="Times New Roman" w:eastAsia="宋体"/>
          <w:szCs w:val="21"/>
        </w:rPr>
        <w:t>油浸式配电变压器（</w:t>
      </w:r>
      <w:r>
        <w:rPr>
          <w:rFonts w:hint="eastAsia" w:ascii="Times New Roman" w:eastAsia="宋体"/>
          <w:szCs w:val="21"/>
          <w:lang w:val="en-US"/>
        </w:rPr>
        <w:t>满足GB 20052 中二级能效及以上要求</w:t>
      </w:r>
      <w:r>
        <w:rPr>
          <w:rFonts w:hint="eastAsia" w:ascii="Times New Roman" w:eastAsia="宋体"/>
          <w:szCs w:val="21"/>
        </w:rPr>
        <w:t>），应符合中国南方电网有限责任公司相关</w:t>
      </w:r>
      <w:r>
        <w:rPr>
          <w:rFonts w:ascii="Times New Roman" w:eastAsia="宋体"/>
          <w:szCs w:val="21"/>
        </w:rPr>
        <w:t>10kV</w:t>
      </w:r>
      <w:r>
        <w:rPr>
          <w:rFonts w:hint="eastAsia" w:ascii="Times New Roman" w:eastAsia="宋体"/>
          <w:szCs w:val="21"/>
        </w:rPr>
        <w:t>油浸式变压器技术规范书要求。</w:t>
      </w:r>
    </w:p>
    <w:p>
      <w:pPr>
        <w:pStyle w:val="21"/>
        <w:numPr>
          <w:ilvl w:val="255"/>
          <w:numId w:val="0"/>
        </w:numPr>
        <w:spacing w:line="360" w:lineRule="auto"/>
        <w:outlineLvl w:val="9"/>
        <w:rPr>
          <w:rFonts w:ascii="Times New Roman" w:eastAsia="宋体"/>
        </w:rPr>
      </w:pPr>
      <w:r>
        <w:rPr>
          <w:rFonts w:ascii="Times New Roman" w:eastAsia="宋体"/>
          <w:b/>
          <w:bCs/>
          <w:szCs w:val="22"/>
          <w:lang w:val="en-US"/>
        </w:rPr>
        <w:t>5.3.4.2</w:t>
      </w:r>
      <w:r>
        <w:rPr>
          <w:rFonts w:hint="eastAsia" w:ascii="Times New Roman" w:eastAsia="宋体"/>
        </w:rPr>
        <w:t>变压器的安装应设有基座轨道。</w:t>
      </w:r>
    </w:p>
    <w:p>
      <w:pPr>
        <w:pStyle w:val="15"/>
        <w:ind w:firstLine="0" w:firstLineChars="0"/>
      </w:pPr>
      <w:r>
        <w:rPr>
          <w:rFonts w:ascii="Times New Roman"/>
          <w:b/>
          <w:bCs/>
          <w:szCs w:val="22"/>
        </w:rPr>
        <w:t>5.3.4.3</w:t>
      </w:r>
      <w:r>
        <w:rPr>
          <w:rFonts w:hint="eastAsia" w:ascii="Times New Roman"/>
          <w:b/>
          <w:bCs/>
          <w:szCs w:val="22"/>
        </w:rPr>
        <w:t xml:space="preserve"> </w:t>
      </w:r>
      <w:r>
        <w:rPr>
          <w:rFonts w:hint="eastAsia" w:ascii="Times New Roman"/>
        </w:rPr>
        <w:t>铭牌应面向箱门。</w:t>
      </w:r>
    </w:p>
    <w:p>
      <w:pPr>
        <w:pStyle w:val="21"/>
        <w:numPr>
          <w:ilvl w:val="255"/>
          <w:numId w:val="0"/>
        </w:numPr>
        <w:spacing w:line="360" w:lineRule="auto"/>
        <w:outlineLvl w:val="9"/>
        <w:rPr>
          <w:rFonts w:ascii="Times New Roman" w:eastAsia="宋体"/>
        </w:rPr>
      </w:pPr>
      <w:r>
        <w:rPr>
          <w:rFonts w:ascii="Times New Roman" w:eastAsia="宋体"/>
          <w:b/>
          <w:bCs/>
          <w:szCs w:val="22"/>
          <w:lang w:val="en-US"/>
        </w:rPr>
        <w:t>5.3.4.4</w:t>
      </w:r>
      <w:r>
        <w:rPr>
          <w:rFonts w:hint="eastAsia" w:ascii="Times New Roman" w:eastAsia="宋体"/>
          <w:szCs w:val="22"/>
          <w:lang w:val="en-US"/>
        </w:rPr>
        <w:t>与变压器相连接的低压连线可采用单芯电缆或铜排（采用铜带连接），其截面选择应</w:t>
      </w:r>
      <w:r>
        <w:rPr>
          <w:rFonts w:hint="eastAsia" w:ascii="Times New Roman" w:eastAsia="宋体"/>
        </w:rPr>
        <w:t>满足额定电流和热稳定电流的要求，固定方式应满足动稳定电流的要求。变压器至低压柜的电气连线：</w:t>
      </w:r>
      <w:r>
        <w:rPr>
          <w:rFonts w:hint="eastAsia" w:ascii="Times New Roman" w:eastAsia="宋体"/>
          <w:lang w:val="en-US"/>
        </w:rPr>
        <w:t>630kVA及以下容量采用电缆或铜排，不得存在裸露部分铜排</w:t>
      </w:r>
      <w:r>
        <w:rPr>
          <w:rFonts w:hint="eastAsia" w:ascii="Times New Roman" w:eastAsia="宋体"/>
        </w:rPr>
        <w:t>，连接铜排需设置热缩套，并在变压器低压出口增加软连接。变压器的接线端子上应设绝缘保护罩。</w:t>
      </w:r>
    </w:p>
    <w:p>
      <w:pPr>
        <w:pStyle w:val="21"/>
        <w:numPr>
          <w:ilvl w:val="255"/>
          <w:numId w:val="0"/>
        </w:numPr>
        <w:spacing w:line="360" w:lineRule="auto"/>
        <w:outlineLvl w:val="9"/>
        <w:rPr>
          <w:rFonts w:ascii="Times New Roman" w:eastAsia="宋体"/>
          <w:szCs w:val="21"/>
          <w:lang w:val="en-US"/>
        </w:rPr>
      </w:pPr>
      <w:r>
        <w:rPr>
          <w:rFonts w:ascii="Times New Roman" w:eastAsia="宋体"/>
          <w:b/>
          <w:bCs/>
          <w:szCs w:val="22"/>
          <w:lang w:val="en-US"/>
        </w:rPr>
        <w:t>5.3.4.5</w:t>
      </w:r>
      <w:r>
        <w:rPr>
          <w:rFonts w:hint="eastAsia" w:ascii="Times New Roman" w:eastAsia="宋体"/>
        </w:rPr>
        <w:t>变压器室应根据高压配电装置设计技术规程的要求装设绝缘防护网，防护网应能保证无法触碰到带电体，网孔不应大于</w:t>
      </w:r>
      <w:r>
        <w:rPr>
          <w:rFonts w:ascii="Times New Roman" w:eastAsia="宋体"/>
        </w:rPr>
        <w:t>40mm×40mm</w:t>
      </w:r>
      <w:r>
        <w:rPr>
          <w:rFonts w:hint="eastAsia" w:ascii="Times New Roman" w:eastAsia="宋体"/>
        </w:rPr>
        <w:t>，利于巡视测温，并使用专用工具打开，具有防止带电误闯入功能</w:t>
      </w:r>
      <w:r>
        <w:rPr>
          <w:rFonts w:hint="eastAsia" w:ascii="Times New Roman" w:eastAsia="宋体"/>
          <w:szCs w:val="21"/>
        </w:rPr>
        <w:t>。</w:t>
      </w:r>
      <w:r>
        <w:rPr>
          <w:rFonts w:hint="eastAsia" w:ascii="Times New Roman" w:eastAsia="宋体"/>
          <w:szCs w:val="21"/>
          <w:lang w:val="en-US"/>
        </w:rPr>
        <w:t>变压器在外壳内和外壳外的温升均不应超过技术规范书所规定的温升限值。</w:t>
      </w:r>
    </w:p>
    <w:p>
      <w:pPr>
        <w:pStyle w:val="15"/>
        <w:ind w:firstLine="0" w:firstLineChars="0"/>
        <w:rPr>
          <w:rFonts w:ascii="Times New Roman"/>
          <w:szCs w:val="22"/>
          <w:lang w:val="zh-CN"/>
        </w:rPr>
      </w:pPr>
      <w:r>
        <w:rPr>
          <w:rFonts w:ascii="Times New Roman"/>
          <w:b/>
          <w:bCs/>
          <w:szCs w:val="22"/>
        </w:rPr>
        <w:t>5.3.4.6</w:t>
      </w:r>
      <w:r>
        <w:rPr>
          <w:rFonts w:hint="eastAsia" w:ascii="Times New Roman"/>
          <w:szCs w:val="21"/>
        </w:rPr>
        <w:t xml:space="preserve"> </w:t>
      </w:r>
      <w:r>
        <w:rPr>
          <w:rFonts w:hint="eastAsia" w:ascii="Times New Roman"/>
          <w:szCs w:val="22"/>
          <w:lang w:val="zh-CN"/>
        </w:rPr>
        <w:t>对安装在噪声要求高的区域的预装式变电站，变压器底部与箱变底座连接处，应加垫胶垫（</w:t>
      </w:r>
      <w:r>
        <w:rPr>
          <w:rFonts w:hint="eastAsia" w:ascii="Times New Roman"/>
          <w:szCs w:val="22"/>
        </w:rPr>
        <w:t>面积应与变压器相适应，厚度不小于10mm）</w:t>
      </w:r>
      <w:r>
        <w:rPr>
          <w:rFonts w:hint="eastAsia" w:ascii="Times New Roman"/>
          <w:szCs w:val="22"/>
          <w:lang w:val="zh-CN"/>
        </w:rPr>
        <w:t>，起减振缓冲</w:t>
      </w:r>
      <w:r>
        <w:rPr>
          <w:rFonts w:hint="eastAsia" w:ascii="Times New Roman"/>
          <w:szCs w:val="22"/>
        </w:rPr>
        <w:t>及降噪</w:t>
      </w:r>
      <w:r>
        <w:rPr>
          <w:rFonts w:hint="eastAsia" w:ascii="Times New Roman"/>
          <w:szCs w:val="22"/>
          <w:lang w:val="zh-CN"/>
        </w:rPr>
        <w:t>作用，噪声白天</w:t>
      </w:r>
      <w:r>
        <w:rPr>
          <w:rFonts w:hint="eastAsia" w:ascii="Times New Roman"/>
          <w:szCs w:val="22"/>
        </w:rPr>
        <w:t>应</w:t>
      </w:r>
      <w:r>
        <w:rPr>
          <w:rFonts w:hint="eastAsia" w:ascii="Times New Roman"/>
          <w:szCs w:val="22"/>
          <w:lang w:val="zh-CN"/>
        </w:rPr>
        <w:t>不大于55</w:t>
      </w:r>
      <w:r>
        <w:rPr>
          <w:rFonts w:hint="eastAsia" w:ascii="Times New Roman"/>
          <w:szCs w:val="22"/>
        </w:rPr>
        <w:t>d</w:t>
      </w:r>
      <w:r>
        <w:rPr>
          <w:rFonts w:hint="eastAsia" w:ascii="Times New Roman"/>
          <w:szCs w:val="22"/>
          <w:lang w:val="zh-CN"/>
        </w:rPr>
        <w:t>B，晚上</w:t>
      </w:r>
      <w:r>
        <w:rPr>
          <w:rFonts w:hint="eastAsia" w:ascii="Times New Roman"/>
          <w:szCs w:val="22"/>
        </w:rPr>
        <w:t>应</w:t>
      </w:r>
      <w:r>
        <w:rPr>
          <w:rFonts w:hint="eastAsia" w:ascii="Times New Roman"/>
          <w:szCs w:val="22"/>
          <w:lang w:val="zh-CN"/>
        </w:rPr>
        <w:t>不大于45</w:t>
      </w:r>
      <w:r>
        <w:rPr>
          <w:rFonts w:hint="eastAsia" w:ascii="Times New Roman"/>
          <w:szCs w:val="22"/>
        </w:rPr>
        <w:t>d</w:t>
      </w:r>
      <w:r>
        <w:rPr>
          <w:rFonts w:hint="eastAsia" w:ascii="Times New Roman"/>
          <w:szCs w:val="22"/>
          <w:lang w:val="zh-CN"/>
        </w:rPr>
        <w:t>B。</w:t>
      </w:r>
    </w:p>
    <w:p>
      <w:pPr>
        <w:pStyle w:val="15"/>
        <w:ind w:firstLine="0" w:firstLineChars="0"/>
        <w:rPr>
          <w:rFonts w:ascii="Times New Roman"/>
          <w:b/>
          <w:bCs/>
          <w:szCs w:val="21"/>
        </w:rPr>
      </w:pPr>
      <w:r>
        <w:rPr>
          <w:rFonts w:ascii="Times New Roman"/>
          <w:b/>
          <w:bCs/>
          <w:szCs w:val="21"/>
        </w:rPr>
        <w:t>5.3.4.</w:t>
      </w:r>
      <w:r>
        <w:rPr>
          <w:rFonts w:hint="eastAsia" w:ascii="Times New Roman"/>
          <w:b/>
          <w:bCs/>
          <w:szCs w:val="21"/>
        </w:rPr>
        <w:t>7 温升限值</w:t>
      </w:r>
    </w:p>
    <w:p>
      <w:pPr>
        <w:pStyle w:val="15"/>
        <w:ind w:firstLine="420"/>
        <w:rPr>
          <w:rFonts w:ascii="Times New Roman"/>
        </w:rPr>
      </w:pPr>
      <w:bookmarkStart w:id="210" w:name="_Toc1070"/>
      <w:bookmarkStart w:id="211" w:name="_Toc27248"/>
      <w:bookmarkStart w:id="212" w:name="_Toc321477751"/>
      <w:bookmarkStart w:id="213" w:name="_Toc419473002"/>
      <w:bookmarkStart w:id="214" w:name="_Toc420850191"/>
      <w:r>
        <w:rPr>
          <w:rFonts w:hint="eastAsia" w:ascii="Times New Roman"/>
        </w:rPr>
        <w:t>1）油浸式</w:t>
      </w:r>
      <w:r>
        <w:rPr>
          <w:rFonts w:ascii="Times New Roman"/>
        </w:rPr>
        <w:t>变压器在连续额定容量稳态下的温升限值：</w:t>
      </w:r>
    </w:p>
    <w:p>
      <w:pPr>
        <w:pStyle w:val="17"/>
        <w:numPr>
          <w:ilvl w:val="2"/>
          <w:numId w:val="0"/>
        </w:numPr>
        <w:spacing w:line="360" w:lineRule="auto"/>
        <w:ind w:firstLine="420" w:firstLineChars="200"/>
        <w:outlineLvl w:val="9"/>
        <w:rPr>
          <w:rFonts w:ascii="Times New Roman" w:eastAsia="宋体"/>
        </w:rPr>
      </w:pPr>
      <w:r>
        <w:rPr>
          <w:rFonts w:hint="eastAsia" w:ascii="Times New Roman" w:eastAsia="宋体"/>
        </w:rPr>
        <w:t>（</w:t>
      </w:r>
      <w:r>
        <w:rPr>
          <w:rFonts w:ascii="Times New Roman" w:eastAsia="宋体"/>
        </w:rPr>
        <w:t xml:space="preserve">1）顶层油温升： </w:t>
      </w:r>
      <w:r>
        <w:rPr>
          <w:rFonts w:hint="eastAsia" w:ascii="Times New Roman" w:eastAsia="宋体"/>
        </w:rPr>
        <w:t>55</w:t>
      </w:r>
      <w:r>
        <w:rPr>
          <w:rFonts w:ascii="Times New Roman" w:eastAsia="宋体"/>
        </w:rPr>
        <w:t>K</w:t>
      </w:r>
    </w:p>
    <w:p>
      <w:pPr>
        <w:pStyle w:val="17"/>
        <w:numPr>
          <w:ilvl w:val="0"/>
          <w:numId w:val="0"/>
        </w:numPr>
        <w:spacing w:line="360" w:lineRule="auto"/>
        <w:ind w:firstLine="420" w:firstLineChars="200"/>
        <w:outlineLvl w:val="9"/>
        <w:rPr>
          <w:rFonts w:ascii="Times New Roman" w:eastAsia="宋体"/>
        </w:rPr>
      </w:pPr>
      <w:r>
        <w:rPr>
          <w:rFonts w:hint="eastAsia" w:ascii="Times New Roman" w:eastAsia="宋体"/>
        </w:rPr>
        <w:t>（</w:t>
      </w:r>
      <w:r>
        <w:rPr>
          <w:rFonts w:ascii="Times New Roman" w:eastAsia="宋体"/>
        </w:rPr>
        <w:t>2）线圈温升限值（电阻法测量）：65K</w:t>
      </w:r>
    </w:p>
    <w:p>
      <w:pPr>
        <w:pStyle w:val="15"/>
        <w:spacing w:line="360" w:lineRule="auto"/>
        <w:ind w:firstLine="420"/>
      </w:pPr>
      <w:r>
        <w:rPr>
          <w:rFonts w:hint="eastAsia" w:ascii="Times New Roman"/>
        </w:rPr>
        <w:t>（3） 绕组热点温升限值：78K</w:t>
      </w:r>
    </w:p>
    <w:p>
      <w:pPr>
        <w:pStyle w:val="17"/>
        <w:numPr>
          <w:ilvl w:val="0"/>
          <w:numId w:val="0"/>
        </w:numPr>
        <w:spacing w:line="360" w:lineRule="auto"/>
        <w:ind w:firstLine="420" w:firstLineChars="200"/>
        <w:outlineLvl w:val="9"/>
        <w:rPr>
          <w:rFonts w:ascii="Times New Roman" w:eastAsia="宋体"/>
        </w:rPr>
      </w:pPr>
      <w:r>
        <w:rPr>
          <w:rFonts w:hint="eastAsia" w:ascii="Times New Roman" w:eastAsia="宋体"/>
        </w:rPr>
        <w:t>（</w:t>
      </w:r>
      <w:r>
        <w:rPr>
          <w:rFonts w:hint="eastAsia" w:ascii="Times New Roman" w:eastAsia="宋体"/>
          <w:lang w:val="en-US"/>
        </w:rPr>
        <w:t>4</w:t>
      </w:r>
      <w:r>
        <w:rPr>
          <w:rFonts w:hint="eastAsia" w:ascii="Times New Roman" w:eastAsia="宋体"/>
        </w:rPr>
        <w:t>）</w:t>
      </w:r>
      <w:r>
        <w:rPr>
          <w:rFonts w:ascii="Times New Roman" w:eastAsia="宋体"/>
        </w:rPr>
        <w:t>铁心表面温升限值（温度计法测量）：</w:t>
      </w:r>
      <w:r>
        <w:rPr>
          <w:rFonts w:hint="eastAsia" w:ascii="Times New Roman" w:eastAsia="宋体"/>
        </w:rPr>
        <w:t>75</w:t>
      </w:r>
      <w:r>
        <w:rPr>
          <w:rFonts w:ascii="Times New Roman" w:eastAsia="宋体"/>
        </w:rPr>
        <w:t>K</w:t>
      </w:r>
    </w:p>
    <w:p>
      <w:pPr>
        <w:pStyle w:val="17"/>
        <w:numPr>
          <w:ilvl w:val="0"/>
          <w:numId w:val="0"/>
        </w:numPr>
        <w:spacing w:line="360" w:lineRule="auto"/>
        <w:ind w:firstLine="420" w:firstLineChars="200"/>
        <w:outlineLvl w:val="9"/>
        <w:rPr>
          <w:rFonts w:ascii="Times New Roman" w:eastAsia="宋体"/>
        </w:rPr>
      </w:pPr>
      <w:r>
        <w:rPr>
          <w:rFonts w:hint="eastAsia" w:ascii="Times New Roman" w:eastAsia="宋体"/>
        </w:rPr>
        <w:t>（</w:t>
      </w:r>
      <w:r>
        <w:rPr>
          <w:rFonts w:hint="eastAsia" w:ascii="Times New Roman" w:eastAsia="宋体"/>
          <w:lang w:val="en-US"/>
        </w:rPr>
        <w:t>5</w:t>
      </w:r>
      <w:r>
        <w:rPr>
          <w:rFonts w:hint="eastAsia" w:ascii="Times New Roman" w:eastAsia="宋体"/>
        </w:rPr>
        <w:t>）</w:t>
      </w:r>
      <w:r>
        <w:rPr>
          <w:rFonts w:ascii="Times New Roman" w:eastAsia="宋体"/>
        </w:rPr>
        <w:t>油箱及结构表面温升限值 (温度计法测量)：</w:t>
      </w:r>
      <w:r>
        <w:rPr>
          <w:rFonts w:hint="eastAsia" w:ascii="Times New Roman" w:eastAsia="宋体"/>
        </w:rPr>
        <w:t>75</w:t>
      </w:r>
      <w:r>
        <w:rPr>
          <w:rFonts w:ascii="Times New Roman" w:eastAsia="宋体"/>
        </w:rPr>
        <w:t>K</w:t>
      </w:r>
    </w:p>
    <w:p>
      <w:pPr>
        <w:pStyle w:val="17"/>
        <w:numPr>
          <w:ilvl w:val="0"/>
          <w:numId w:val="0"/>
        </w:numPr>
        <w:spacing w:line="360" w:lineRule="auto"/>
        <w:ind w:firstLine="420" w:firstLineChars="200"/>
        <w:outlineLvl w:val="9"/>
        <w:rPr>
          <w:rFonts w:ascii="Times New Roman" w:eastAsia="宋体"/>
        </w:rPr>
      </w:pPr>
      <w:r>
        <w:rPr>
          <w:rFonts w:hint="eastAsia" w:ascii="Times New Roman" w:eastAsia="宋体"/>
        </w:rPr>
        <w:t>（</w:t>
      </w:r>
      <w:r>
        <w:rPr>
          <w:rFonts w:hint="eastAsia" w:ascii="Times New Roman" w:eastAsia="宋体"/>
          <w:lang w:val="en-US"/>
        </w:rPr>
        <w:t>6</w:t>
      </w:r>
      <w:r>
        <w:rPr>
          <w:rFonts w:hint="eastAsia" w:ascii="Times New Roman" w:eastAsia="宋体"/>
        </w:rPr>
        <w:t>）</w:t>
      </w:r>
      <w:r>
        <w:rPr>
          <w:rFonts w:ascii="Times New Roman" w:eastAsia="宋体"/>
        </w:rPr>
        <w:t>温升限值不允许有正偏差。</w:t>
      </w:r>
    </w:p>
    <w:p>
      <w:pPr>
        <w:pStyle w:val="15"/>
        <w:ind w:firstLine="420"/>
        <w:rPr>
          <w:rFonts w:ascii="Times New Roman"/>
        </w:rPr>
      </w:pPr>
      <w:r>
        <w:rPr>
          <w:rFonts w:hint="eastAsia" w:ascii="Times New Roman"/>
        </w:rPr>
        <w:t>2）</w:t>
      </w:r>
      <w:r>
        <w:rPr>
          <w:rFonts w:ascii="Times New Roman"/>
        </w:rPr>
        <w:t>特殊运</w:t>
      </w:r>
      <w:r>
        <w:rPr>
          <w:rFonts w:hint="eastAsia" w:ascii="Times New Roman"/>
        </w:rPr>
        <w:t>行环境条件下，油浸式</w:t>
      </w:r>
      <w:r>
        <w:rPr>
          <w:rFonts w:ascii="Times New Roman"/>
        </w:rPr>
        <w:t>变压器在连续额定容量稳态下的温升限值</w:t>
      </w:r>
      <w:r>
        <w:rPr>
          <w:rFonts w:hint="eastAsia" w:ascii="Times New Roman"/>
        </w:rPr>
        <w:t>应进行修正</w:t>
      </w:r>
    </w:p>
    <w:p>
      <w:pPr>
        <w:pStyle w:val="17"/>
        <w:numPr>
          <w:ilvl w:val="0"/>
          <w:numId w:val="0"/>
        </w:numPr>
        <w:spacing w:line="360" w:lineRule="auto"/>
        <w:ind w:firstLine="420" w:firstLineChars="200"/>
        <w:outlineLvl w:val="9"/>
        <w:rPr>
          <w:rFonts w:ascii="Times New Roman" w:eastAsia="宋体"/>
        </w:rPr>
      </w:pPr>
      <w:r>
        <w:rPr>
          <w:rFonts w:hint="eastAsia" w:ascii="Times New Roman" w:eastAsia="宋体"/>
        </w:rPr>
        <w:t>（</w:t>
      </w:r>
      <w:r>
        <w:rPr>
          <w:rFonts w:hint="eastAsia" w:ascii="Times New Roman" w:eastAsia="宋体"/>
          <w:lang w:val="en-US"/>
        </w:rPr>
        <w:t>1</w:t>
      </w:r>
      <w:r>
        <w:rPr>
          <w:rFonts w:hint="eastAsia" w:ascii="Times New Roman" w:eastAsia="宋体"/>
        </w:rPr>
        <w:t>）</w:t>
      </w:r>
      <w:r>
        <w:rPr>
          <w:rFonts w:ascii="Times New Roman" w:eastAsia="宋体"/>
        </w:rPr>
        <w:t>如果安装场所的海拔高于1000m，而试验场所的海拔低于1000m时，对于自冷式（AN）变压器，顶层液体温升、绕组平均温升和绕组热点温升限值应按安装场所的海拔高于1000m的部分，每增加400m时降低1K。</w:t>
      </w:r>
    </w:p>
    <w:p>
      <w:pPr>
        <w:pStyle w:val="17"/>
        <w:numPr>
          <w:ilvl w:val="0"/>
          <w:numId w:val="0"/>
        </w:numPr>
        <w:spacing w:line="360" w:lineRule="auto"/>
        <w:ind w:firstLine="420" w:firstLineChars="200"/>
        <w:outlineLvl w:val="9"/>
        <w:rPr>
          <w:rFonts w:ascii="Times New Roman" w:eastAsia="宋体"/>
        </w:rPr>
      </w:pPr>
      <w:r>
        <w:rPr>
          <w:rFonts w:hint="eastAsia" w:ascii="Times New Roman" w:eastAsia="宋体"/>
        </w:rPr>
        <w:t>（</w:t>
      </w:r>
      <w:r>
        <w:rPr>
          <w:rFonts w:hint="eastAsia" w:ascii="Times New Roman" w:eastAsia="宋体"/>
          <w:lang w:val="en-US"/>
        </w:rPr>
        <w:t>2</w:t>
      </w:r>
      <w:r>
        <w:rPr>
          <w:rFonts w:hint="eastAsia" w:ascii="Times New Roman" w:eastAsia="宋体"/>
        </w:rPr>
        <w:t>）</w:t>
      </w:r>
      <w:r>
        <w:rPr>
          <w:rFonts w:ascii="Times New Roman" w:eastAsia="宋体"/>
        </w:rPr>
        <w:t>如果试验场所的海拔高于1000m，而安装场所的海拔低于1000m时，则应做相应的逆修正。</w:t>
      </w:r>
    </w:p>
    <w:p>
      <w:pPr>
        <w:pStyle w:val="15"/>
        <w:ind w:firstLine="420"/>
        <w:rPr>
          <w:rFonts w:ascii="Times New Roman"/>
        </w:rPr>
      </w:pPr>
      <w:r>
        <w:rPr>
          <w:rFonts w:hint="eastAsia" w:ascii="Times New Roman"/>
        </w:rPr>
        <w:t>（3）</w:t>
      </w:r>
      <w:r>
        <w:rPr>
          <w:rFonts w:ascii="Times New Roman"/>
        </w:rPr>
        <w:t>因海拔而做的温升修正值，均应修约到最接近温度的整数值。</w:t>
      </w:r>
      <w:bookmarkEnd w:id="210"/>
      <w:bookmarkEnd w:id="211"/>
      <w:bookmarkEnd w:id="212"/>
      <w:bookmarkEnd w:id="213"/>
      <w:bookmarkEnd w:id="214"/>
    </w:p>
    <w:p>
      <w:pPr>
        <w:pStyle w:val="18"/>
        <w:spacing w:before="120" w:after="120"/>
        <w:ind w:left="2325" w:hanging="2324" w:hangingChars="1107"/>
        <w:outlineLvl w:val="2"/>
        <w:rPr>
          <w:rFonts w:hAnsi="黑体"/>
        </w:rPr>
      </w:pPr>
      <w:bookmarkStart w:id="215" w:name="_Toc70580102"/>
      <w:bookmarkEnd w:id="215"/>
      <w:bookmarkStart w:id="216" w:name="_Toc78912273"/>
      <w:r>
        <w:rPr>
          <w:rFonts w:hint="eastAsia" w:hAnsi="黑体"/>
        </w:rPr>
        <w:t>智能配电装置（</w:t>
      </w:r>
      <w:r>
        <w:rPr>
          <w:rFonts w:hint="eastAsia" w:hAnsi="黑体"/>
          <w:lang w:val="en-US"/>
        </w:rPr>
        <w:t>选配</w:t>
      </w:r>
      <w:r>
        <w:rPr>
          <w:rFonts w:hint="eastAsia" w:hAnsi="黑体"/>
        </w:rPr>
        <w:t>）</w:t>
      </w:r>
      <w:bookmarkEnd w:id="216"/>
    </w:p>
    <w:p>
      <w:pPr>
        <w:pStyle w:val="18"/>
        <w:numPr>
          <w:ilvl w:val="0"/>
          <w:numId w:val="0"/>
        </w:numPr>
        <w:spacing w:line="360" w:lineRule="auto"/>
        <w:outlineLvl w:val="9"/>
        <w:rPr>
          <w:rFonts w:ascii="Times New Roman" w:eastAsia="宋体"/>
          <w:szCs w:val="22"/>
        </w:rPr>
      </w:pPr>
      <w:r>
        <w:rPr>
          <w:rFonts w:ascii="Times New Roman" w:eastAsia="宋体"/>
          <w:b/>
          <w:bCs/>
          <w:szCs w:val="22"/>
          <w:lang w:val="en-US"/>
        </w:rPr>
        <w:t>5.3.5.1</w:t>
      </w:r>
      <w:r>
        <w:rPr>
          <w:rFonts w:hint="eastAsia" w:ascii="Times New Roman" w:eastAsia="宋体"/>
          <w:b/>
          <w:bCs/>
          <w:szCs w:val="22"/>
          <w:lang w:val="en-US"/>
        </w:rPr>
        <w:t xml:space="preserve"> </w:t>
      </w:r>
      <w:r>
        <w:rPr>
          <w:rFonts w:hint="eastAsia" w:ascii="Times New Roman" w:eastAsia="宋体"/>
          <w:szCs w:val="22"/>
          <w:lang w:val="en-US"/>
        </w:rPr>
        <w:t>预装式变电站宜结合地区的运维要求配置智能配电装置（包括智能网关、油浸变压器状态量传感器、及无功补偿监控装置等），依据供电区域等级、供电负荷重要程度等因素进行差异化配置。</w:t>
      </w:r>
      <w:r>
        <w:rPr>
          <w:rFonts w:hint="eastAsia" w:ascii="Times New Roman" w:eastAsia="宋体"/>
          <w:szCs w:val="22"/>
        </w:rPr>
        <w:t>预装式变电站需</w:t>
      </w:r>
      <w:r>
        <w:rPr>
          <w:rFonts w:hint="eastAsia" w:ascii="Times New Roman" w:eastAsia="宋体"/>
          <w:szCs w:val="22"/>
          <w:lang w:val="en-US"/>
        </w:rPr>
        <w:t>预留</w:t>
      </w:r>
      <w:r>
        <w:rPr>
          <w:rFonts w:hint="eastAsia" w:ascii="Times New Roman" w:eastAsia="宋体"/>
          <w:szCs w:val="22"/>
        </w:rPr>
        <w:t>各智能配电装置安装空间</w:t>
      </w:r>
      <w:r>
        <w:rPr>
          <w:rFonts w:hint="eastAsia" w:ascii="Times New Roman" w:eastAsia="宋体"/>
          <w:szCs w:val="22"/>
          <w:lang w:val="en-US"/>
        </w:rPr>
        <w:t>并满足</w:t>
      </w:r>
      <w:r>
        <w:rPr>
          <w:rFonts w:hint="eastAsia" w:ascii="Times New Roman" w:eastAsia="宋体"/>
          <w:szCs w:val="22"/>
        </w:rPr>
        <w:t>布线要求。</w:t>
      </w:r>
    </w:p>
    <w:p>
      <w:pPr>
        <w:pStyle w:val="18"/>
        <w:numPr>
          <w:ilvl w:val="0"/>
          <w:numId w:val="0"/>
        </w:numPr>
        <w:spacing w:line="360" w:lineRule="auto"/>
        <w:outlineLvl w:val="9"/>
        <w:rPr>
          <w:rFonts w:ascii="Times New Roman" w:eastAsia="宋体"/>
        </w:rPr>
      </w:pPr>
      <w:r>
        <w:rPr>
          <w:rFonts w:ascii="Times New Roman" w:eastAsia="宋体"/>
          <w:b/>
          <w:bCs/>
          <w:szCs w:val="22"/>
          <w:lang w:val="en-US"/>
        </w:rPr>
        <w:t>5.3.5.</w:t>
      </w:r>
      <w:r>
        <w:rPr>
          <w:rFonts w:hint="eastAsia"/>
          <w:b/>
          <w:bCs/>
          <w:szCs w:val="22"/>
          <w:lang w:val="en-US"/>
        </w:rPr>
        <w:t>2</w:t>
      </w:r>
      <w:r>
        <w:rPr>
          <w:rFonts w:ascii="Times New Roman" w:eastAsia="宋体"/>
        </w:rPr>
        <w:t>预装式变电站中智能配电装置具体配置执行《南方电网标准设计与典型造价（V3.</w:t>
      </w:r>
      <w:r>
        <w:rPr>
          <w:rFonts w:hint="eastAsia" w:ascii="Times New Roman" w:eastAsia="宋体"/>
          <w:lang w:val="en-US"/>
        </w:rPr>
        <w:t>1</w:t>
      </w:r>
      <w:r>
        <w:rPr>
          <w:rFonts w:ascii="Times New Roman" w:eastAsia="宋体"/>
        </w:rPr>
        <w:t>）智能配电标准分册》中</w:t>
      </w:r>
      <w:r>
        <w:rPr>
          <w:rFonts w:hint="eastAsia" w:ascii="Times New Roman" w:eastAsia="宋体"/>
          <w:lang w:val="en-US"/>
        </w:rPr>
        <w:t>第一册第三篇</w:t>
      </w:r>
      <w:r>
        <w:rPr>
          <w:rFonts w:ascii="Times New Roman" w:eastAsia="宋体"/>
        </w:rPr>
        <w:t xml:space="preserve"> 箱式变电站 M01型箱变</w:t>
      </w:r>
      <w:r>
        <w:rPr>
          <w:rFonts w:hint="eastAsia" w:ascii="Times New Roman" w:eastAsia="宋体"/>
        </w:rPr>
        <w:t>，</w:t>
      </w:r>
    </w:p>
    <w:p>
      <w:pPr>
        <w:pStyle w:val="18"/>
        <w:numPr>
          <w:ilvl w:val="0"/>
          <w:numId w:val="0"/>
        </w:numPr>
        <w:spacing w:line="360" w:lineRule="auto"/>
        <w:outlineLvl w:val="9"/>
        <w:rPr>
          <w:rFonts w:eastAsia="宋体"/>
          <w:bCs/>
          <w:kern w:val="2"/>
          <w:szCs w:val="24"/>
          <w:lang w:val="en-US"/>
        </w:rPr>
      </w:pPr>
      <w:r>
        <w:rPr>
          <w:rFonts w:ascii="Times New Roman" w:eastAsia="宋体"/>
          <w:szCs w:val="22"/>
        </w:rPr>
        <w:t>补充规定如下：</w:t>
      </w:r>
    </w:p>
    <w:p>
      <w:pPr>
        <w:pStyle w:val="18"/>
        <w:numPr>
          <w:ilvl w:val="3"/>
          <w:numId w:val="0"/>
        </w:numPr>
        <w:spacing w:line="360" w:lineRule="auto"/>
        <w:ind w:firstLine="420" w:firstLineChars="200"/>
        <w:outlineLvl w:val="9"/>
        <w:rPr>
          <w:rFonts w:eastAsia="宋体"/>
          <w:bCs/>
          <w:kern w:val="2"/>
          <w:szCs w:val="24"/>
          <w:lang w:val="en-US"/>
        </w:rPr>
      </w:pPr>
      <w:r>
        <w:rPr>
          <w:rFonts w:hint="eastAsia" w:eastAsia="宋体"/>
          <w:bCs/>
          <w:kern w:val="2"/>
          <w:szCs w:val="24"/>
          <w:lang w:val="en-US"/>
        </w:rPr>
        <w:t>1）</w:t>
      </w:r>
      <w:r>
        <w:rPr>
          <w:rFonts w:eastAsia="宋体"/>
          <w:bCs/>
          <w:kern w:val="2"/>
          <w:szCs w:val="24"/>
          <w:lang w:val="en-US"/>
        </w:rPr>
        <w:t>低压开关智能化可选择“</w:t>
      </w:r>
      <w:r>
        <w:rPr>
          <w:rFonts w:hint="eastAsia" w:eastAsia="宋体"/>
          <w:bCs/>
          <w:kern w:val="2"/>
          <w:szCs w:val="24"/>
          <w:lang w:val="en-US"/>
        </w:rPr>
        <w:t>配电物联电气传感器终端低压面板式电流模块</w:t>
      </w:r>
      <w:r>
        <w:rPr>
          <w:rFonts w:eastAsia="宋体"/>
          <w:bCs/>
          <w:kern w:val="2"/>
          <w:szCs w:val="24"/>
          <w:lang w:val="en-US"/>
        </w:rPr>
        <w:t>+塑壳断路器”模式或</w:t>
      </w:r>
      <w:r>
        <w:rPr>
          <w:rFonts w:hint="eastAsia" w:eastAsia="宋体"/>
          <w:bCs/>
          <w:kern w:val="2"/>
          <w:szCs w:val="24"/>
          <w:lang w:val="en-US"/>
        </w:rPr>
        <w:t>“配电物联低压智能开关”</w:t>
      </w:r>
      <w:r>
        <w:rPr>
          <w:rFonts w:eastAsia="宋体"/>
          <w:bCs/>
          <w:kern w:val="2"/>
          <w:szCs w:val="24"/>
          <w:lang w:val="en-US"/>
        </w:rPr>
        <w:t>模式，并均须满足南方电网相应技术规范的要求。</w:t>
      </w:r>
    </w:p>
    <w:p>
      <w:pPr>
        <w:pStyle w:val="15"/>
        <w:numPr>
          <w:ilvl w:val="0"/>
          <w:numId w:val="6"/>
        </w:numPr>
        <w:ind w:firstLine="420"/>
      </w:pPr>
      <w:r>
        <w:rPr>
          <w:rFonts w:hint="eastAsia"/>
        </w:rPr>
        <w:t>在</w:t>
      </w:r>
      <w:r>
        <w:rPr>
          <w:rFonts w:ascii="黑体"/>
          <w:bCs/>
          <w:kern w:val="2"/>
          <w:szCs w:val="24"/>
        </w:rPr>
        <w:t>高级配置中，增加低压电缆头测温传感器</w:t>
      </w:r>
      <w:r>
        <w:rPr>
          <w:rFonts w:hint="eastAsia" w:ascii="黑体"/>
          <w:bCs/>
          <w:kern w:val="2"/>
          <w:szCs w:val="24"/>
        </w:rPr>
        <w:t>作为可选项。</w:t>
      </w:r>
    </w:p>
    <w:p>
      <w:pPr>
        <w:pStyle w:val="18"/>
        <w:spacing w:before="120" w:after="120"/>
        <w:ind w:left="2325" w:hanging="2324" w:hangingChars="1107"/>
        <w:outlineLvl w:val="2"/>
        <w:rPr>
          <w:rFonts w:hAnsi="黑体"/>
        </w:rPr>
      </w:pPr>
      <w:bookmarkStart w:id="217" w:name="_Toc70580104"/>
      <w:bookmarkEnd w:id="217"/>
      <w:bookmarkStart w:id="218" w:name="_Toc78912274"/>
      <w:r>
        <w:rPr>
          <w:rFonts w:hint="eastAsia" w:hAnsi="黑体"/>
        </w:rPr>
        <w:t>母线</w:t>
      </w:r>
      <w:bookmarkEnd w:id="218"/>
    </w:p>
    <w:p>
      <w:pPr>
        <w:pStyle w:val="18"/>
        <w:numPr>
          <w:ilvl w:val="0"/>
          <w:numId w:val="0"/>
        </w:numPr>
        <w:spacing w:line="360" w:lineRule="auto"/>
        <w:ind w:firstLine="420" w:firstLineChars="200"/>
        <w:outlineLvl w:val="9"/>
        <w:rPr>
          <w:rFonts w:ascii="Times New Roman" w:eastAsia="宋体"/>
          <w:szCs w:val="21"/>
          <w:lang w:val="en-US"/>
        </w:rPr>
      </w:pPr>
      <w:r>
        <w:rPr>
          <w:rFonts w:hint="eastAsia" w:ascii="Times New Roman" w:eastAsia="宋体"/>
          <w:lang w:val="en-US"/>
        </w:rPr>
        <w:t>预装式变电站内高低压母线</w:t>
      </w:r>
      <w:r>
        <w:rPr>
          <w:rFonts w:ascii="Times New Roman" w:eastAsia="宋体"/>
          <w:lang w:val="en-US"/>
        </w:rPr>
        <w:t>(</w:t>
      </w:r>
      <w:r>
        <w:rPr>
          <w:rFonts w:hint="eastAsia" w:ascii="Times New Roman" w:eastAsia="宋体"/>
          <w:lang w:val="en-US"/>
        </w:rPr>
        <w:t>母排</w:t>
      </w:r>
      <w:r>
        <w:rPr>
          <w:rFonts w:ascii="Times New Roman" w:eastAsia="宋体"/>
          <w:lang w:val="en-US"/>
        </w:rPr>
        <w:t>)</w:t>
      </w:r>
      <w:r>
        <w:rPr>
          <w:rFonts w:hint="eastAsia" w:ascii="Times New Roman" w:eastAsia="宋体"/>
          <w:lang w:val="en-US"/>
        </w:rPr>
        <w:t>采用铜质，截面须满足动热稳定要求。母线的外露部分须加绝缘外套防护。紧固件螺栓、弹簧垫圈、垫片均应使用304或以上防腐性能不锈钢材质。</w:t>
      </w:r>
    </w:p>
    <w:p>
      <w:pPr>
        <w:pStyle w:val="18"/>
        <w:spacing w:before="120" w:after="120"/>
        <w:ind w:left="2325" w:hanging="2324" w:hangingChars="1107"/>
        <w:outlineLvl w:val="2"/>
        <w:rPr>
          <w:rFonts w:hAnsi="黑体"/>
        </w:rPr>
      </w:pPr>
      <w:bookmarkStart w:id="219" w:name="_Toc70580106"/>
      <w:bookmarkEnd w:id="219"/>
      <w:bookmarkStart w:id="220" w:name="_Toc424549764"/>
      <w:bookmarkStart w:id="221" w:name="_Toc78912275"/>
      <w:r>
        <w:rPr>
          <w:rFonts w:hint="eastAsia" w:hAnsi="黑体"/>
        </w:rPr>
        <w:t>避雷器</w:t>
      </w:r>
      <w:bookmarkEnd w:id="220"/>
      <w:bookmarkEnd w:id="221"/>
    </w:p>
    <w:p>
      <w:pPr>
        <w:pStyle w:val="18"/>
        <w:numPr>
          <w:ilvl w:val="0"/>
          <w:numId w:val="0"/>
        </w:numPr>
        <w:spacing w:line="360" w:lineRule="auto"/>
        <w:ind w:firstLine="420" w:firstLineChars="200"/>
        <w:outlineLvl w:val="9"/>
        <w:rPr>
          <w:rFonts w:ascii="Times New Roman" w:eastAsia="宋体"/>
          <w:lang w:val="en-US"/>
        </w:rPr>
      </w:pPr>
      <w:r>
        <w:rPr>
          <w:rFonts w:hint="eastAsia" w:ascii="Times New Roman" w:eastAsia="宋体"/>
          <w:lang w:val="en-US"/>
        </w:rPr>
        <w:t>避雷器应符合</w:t>
      </w:r>
      <w:r>
        <w:rPr>
          <w:rFonts w:ascii="Times New Roman" w:eastAsia="宋体"/>
          <w:lang w:val="en-US"/>
        </w:rPr>
        <w:t>GB</w:t>
      </w:r>
      <w:r>
        <w:rPr>
          <w:rFonts w:hint="eastAsia" w:ascii="Times New Roman" w:eastAsia="宋体"/>
          <w:lang w:val="en-US"/>
        </w:rPr>
        <w:t xml:space="preserve"> </w:t>
      </w:r>
      <w:r>
        <w:rPr>
          <w:rFonts w:ascii="Times New Roman" w:eastAsia="宋体"/>
          <w:lang w:val="en-US"/>
        </w:rPr>
        <w:t>11032</w:t>
      </w:r>
      <w:r>
        <w:rPr>
          <w:rFonts w:hint="eastAsia" w:ascii="Times New Roman" w:eastAsia="宋体"/>
          <w:lang w:val="en-US"/>
        </w:rPr>
        <w:t>、</w:t>
      </w:r>
      <w:r>
        <w:rPr>
          <w:rFonts w:ascii="Times New Roman" w:eastAsia="宋体"/>
          <w:lang w:val="en-US"/>
        </w:rPr>
        <w:t>DL/T</w:t>
      </w:r>
      <w:r>
        <w:rPr>
          <w:rFonts w:hint="eastAsia" w:ascii="Times New Roman" w:eastAsia="宋体"/>
          <w:lang w:val="en-US"/>
        </w:rPr>
        <w:t xml:space="preserve"> </w:t>
      </w:r>
      <w:r>
        <w:rPr>
          <w:rFonts w:ascii="Times New Roman" w:eastAsia="宋体"/>
          <w:lang w:val="en-US"/>
        </w:rPr>
        <w:t>620</w:t>
      </w:r>
      <w:r>
        <w:rPr>
          <w:rFonts w:hint="eastAsia" w:ascii="Times New Roman" w:eastAsia="宋体"/>
          <w:lang w:val="en-US"/>
        </w:rPr>
        <w:t>和南方电网有限责任公司10kV避雷器技术规范书要求。避雷器的安装位置应便于试验，接地应符合有关标准的规定。</w:t>
      </w:r>
    </w:p>
    <w:p>
      <w:pPr>
        <w:pStyle w:val="18"/>
        <w:spacing w:before="120" w:after="120"/>
        <w:ind w:left="2325" w:hanging="2324" w:hangingChars="1107"/>
        <w:outlineLvl w:val="2"/>
        <w:rPr>
          <w:rFonts w:hAnsi="黑体"/>
        </w:rPr>
      </w:pPr>
      <w:bookmarkStart w:id="222" w:name="_Toc424549765"/>
      <w:bookmarkStart w:id="223" w:name="_Toc78912276"/>
      <w:r>
        <w:rPr>
          <w:rFonts w:hint="eastAsia" w:hAnsi="黑体"/>
        </w:rPr>
        <w:t>由电器元件组装而成的开关设备和控制设备的要求</w:t>
      </w:r>
      <w:bookmarkEnd w:id="222"/>
      <w:bookmarkEnd w:id="223"/>
    </w:p>
    <w:p>
      <w:pPr>
        <w:pStyle w:val="21"/>
        <w:numPr>
          <w:ilvl w:val="255"/>
          <w:numId w:val="0"/>
        </w:numPr>
        <w:spacing w:line="360" w:lineRule="auto"/>
        <w:outlineLvl w:val="9"/>
        <w:rPr>
          <w:rFonts w:ascii="Times New Roman" w:eastAsia="宋体"/>
        </w:rPr>
      </w:pPr>
      <w:r>
        <w:rPr>
          <w:rFonts w:ascii="Times New Roman" w:eastAsia="宋体"/>
          <w:b/>
          <w:bCs/>
          <w:szCs w:val="22"/>
          <w:lang w:val="en-US"/>
        </w:rPr>
        <w:t>5.3.8.1</w:t>
      </w:r>
      <w:r>
        <w:rPr>
          <w:rFonts w:hint="eastAsia" w:ascii="Times New Roman" w:eastAsia="宋体"/>
        </w:rPr>
        <w:t>预装式变电站内安装的高压或低压开关设备和控制设备，应该使用已通过型式试验、国家</w:t>
      </w:r>
      <w:r>
        <w:rPr>
          <w:rFonts w:ascii="Times New Roman" w:eastAsia="宋体"/>
        </w:rPr>
        <w:t>3C</w:t>
      </w:r>
      <w:r>
        <w:rPr>
          <w:rFonts w:hint="eastAsia" w:ascii="Times New Roman" w:eastAsia="宋体"/>
          <w:lang w:val="en-US"/>
        </w:rPr>
        <w:t>/CQC</w:t>
      </w:r>
      <w:r>
        <w:rPr>
          <w:rFonts w:hint="eastAsia" w:ascii="Times New Roman" w:eastAsia="宋体"/>
        </w:rPr>
        <w:t>认证的成套开关设备和控制设备。如果采用由电器元件组装而成的开关设备和控制设备，则应有金属板制成的封闭间隔和门，如果门打开后有裸露的带电部分，还应进行必要的防护。</w:t>
      </w:r>
    </w:p>
    <w:p>
      <w:pPr>
        <w:pStyle w:val="21"/>
        <w:numPr>
          <w:ilvl w:val="255"/>
          <w:numId w:val="0"/>
        </w:numPr>
        <w:spacing w:line="360" w:lineRule="auto"/>
        <w:outlineLvl w:val="9"/>
        <w:rPr>
          <w:rFonts w:ascii="Times New Roman" w:eastAsia="宋体"/>
        </w:rPr>
      </w:pPr>
      <w:r>
        <w:rPr>
          <w:rFonts w:ascii="Times New Roman" w:eastAsia="宋体"/>
          <w:b/>
          <w:bCs/>
          <w:lang w:val="en-US"/>
        </w:rPr>
        <w:t>5.3.</w:t>
      </w:r>
      <w:r>
        <w:rPr>
          <w:rFonts w:ascii="Times New Roman" w:eastAsia="宋体"/>
          <w:b/>
          <w:bCs/>
          <w:szCs w:val="22"/>
          <w:lang w:val="en-US"/>
        </w:rPr>
        <w:t>8.2</w:t>
      </w:r>
      <w:r>
        <w:rPr>
          <w:rFonts w:hint="eastAsia" w:ascii="Times New Roman" w:eastAsia="宋体"/>
        </w:rPr>
        <w:t>所用电器元件都采用国家正式鉴定的绝缘型元件，其技术性能应满足与各自相应的国家标准，并应在装配好后，完成标准规定的预装式变电站各项型式试验。</w:t>
      </w:r>
    </w:p>
    <w:p>
      <w:pPr>
        <w:pStyle w:val="21"/>
        <w:numPr>
          <w:ilvl w:val="255"/>
          <w:numId w:val="0"/>
        </w:numPr>
        <w:spacing w:line="360" w:lineRule="auto"/>
        <w:outlineLvl w:val="9"/>
        <w:rPr>
          <w:rFonts w:ascii="Times New Roman" w:eastAsia="宋体"/>
        </w:rPr>
      </w:pPr>
      <w:r>
        <w:rPr>
          <w:rFonts w:ascii="Times New Roman" w:eastAsia="宋体"/>
          <w:b/>
          <w:bCs/>
          <w:szCs w:val="22"/>
          <w:lang w:val="en-US"/>
        </w:rPr>
        <w:t>5.3.8.3</w:t>
      </w:r>
      <w:r>
        <w:rPr>
          <w:rFonts w:hint="eastAsia" w:ascii="Times New Roman" w:eastAsia="宋体"/>
        </w:rPr>
        <w:t>用于安装电器元件的板或构架应有足够的强度和刚度，电器元件的安装位置应便于安装、接线、试验、检修和操作。</w:t>
      </w:r>
    </w:p>
    <w:p>
      <w:pPr>
        <w:pStyle w:val="21"/>
        <w:numPr>
          <w:ilvl w:val="255"/>
          <w:numId w:val="0"/>
        </w:numPr>
        <w:spacing w:line="360" w:lineRule="auto"/>
        <w:rPr>
          <w:lang w:val="en-US"/>
        </w:rPr>
      </w:pPr>
      <w:r>
        <w:rPr>
          <w:rFonts w:ascii="Times New Roman" w:eastAsia="宋体"/>
          <w:b/>
          <w:bCs/>
          <w:szCs w:val="22"/>
          <w:lang w:val="en-US"/>
        </w:rPr>
        <w:t>5.3.8.4</w:t>
      </w:r>
      <w:r>
        <w:rPr>
          <w:rFonts w:hint="eastAsia" w:ascii="Times New Roman" w:eastAsia="宋体"/>
        </w:rPr>
        <w:t>高压柜配置的负荷开关（或断路器）具有电动操作功能。预留遥控、遥信接口，以适应远方监控需要。环网柜所配操作机构具有与其配套的二次回路。</w:t>
      </w:r>
      <w:r>
        <w:rPr>
          <w:rFonts w:hint="eastAsia" w:ascii="Times New Roman" w:eastAsia="宋体"/>
          <w:lang w:val="en-US"/>
        </w:rPr>
        <w:t>投标方</w:t>
      </w:r>
      <w:r>
        <w:rPr>
          <w:rFonts w:hint="eastAsia" w:ascii="Times New Roman" w:eastAsia="宋体"/>
        </w:rPr>
        <w:t>应提供环网柜中相应的二次设备。电动操作机构的控制回路严格按照附图中电动操作机构原理图来设计。开关柜遥信、遥测、遥控、闭锁、二次回路、电源等技术接口须与自动化终端匹配。</w:t>
      </w:r>
    </w:p>
    <w:p>
      <w:pPr>
        <w:pStyle w:val="18"/>
        <w:spacing w:before="120" w:after="120"/>
        <w:ind w:left="2325" w:hanging="2324" w:hangingChars="1107"/>
        <w:outlineLvl w:val="2"/>
        <w:rPr>
          <w:rFonts w:hAnsi="黑体"/>
          <w:szCs w:val="21"/>
        </w:rPr>
      </w:pPr>
      <w:bookmarkStart w:id="224" w:name="_Toc424549766"/>
      <w:bookmarkStart w:id="225" w:name="_Toc78912277"/>
      <w:r>
        <w:rPr>
          <w:rFonts w:hAnsi="黑体"/>
          <w:szCs w:val="21"/>
        </w:rPr>
        <w:t>接地</w:t>
      </w:r>
      <w:bookmarkEnd w:id="224"/>
      <w:bookmarkEnd w:id="225"/>
    </w:p>
    <w:p>
      <w:pPr>
        <w:pStyle w:val="21"/>
        <w:numPr>
          <w:ilvl w:val="255"/>
          <w:numId w:val="0"/>
        </w:numPr>
        <w:spacing w:line="360" w:lineRule="auto"/>
        <w:outlineLvl w:val="9"/>
        <w:rPr>
          <w:rFonts w:ascii="Times New Roman" w:eastAsia="宋体"/>
        </w:rPr>
      </w:pPr>
      <w:r>
        <w:rPr>
          <w:rFonts w:ascii="Times New Roman" w:eastAsia="宋体"/>
          <w:b/>
          <w:bCs/>
          <w:szCs w:val="22"/>
          <w:lang w:val="en-US"/>
        </w:rPr>
        <w:t>5.3.9.1</w:t>
      </w:r>
      <w:r>
        <w:rPr>
          <w:rFonts w:hint="eastAsia" w:ascii="Times New Roman" w:eastAsia="宋体"/>
        </w:rPr>
        <w:t>预装式变电站的接地系统应符合</w:t>
      </w:r>
      <w:r>
        <w:rPr>
          <w:rFonts w:ascii="Times New Roman" w:eastAsia="宋体"/>
        </w:rPr>
        <w:t>DL/T 621</w:t>
      </w:r>
      <w:r>
        <w:rPr>
          <w:rFonts w:hint="eastAsia" w:ascii="Times New Roman" w:eastAsia="宋体"/>
        </w:rPr>
        <w:t>的要求，外壳、开关设备外壳等可能触及的金属部件均应可靠接地，接地导体和接地连接应能承受接地回路的额定短时和峰值耐受电流，接地导体的电流密度应符合</w:t>
      </w:r>
      <w:r>
        <w:rPr>
          <w:rFonts w:ascii="Times New Roman" w:eastAsia="宋体"/>
        </w:rPr>
        <w:t>GB 17467</w:t>
      </w:r>
      <w:r>
        <w:rPr>
          <w:rFonts w:hint="eastAsia" w:ascii="Times New Roman" w:eastAsia="宋体"/>
        </w:rPr>
        <w:t>的要求。</w:t>
      </w:r>
    </w:p>
    <w:p>
      <w:pPr>
        <w:pStyle w:val="21"/>
        <w:numPr>
          <w:ilvl w:val="255"/>
          <w:numId w:val="0"/>
        </w:numPr>
        <w:spacing w:line="360" w:lineRule="auto"/>
        <w:outlineLvl w:val="9"/>
        <w:rPr>
          <w:rFonts w:ascii="Times New Roman" w:eastAsia="宋体"/>
        </w:rPr>
      </w:pPr>
      <w:r>
        <w:rPr>
          <w:rFonts w:ascii="Times New Roman" w:eastAsia="宋体"/>
          <w:b/>
          <w:bCs/>
          <w:szCs w:val="22"/>
          <w:lang w:val="en-US"/>
        </w:rPr>
        <w:t>5.3.9.2</w:t>
      </w:r>
      <w:r>
        <w:rPr>
          <w:rFonts w:hint="eastAsia" w:ascii="Times New Roman" w:eastAsia="宋体"/>
        </w:rPr>
        <w:t>预装式变电站的箱体应设专用接地导体，该接地导体上应设有与接地网相连的固定连接端子，其数量不少于</w:t>
      </w:r>
      <w:r>
        <w:rPr>
          <w:rFonts w:ascii="Times New Roman" w:eastAsia="宋体"/>
        </w:rPr>
        <w:t>3</w:t>
      </w:r>
      <w:r>
        <w:rPr>
          <w:rFonts w:hint="eastAsia" w:ascii="Times New Roman" w:eastAsia="宋体"/>
        </w:rPr>
        <w:t>个，其中高压间隔至少有</w:t>
      </w:r>
      <w:r>
        <w:rPr>
          <w:rFonts w:ascii="Times New Roman" w:eastAsia="宋体"/>
        </w:rPr>
        <w:t>1</w:t>
      </w:r>
      <w:r>
        <w:rPr>
          <w:rFonts w:hint="eastAsia" w:ascii="Times New Roman" w:eastAsia="宋体"/>
        </w:rPr>
        <w:t>个，低压间隔至少有</w:t>
      </w:r>
      <w:r>
        <w:rPr>
          <w:rFonts w:ascii="Times New Roman" w:eastAsia="宋体"/>
        </w:rPr>
        <w:t>1</w:t>
      </w:r>
      <w:r>
        <w:rPr>
          <w:rFonts w:hint="eastAsia" w:ascii="Times New Roman" w:eastAsia="宋体"/>
        </w:rPr>
        <w:t>个，变压器室至少有</w:t>
      </w:r>
      <w:r>
        <w:rPr>
          <w:rFonts w:ascii="Times New Roman" w:eastAsia="宋体"/>
        </w:rPr>
        <w:t>1</w:t>
      </w:r>
      <w:r>
        <w:rPr>
          <w:rFonts w:hint="eastAsia" w:ascii="Times New Roman" w:eastAsia="宋体"/>
        </w:rPr>
        <w:t>个，并应有明显的接地标志，接地端子用铜质螺栓直径不小于</w:t>
      </w:r>
      <w:r>
        <w:rPr>
          <w:rFonts w:ascii="Times New Roman" w:eastAsia="宋体"/>
        </w:rPr>
        <w:t>12mm</w:t>
      </w:r>
      <w:r>
        <w:rPr>
          <w:rFonts w:hint="eastAsia" w:ascii="Times New Roman" w:eastAsia="宋体"/>
        </w:rPr>
        <w:t>。</w:t>
      </w:r>
    </w:p>
    <w:p>
      <w:pPr>
        <w:pStyle w:val="21"/>
        <w:numPr>
          <w:ilvl w:val="255"/>
          <w:numId w:val="0"/>
        </w:numPr>
        <w:spacing w:line="360" w:lineRule="auto"/>
        <w:outlineLvl w:val="9"/>
        <w:rPr>
          <w:rFonts w:ascii="Times New Roman" w:eastAsia="宋体"/>
        </w:rPr>
      </w:pPr>
      <w:r>
        <w:rPr>
          <w:rFonts w:ascii="Times New Roman" w:eastAsia="宋体"/>
          <w:b/>
          <w:bCs/>
          <w:szCs w:val="22"/>
          <w:lang w:val="en-US"/>
        </w:rPr>
        <w:t>5.3.9.3</w:t>
      </w:r>
      <w:r>
        <w:rPr>
          <w:rFonts w:hint="eastAsia" w:ascii="Times New Roman" w:eastAsia="宋体"/>
        </w:rPr>
        <w:t>预装式变电站的高、低压配电装置和变压器专用接地导体的连续性应得到保证：应相互联接，否则应通过专用的端子可靠地连接在一起。预装式变电站高、低压间隔所有的非带电金属部分</w:t>
      </w:r>
      <w:r>
        <w:rPr>
          <w:rFonts w:ascii="Times New Roman" w:eastAsia="宋体"/>
        </w:rPr>
        <w:t>(</w:t>
      </w:r>
      <w:r>
        <w:rPr>
          <w:rFonts w:hint="eastAsia" w:ascii="Times New Roman" w:eastAsia="宋体"/>
        </w:rPr>
        <w:t>包括门、隔板等</w:t>
      </w:r>
      <w:r>
        <w:rPr>
          <w:rFonts w:ascii="Times New Roman" w:eastAsia="宋体"/>
        </w:rPr>
        <w:t>)</w:t>
      </w:r>
      <w:r>
        <w:rPr>
          <w:rFonts w:hint="eastAsia" w:ascii="Times New Roman" w:eastAsia="宋体"/>
        </w:rPr>
        <w:t>均应可靠接地，门和在正常运行条件下可抽出部分的接地，应保证在打开或处于隔离位置时，仍可靠接地。</w:t>
      </w:r>
    </w:p>
    <w:p>
      <w:pPr>
        <w:pStyle w:val="18"/>
        <w:spacing w:before="120" w:after="120"/>
        <w:ind w:left="2325" w:hanging="2324" w:hangingChars="1107"/>
        <w:outlineLvl w:val="2"/>
        <w:rPr>
          <w:rFonts w:hAnsi="黑体"/>
        </w:rPr>
      </w:pPr>
      <w:bookmarkStart w:id="226" w:name="_Toc78912278"/>
      <w:bookmarkStart w:id="227" w:name="_Toc424549767"/>
      <w:r>
        <w:rPr>
          <w:rFonts w:hint="eastAsia" w:hAnsi="黑体"/>
        </w:rPr>
        <w:t>内部故障</w:t>
      </w:r>
      <w:bookmarkEnd w:id="226"/>
      <w:bookmarkEnd w:id="227"/>
    </w:p>
    <w:p>
      <w:pPr>
        <w:pStyle w:val="15"/>
        <w:spacing w:line="360" w:lineRule="auto"/>
        <w:ind w:firstLine="420"/>
        <w:rPr>
          <w:rFonts w:ascii="Times New Roman"/>
        </w:rPr>
      </w:pPr>
      <w:r>
        <w:rPr>
          <w:rFonts w:hint="eastAsia" w:ascii="Times New Roman"/>
        </w:rPr>
        <w:t>对于由缺陷、异常使用条件、元件内部故障或误操作造成的故障引发的内部电弧，在预装式变电站的箱体内顶部和高压开关柜的后方应有泄压通道。</w:t>
      </w:r>
    </w:p>
    <w:p>
      <w:pPr>
        <w:pStyle w:val="18"/>
        <w:spacing w:before="120" w:after="120"/>
        <w:ind w:left="2325" w:hanging="2324" w:hangingChars="1107"/>
        <w:outlineLvl w:val="2"/>
        <w:rPr>
          <w:rFonts w:hAnsi="黑体"/>
        </w:rPr>
      </w:pPr>
      <w:bookmarkStart w:id="228" w:name="_Toc78912279"/>
      <w:bookmarkStart w:id="229" w:name="_Toc424549768"/>
      <w:r>
        <w:rPr>
          <w:rFonts w:hint="eastAsia" w:hAnsi="黑体"/>
        </w:rPr>
        <w:t>防腐处理和防凝露措施</w:t>
      </w:r>
      <w:bookmarkEnd w:id="228"/>
      <w:bookmarkEnd w:id="229"/>
    </w:p>
    <w:p>
      <w:pPr>
        <w:pStyle w:val="15"/>
        <w:spacing w:line="360" w:lineRule="auto"/>
        <w:ind w:firstLine="420"/>
        <w:rPr>
          <w:rFonts w:ascii="Times New Roman"/>
        </w:rPr>
      </w:pPr>
      <w:r>
        <w:rPr>
          <w:rFonts w:ascii="Times New Roman"/>
        </w:rPr>
        <w:t>1</w:t>
      </w:r>
      <w:r>
        <w:rPr>
          <w:rFonts w:hint="eastAsia" w:ascii="Times New Roman"/>
        </w:rPr>
        <w:t>）预装式变电站中，用金属材料制成的基座和外壳、隔板等必须经过防腐处理和喷涂防护层，表面覆盖层为静电喷涂而成，涂层部分不应小于</w:t>
      </w:r>
      <w:r>
        <w:rPr>
          <w:rFonts w:ascii="Times New Roman"/>
        </w:rPr>
        <w:t>1</w:t>
      </w:r>
      <w:r>
        <w:rPr>
          <w:rFonts w:hint="eastAsia" w:ascii="Times New Roman"/>
        </w:rPr>
        <w:t>00</w:t>
      </w:r>
      <w:r>
        <w:rPr>
          <w:rFonts w:ascii="Times New Roman"/>
        </w:rPr>
        <w:t>μm</w:t>
      </w:r>
      <w:r>
        <w:rPr>
          <w:rFonts w:hint="eastAsia" w:ascii="Times New Roman"/>
        </w:rPr>
        <w:t>并应均匀一致，表面覆盖涂层应有牢固的附着力。</w:t>
      </w:r>
    </w:p>
    <w:p>
      <w:pPr>
        <w:pStyle w:val="15"/>
        <w:spacing w:line="360" w:lineRule="auto"/>
        <w:ind w:firstLine="420"/>
        <w:rPr>
          <w:rFonts w:ascii="Times New Roman"/>
        </w:rPr>
      </w:pPr>
      <w:r>
        <w:rPr>
          <w:rFonts w:ascii="Times New Roman"/>
        </w:rPr>
        <w:t>2</w:t>
      </w:r>
      <w:r>
        <w:rPr>
          <w:rFonts w:hint="eastAsia" w:ascii="Times New Roman"/>
        </w:rPr>
        <w:t>）预装式变电站的内部各隔室应装设驱潮装置，以防止因凝露而影响预装式变电站各元件的绝缘性能和对金属材料的腐蚀，保证</w:t>
      </w:r>
      <w:r>
        <w:rPr>
          <w:rFonts w:ascii="Times New Roman"/>
        </w:rPr>
        <w:t>30</w:t>
      </w:r>
      <w:r>
        <w:rPr>
          <w:rFonts w:hint="eastAsia" w:ascii="Times New Roman"/>
        </w:rPr>
        <w:t>年不锈蚀。</w:t>
      </w:r>
    </w:p>
    <w:p>
      <w:pPr>
        <w:pStyle w:val="18"/>
        <w:spacing w:before="120" w:after="120"/>
        <w:ind w:left="2325" w:hanging="2324" w:hangingChars="1107"/>
        <w:outlineLvl w:val="2"/>
        <w:rPr>
          <w:rFonts w:hAnsi="黑体"/>
        </w:rPr>
      </w:pPr>
      <w:bookmarkStart w:id="230" w:name="_Toc78912280"/>
      <w:bookmarkStart w:id="231" w:name="_Toc424549769"/>
      <w:r>
        <w:rPr>
          <w:rFonts w:hAnsi="黑体"/>
        </w:rPr>
        <w:t>电缆附件</w:t>
      </w:r>
      <w:bookmarkEnd w:id="230"/>
      <w:bookmarkEnd w:id="231"/>
    </w:p>
    <w:p>
      <w:pPr>
        <w:pStyle w:val="21"/>
        <w:numPr>
          <w:ilvl w:val="255"/>
          <w:numId w:val="0"/>
        </w:numPr>
        <w:spacing w:line="360" w:lineRule="auto"/>
        <w:rPr>
          <w:rFonts w:ascii="Times New Roman" w:eastAsia="宋体"/>
        </w:rPr>
      </w:pPr>
      <w:r>
        <w:rPr>
          <w:rFonts w:ascii="Times New Roman" w:eastAsia="宋体"/>
          <w:b/>
          <w:bCs/>
          <w:szCs w:val="22"/>
          <w:lang w:val="en-US"/>
        </w:rPr>
        <w:t>5.3.12.1</w:t>
      </w:r>
      <w:r>
        <w:rPr>
          <w:rFonts w:hint="eastAsia" w:ascii="Times New Roman" w:eastAsia="宋体"/>
          <w:b/>
          <w:bCs/>
          <w:szCs w:val="22"/>
          <w:lang w:val="en-US"/>
        </w:rPr>
        <w:t xml:space="preserve">  </w:t>
      </w:r>
      <w:r>
        <w:rPr>
          <w:rFonts w:hint="eastAsia" w:ascii="Times New Roman" w:eastAsia="宋体"/>
        </w:rPr>
        <w:t>10kV 开关柜应符合南网电缆附件技术规范书要求。</w:t>
      </w:r>
    </w:p>
    <w:p>
      <w:pPr>
        <w:pStyle w:val="21"/>
        <w:numPr>
          <w:ilvl w:val="255"/>
          <w:numId w:val="0"/>
        </w:numPr>
        <w:spacing w:line="360" w:lineRule="auto"/>
        <w:rPr>
          <w:rFonts w:ascii="Times New Roman" w:eastAsia="宋体"/>
        </w:rPr>
      </w:pPr>
      <w:r>
        <w:rPr>
          <w:rFonts w:ascii="Times New Roman" w:eastAsia="宋体"/>
          <w:b/>
          <w:bCs/>
          <w:szCs w:val="22"/>
          <w:lang w:val="en-US"/>
        </w:rPr>
        <w:t>5.3.12.2</w:t>
      </w:r>
      <w:r>
        <w:rPr>
          <w:rFonts w:hint="eastAsia" w:ascii="Times New Roman" w:eastAsia="宋体"/>
          <w:b/>
          <w:bCs/>
          <w:szCs w:val="22"/>
          <w:lang w:val="en-US"/>
        </w:rPr>
        <w:t xml:space="preserve">  </w:t>
      </w:r>
      <w:r>
        <w:rPr>
          <w:rFonts w:hint="eastAsia" w:ascii="Times New Roman" w:eastAsia="宋体"/>
        </w:rPr>
        <w:t>10kV 开关柜要求采用可触摸</w:t>
      </w:r>
      <w:r>
        <w:rPr>
          <w:rFonts w:hint="eastAsia" w:ascii="Times New Roman" w:eastAsia="宋体"/>
          <w:lang w:val="en-US"/>
        </w:rPr>
        <w:t>全绝缘</w:t>
      </w:r>
      <w:r>
        <w:rPr>
          <w:rFonts w:hint="eastAsia" w:ascii="Times New Roman" w:eastAsia="宋体"/>
        </w:rPr>
        <w:t>电缆头和冷缩型电缆终端。</w:t>
      </w:r>
    </w:p>
    <w:p>
      <w:pPr>
        <w:pStyle w:val="21"/>
        <w:numPr>
          <w:ilvl w:val="255"/>
          <w:numId w:val="0"/>
        </w:numPr>
        <w:spacing w:line="360" w:lineRule="auto"/>
        <w:rPr>
          <w:rFonts w:ascii="Times New Roman" w:eastAsia="宋体"/>
        </w:rPr>
      </w:pPr>
      <w:r>
        <w:rPr>
          <w:rFonts w:ascii="Times New Roman" w:eastAsia="宋体"/>
          <w:b/>
          <w:bCs/>
          <w:szCs w:val="22"/>
          <w:lang w:val="en-US"/>
        </w:rPr>
        <w:t>5.3.12.3</w:t>
      </w:r>
      <w:r>
        <w:rPr>
          <w:rFonts w:hint="eastAsia" w:ascii="Times New Roman" w:eastAsia="宋体"/>
          <w:b/>
          <w:bCs/>
          <w:szCs w:val="22"/>
          <w:lang w:val="en-US"/>
        </w:rPr>
        <w:t xml:space="preserve">  </w:t>
      </w:r>
      <w:r>
        <w:rPr>
          <w:rFonts w:hint="eastAsia" w:ascii="Times New Roman" w:eastAsia="宋体"/>
        </w:rPr>
        <w:t>10kV 开关柜电缆终端安装后，应达到与开关柜体相同的防护等级。</w:t>
      </w:r>
    </w:p>
    <w:p>
      <w:pPr>
        <w:pStyle w:val="21"/>
        <w:numPr>
          <w:ilvl w:val="255"/>
          <w:numId w:val="0"/>
        </w:numPr>
        <w:spacing w:line="360" w:lineRule="auto"/>
        <w:rPr>
          <w:rFonts w:ascii="Times New Roman" w:eastAsia="宋体"/>
        </w:rPr>
      </w:pPr>
      <w:r>
        <w:rPr>
          <w:rFonts w:ascii="Times New Roman" w:eastAsia="宋体"/>
          <w:b/>
          <w:bCs/>
          <w:szCs w:val="22"/>
          <w:lang w:val="en-US"/>
        </w:rPr>
        <w:t>5.3.12.4</w:t>
      </w:r>
      <w:r>
        <w:rPr>
          <w:rFonts w:hint="eastAsia" w:ascii="Times New Roman" w:eastAsia="宋体"/>
          <w:b/>
          <w:bCs/>
          <w:szCs w:val="22"/>
          <w:lang w:val="en-US"/>
        </w:rPr>
        <w:t xml:space="preserve">  </w:t>
      </w:r>
      <w:r>
        <w:rPr>
          <w:rFonts w:hint="eastAsia" w:ascii="Times New Roman" w:eastAsia="宋体"/>
        </w:rPr>
        <w:t>10kV 开关柜电缆可分离连接器可多次拆卸安装使用，并应满足动热稳定要求。</w:t>
      </w:r>
    </w:p>
    <w:p>
      <w:pPr>
        <w:pStyle w:val="15"/>
        <w:ind w:firstLine="0" w:firstLineChars="0"/>
      </w:pPr>
      <w:r>
        <w:rPr>
          <w:rFonts w:ascii="Times New Roman"/>
          <w:b/>
          <w:bCs/>
          <w:szCs w:val="22"/>
        </w:rPr>
        <w:t>5.3.12.</w:t>
      </w:r>
      <w:r>
        <w:rPr>
          <w:rFonts w:hint="eastAsia" w:ascii="Times New Roman"/>
          <w:b/>
          <w:bCs/>
          <w:szCs w:val="22"/>
        </w:rPr>
        <w:t xml:space="preserve">5  </w:t>
      </w:r>
      <w:r>
        <w:rPr>
          <w:rFonts w:hint="eastAsia" w:ascii="Times New Roman"/>
          <w:szCs w:val="22"/>
          <w:lang w:val="zh-CN"/>
        </w:rPr>
        <w:t>线耳与接线端子的搭接面</w:t>
      </w:r>
      <w:r>
        <w:rPr>
          <w:rFonts w:hint="eastAsia" w:ascii="Times New Roman"/>
          <w:szCs w:val="22"/>
        </w:rPr>
        <w:t>应满足电缆附件</w:t>
      </w:r>
      <w:r>
        <w:rPr>
          <w:rFonts w:hint="eastAsia" w:ascii="Times New Roman"/>
          <w:szCs w:val="22"/>
          <w:lang w:val="zh-CN"/>
        </w:rPr>
        <w:t>技术</w:t>
      </w:r>
      <w:r>
        <w:rPr>
          <w:rFonts w:hint="eastAsia" w:ascii="Times New Roman"/>
          <w:szCs w:val="22"/>
        </w:rPr>
        <w:t>规范</w:t>
      </w:r>
      <w:r>
        <w:rPr>
          <w:rFonts w:hint="eastAsia" w:ascii="Times New Roman"/>
          <w:szCs w:val="22"/>
          <w:lang w:val="zh-CN"/>
        </w:rPr>
        <w:t>要求。</w:t>
      </w:r>
    </w:p>
    <w:p>
      <w:pPr>
        <w:pStyle w:val="18"/>
        <w:spacing w:before="120" w:after="120"/>
        <w:ind w:left="2325" w:hanging="2324" w:hangingChars="1107"/>
        <w:outlineLvl w:val="2"/>
        <w:rPr>
          <w:rFonts w:hAnsi="黑体"/>
        </w:rPr>
      </w:pPr>
      <w:bookmarkStart w:id="232" w:name="_Toc424549770"/>
      <w:bookmarkStart w:id="233" w:name="_Toc78912281"/>
      <w:r>
        <w:rPr>
          <w:rFonts w:hint="eastAsia" w:hAnsi="黑体"/>
        </w:rPr>
        <w:t>铭牌</w:t>
      </w:r>
      <w:bookmarkEnd w:id="232"/>
      <w:bookmarkEnd w:id="233"/>
    </w:p>
    <w:p>
      <w:pPr>
        <w:pStyle w:val="21"/>
        <w:numPr>
          <w:ilvl w:val="0"/>
          <w:numId w:val="0"/>
        </w:numPr>
        <w:spacing w:line="360" w:lineRule="auto"/>
        <w:ind w:firstLine="420" w:firstLineChars="200"/>
        <w:outlineLvl w:val="9"/>
        <w:rPr>
          <w:rFonts w:ascii="Times New Roman" w:eastAsia="宋体"/>
        </w:rPr>
      </w:pPr>
      <w:r>
        <w:rPr>
          <w:rFonts w:ascii="Times New Roman" w:eastAsia="宋体"/>
        </w:rPr>
        <w:t>1</w:t>
      </w:r>
      <w:r>
        <w:rPr>
          <w:rFonts w:hint="eastAsia" w:ascii="Times New Roman" w:eastAsia="宋体"/>
        </w:rPr>
        <w:t>）预装式变电站的铭牌内容应符合</w:t>
      </w:r>
      <w:r>
        <w:rPr>
          <w:rFonts w:ascii="Times New Roman" w:eastAsia="宋体"/>
        </w:rPr>
        <w:t>GB 17467</w:t>
      </w:r>
      <w:r>
        <w:rPr>
          <w:rFonts w:hint="eastAsia" w:ascii="Times New Roman" w:eastAsia="宋体"/>
        </w:rPr>
        <w:t>的要求，铭牌应耐用清晰、易识别；正常运行时，应能容易识别出各功能单元的铭牌；所标志项目的布置排版见附图</w:t>
      </w:r>
      <w:r>
        <w:rPr>
          <w:rFonts w:ascii="Times New Roman" w:eastAsia="宋体"/>
        </w:rPr>
        <w:t>1</w:t>
      </w:r>
      <w:r>
        <w:rPr>
          <w:rFonts w:hint="eastAsia" w:ascii="Times New Roman" w:eastAsia="宋体"/>
        </w:rPr>
        <w:t>所示。</w:t>
      </w:r>
    </w:p>
    <w:p>
      <w:pPr>
        <w:pStyle w:val="15"/>
        <w:spacing w:line="360" w:lineRule="auto"/>
        <w:ind w:firstLine="420"/>
        <w:rPr>
          <w:rFonts w:ascii="Times New Roman"/>
          <w:lang w:val="zh-CN"/>
        </w:rPr>
      </w:pPr>
      <w:r>
        <w:rPr>
          <w:rFonts w:ascii="Times New Roman"/>
          <w:lang w:val="zh-CN"/>
        </w:rPr>
        <w:t>2</w:t>
      </w:r>
      <w:r>
        <w:rPr>
          <w:rFonts w:hint="eastAsia" w:ascii="Times New Roman"/>
          <w:lang w:val="zh-CN"/>
        </w:rPr>
        <w:t>）铭牌</w:t>
      </w:r>
      <w:r>
        <w:rPr>
          <w:rFonts w:hint="eastAsia" w:ascii="Times New Roman"/>
        </w:rPr>
        <w:t>采用亚光不锈钢材料制作，耐腐蚀</w:t>
      </w:r>
      <w:r>
        <w:rPr>
          <w:rFonts w:hint="eastAsia" w:ascii="Times New Roman"/>
          <w:lang w:val="zh-CN"/>
        </w:rPr>
        <w:t>，尺寸为</w:t>
      </w:r>
      <w:r>
        <w:rPr>
          <w:rFonts w:ascii="Times New Roman"/>
          <w:lang w:val="zh-CN"/>
        </w:rPr>
        <w:t>2</w:t>
      </w:r>
      <w:r>
        <w:rPr>
          <w:rFonts w:hint="eastAsia" w:ascii="Times New Roman"/>
        </w:rPr>
        <w:t>5</w:t>
      </w:r>
      <w:r>
        <w:rPr>
          <w:rFonts w:ascii="Times New Roman"/>
          <w:lang w:val="zh-CN"/>
        </w:rPr>
        <w:t>0×1</w:t>
      </w:r>
      <w:r>
        <w:rPr>
          <w:rFonts w:hint="eastAsia" w:ascii="Times New Roman"/>
        </w:rPr>
        <w:t>3</w:t>
      </w:r>
      <w:r>
        <w:rPr>
          <w:rFonts w:ascii="Times New Roman"/>
          <w:lang w:val="zh-CN"/>
        </w:rPr>
        <w:t>0mm</w:t>
      </w:r>
      <w:r>
        <w:rPr>
          <w:rFonts w:hint="eastAsia" w:ascii="Times New Roman"/>
          <w:lang w:val="zh-CN"/>
        </w:rPr>
        <w:t>，</w:t>
      </w:r>
      <w:r>
        <w:rPr>
          <w:rFonts w:ascii="Times New Roman"/>
          <w:szCs w:val="21"/>
        </w:rPr>
        <w:t>其中二维码尺寸为80*80mm，</w:t>
      </w:r>
      <w:r>
        <w:rPr>
          <w:rFonts w:hint="eastAsia" w:ascii="Times New Roman"/>
          <w:lang w:val="zh-CN"/>
        </w:rPr>
        <w:t>厚度</w:t>
      </w:r>
      <w:r>
        <w:rPr>
          <w:rFonts w:ascii="Times New Roman"/>
          <w:szCs w:val="21"/>
        </w:rPr>
        <w:t>应不小于1.2±0.2mm</w:t>
      </w:r>
      <w:r>
        <w:rPr>
          <w:rFonts w:hint="eastAsia" w:ascii="Times New Roman"/>
          <w:lang w:val="zh-CN"/>
        </w:rPr>
        <w:t>，放置于变压器室（面向低压侧）左门，便于观察。</w:t>
      </w:r>
    </w:p>
    <w:p>
      <w:pPr>
        <w:pStyle w:val="18"/>
        <w:spacing w:before="120" w:after="120"/>
        <w:ind w:left="2325" w:hanging="2324" w:hangingChars="1107"/>
        <w:outlineLvl w:val="2"/>
        <w:rPr>
          <w:rFonts w:hAnsi="黑体"/>
        </w:rPr>
      </w:pPr>
      <w:bookmarkStart w:id="234" w:name="_Toc424549771"/>
      <w:bookmarkStart w:id="235" w:name="_Toc78912282"/>
      <w:r>
        <w:rPr>
          <w:rFonts w:hint="eastAsia" w:hAnsi="黑体"/>
        </w:rPr>
        <w:t>零配件要求</w:t>
      </w:r>
      <w:bookmarkEnd w:id="234"/>
      <w:bookmarkEnd w:id="235"/>
    </w:p>
    <w:p>
      <w:pPr>
        <w:pStyle w:val="21"/>
        <w:numPr>
          <w:ilvl w:val="255"/>
          <w:numId w:val="0"/>
        </w:numPr>
        <w:spacing w:line="360" w:lineRule="auto"/>
        <w:outlineLvl w:val="9"/>
        <w:rPr>
          <w:rFonts w:ascii="Times New Roman" w:eastAsia="宋体"/>
        </w:rPr>
      </w:pPr>
      <w:r>
        <w:rPr>
          <w:rFonts w:ascii="Times New Roman" w:eastAsia="宋体"/>
          <w:b/>
          <w:bCs/>
          <w:szCs w:val="22"/>
          <w:lang w:val="en-US"/>
        </w:rPr>
        <w:t>5.3.14.1</w:t>
      </w:r>
      <w:r>
        <w:rPr>
          <w:rFonts w:hint="eastAsia" w:ascii="Times New Roman" w:eastAsia="宋体"/>
        </w:rPr>
        <w:t>应注明主要零配件（负荷开关、开关操作手柄、全屏蔽可触摸式电缆插接头、电缆转接头、防尘绝缘帽、绝缘封堵帽、带电指示器、故障指示器、避雷器、电流互感器等）的生产厂家、型号等，零配件应符合有关的国家或行业标准</w:t>
      </w:r>
      <w:r>
        <w:rPr>
          <w:rFonts w:hint="eastAsia" w:ascii="Times New Roman" w:eastAsia="宋体"/>
          <w:lang w:eastAsia="zh-CN"/>
        </w:rPr>
        <w:t>，</w:t>
      </w:r>
      <w:r>
        <w:rPr>
          <w:rFonts w:hint="eastAsia" w:ascii="Times New Roman" w:eastAsia="宋体"/>
          <w:lang w:val="en-US" w:eastAsia="zh-CN"/>
        </w:rPr>
        <w:t>带电指示器应提供相关详细原理说明书，带电指示器的使用寿命不少于30年</w:t>
      </w:r>
      <w:bookmarkStart w:id="543" w:name="_GoBack"/>
      <w:bookmarkEnd w:id="543"/>
      <w:r>
        <w:rPr>
          <w:rFonts w:hint="eastAsia" w:ascii="Times New Roman" w:eastAsia="宋体"/>
        </w:rPr>
        <w:t>。</w:t>
      </w:r>
    </w:p>
    <w:p>
      <w:pPr>
        <w:pStyle w:val="21"/>
        <w:numPr>
          <w:ilvl w:val="255"/>
          <w:numId w:val="0"/>
        </w:numPr>
        <w:spacing w:line="360" w:lineRule="auto"/>
        <w:outlineLvl w:val="9"/>
        <w:rPr>
          <w:rFonts w:ascii="Times New Roman" w:eastAsia="宋体"/>
        </w:rPr>
      </w:pPr>
      <w:r>
        <w:rPr>
          <w:rFonts w:ascii="Times New Roman" w:eastAsia="宋体"/>
          <w:b/>
          <w:bCs/>
          <w:szCs w:val="22"/>
          <w:lang w:val="en-US"/>
        </w:rPr>
        <w:t>5.3.14.2</w:t>
      </w:r>
      <w:r>
        <w:rPr>
          <w:rFonts w:hint="eastAsia" w:ascii="Times New Roman" w:eastAsia="宋体"/>
        </w:rPr>
        <w:t>所有主要零配件均应有铭牌，</w:t>
      </w:r>
      <w:r>
        <w:rPr>
          <w:rFonts w:hint="eastAsia" w:ascii="Times New Roman" w:eastAsia="宋体"/>
          <w:lang w:val="en-US"/>
        </w:rPr>
        <w:t>对于尺寸较小不易在本体上加装铭牌及铭牌加装在本体上不易看到的</w:t>
      </w:r>
      <w:r>
        <w:rPr>
          <w:rFonts w:hint="eastAsia" w:ascii="Times New Roman" w:eastAsia="宋体"/>
        </w:rPr>
        <w:t>零配件，</w:t>
      </w:r>
      <w:r>
        <w:rPr>
          <w:rFonts w:hint="eastAsia" w:ascii="Times New Roman" w:eastAsia="宋体"/>
          <w:lang w:val="en-US"/>
        </w:rPr>
        <w:t>可统一另做铭牌安装在箱体上；所有铭牌应</w:t>
      </w:r>
      <w:r>
        <w:rPr>
          <w:rFonts w:hint="eastAsia" w:ascii="Times New Roman" w:eastAsia="宋体"/>
        </w:rPr>
        <w:t>安装在容易看到的位置。</w:t>
      </w:r>
    </w:p>
    <w:p>
      <w:pPr>
        <w:pStyle w:val="18"/>
        <w:ind w:left="2325" w:hanging="2324" w:hangingChars="1107"/>
      </w:pPr>
      <w:bookmarkStart w:id="236" w:name="_Toc424564563"/>
      <w:bookmarkStart w:id="237" w:name="_Toc20327"/>
      <w:bookmarkStart w:id="238" w:name="_Toc38180137"/>
      <w:r>
        <w:t>标示牌</w:t>
      </w:r>
      <w:bookmarkEnd w:id="236"/>
      <w:bookmarkEnd w:id="237"/>
      <w:bookmarkEnd w:id="238"/>
    </w:p>
    <w:p>
      <w:pPr>
        <w:pStyle w:val="21"/>
        <w:numPr>
          <w:ilvl w:val="0"/>
          <w:numId w:val="7"/>
        </w:numPr>
        <w:spacing w:line="360" w:lineRule="auto"/>
        <w:ind w:firstLine="420" w:firstLineChars="200"/>
        <w:outlineLvl w:val="9"/>
        <w:rPr>
          <w:rFonts w:ascii="Times New Roman" w:eastAsia="宋体"/>
          <w:szCs w:val="21"/>
        </w:rPr>
      </w:pPr>
      <w:r>
        <w:rPr>
          <w:rFonts w:ascii="Times New Roman" w:eastAsia="宋体"/>
          <w:szCs w:val="21"/>
        </w:rPr>
        <w:t>警告用和带有制造厂使用说明的一类标牌，以及按地方标准和法规需要设置的标牌，应该耐用和清晰易读。</w:t>
      </w:r>
    </w:p>
    <w:p>
      <w:pPr>
        <w:pStyle w:val="21"/>
        <w:numPr>
          <w:ilvl w:val="0"/>
          <w:numId w:val="7"/>
        </w:numPr>
        <w:spacing w:line="360" w:lineRule="auto"/>
        <w:ind w:firstLine="420" w:firstLineChars="200"/>
        <w:outlineLvl w:val="9"/>
        <w:rPr>
          <w:rFonts w:ascii="Times New Roman" w:eastAsia="宋体"/>
          <w:szCs w:val="21"/>
        </w:rPr>
      </w:pPr>
      <w:r>
        <w:rPr>
          <w:rFonts w:hint="eastAsia" w:ascii="Times New Roman" w:eastAsia="宋体"/>
          <w:szCs w:val="21"/>
          <w:lang w:val="en-US"/>
        </w:rPr>
        <w:t>在</w:t>
      </w:r>
      <w:r>
        <w:rPr>
          <w:rFonts w:hint="eastAsia" w:ascii="Times New Roman" w:eastAsia="宋体"/>
        </w:rPr>
        <w:t>预装式变电站</w:t>
      </w:r>
      <w:r>
        <w:rPr>
          <w:rFonts w:hint="eastAsia" w:ascii="Times New Roman" w:eastAsia="宋体"/>
          <w:szCs w:val="21"/>
          <w:lang w:val="en-US"/>
        </w:rPr>
        <w:t>正面及明显位置装设警示牌“</w:t>
      </w:r>
      <w:r>
        <w:rPr>
          <w:rFonts w:hint="eastAsia" w:ascii="Times New Roman" w:eastAsia="宋体"/>
          <w:szCs w:val="21"/>
        </w:rPr>
        <w:t>止步，</w:t>
      </w:r>
      <w:r>
        <w:rPr>
          <w:rFonts w:hint="eastAsia" w:ascii="Times New Roman" w:eastAsia="宋体"/>
          <w:szCs w:val="21"/>
          <w:lang w:val="en-US"/>
        </w:rPr>
        <w:t>高压</w:t>
      </w:r>
      <w:r>
        <w:rPr>
          <w:rFonts w:hint="eastAsia" w:ascii="Times New Roman" w:eastAsia="宋体"/>
          <w:szCs w:val="21"/>
        </w:rPr>
        <w:t>危险”，</w:t>
      </w:r>
      <w:r>
        <w:rPr>
          <w:rFonts w:hint="eastAsia" w:ascii="Times New Roman" w:eastAsia="宋体"/>
          <w:szCs w:val="21"/>
          <w:lang w:val="en-US"/>
        </w:rPr>
        <w:t>以满足安健环的要求；警示牌排版见附图2所示。</w:t>
      </w:r>
    </w:p>
    <w:p>
      <w:pPr>
        <w:pStyle w:val="17"/>
        <w:spacing w:before="120" w:after="120"/>
        <w:ind w:left="0"/>
        <w:outlineLvl w:val="1"/>
        <w:rPr>
          <w:rFonts w:hAnsi="宋体"/>
        </w:rPr>
      </w:pPr>
      <w:bookmarkStart w:id="239" w:name="_Toc400640380"/>
      <w:bookmarkStart w:id="240" w:name="_Toc78912283"/>
      <w:r>
        <w:rPr>
          <w:rFonts w:hint="eastAsia" w:hAnsi="宋体"/>
        </w:rPr>
        <w:t>质量追溯</w:t>
      </w:r>
      <w:bookmarkEnd w:id="239"/>
      <w:bookmarkEnd w:id="240"/>
    </w:p>
    <w:p>
      <w:pPr>
        <w:spacing w:line="360" w:lineRule="auto"/>
        <w:ind w:firstLine="420" w:firstLineChars="200"/>
      </w:pPr>
      <w:r>
        <w:rPr>
          <w:rFonts w:hint="eastAsia"/>
        </w:rPr>
        <w:t>产品制造过程中的重要环节应有详细记录，便于质量过程可追溯。</w:t>
      </w:r>
    </w:p>
    <w:p>
      <w:pPr>
        <w:pStyle w:val="17"/>
        <w:spacing w:before="120" w:after="120"/>
        <w:ind w:left="113" w:hangingChars="54"/>
        <w:outlineLvl w:val="1"/>
        <w:rPr>
          <w:rFonts w:hAnsi="宋体"/>
        </w:rPr>
      </w:pPr>
      <w:bookmarkStart w:id="241" w:name="_Toc78912284"/>
      <w:r>
        <w:rPr>
          <w:rFonts w:hint="eastAsia" w:hAnsi="宋体"/>
        </w:rPr>
        <w:t>关于对检修的要求</w:t>
      </w:r>
      <w:bookmarkEnd w:id="241"/>
    </w:p>
    <w:p>
      <w:pPr>
        <w:spacing w:line="480" w:lineRule="atLeast"/>
      </w:pPr>
      <w:r>
        <w:t>5.5.1</w:t>
      </w:r>
      <w:r>
        <w:rPr>
          <w:rFonts w:hint="eastAsia"/>
        </w:rPr>
        <w:t>投标方对设备及部件的检修周期要求不得短于南方电网公司《电力设备检修规程》要求的周期。</w:t>
      </w:r>
    </w:p>
    <w:p>
      <w:pPr>
        <w:spacing w:line="480" w:lineRule="atLeast"/>
      </w:pPr>
      <w:r>
        <w:t>5.5.2</w:t>
      </w:r>
      <w:r>
        <w:rPr>
          <w:rFonts w:hint="eastAsia"/>
        </w:rPr>
        <w:t>投标方应提供本体及主要部件的检修项目、检修工艺和检修周期。按照南方电网公司提供的维护检修手册模板，提供维护检修手册。</w:t>
      </w:r>
    </w:p>
    <w:p>
      <w:pPr>
        <w:spacing w:line="480" w:lineRule="atLeast"/>
        <w:ind w:firstLine="420" w:firstLineChars="200"/>
        <w:jc w:val="left"/>
      </w:pPr>
      <w:r>
        <w:rPr>
          <w:rFonts w:hint="eastAsia"/>
        </w:rPr>
        <w:t>对具有固定周期的项目，投标方建议的检修周期应比南方电网公司《电力设备检修规程》规定的检修周期长。</w:t>
      </w:r>
    </w:p>
    <w:p>
      <w:pPr>
        <w:pStyle w:val="17"/>
        <w:spacing w:before="120" w:after="120"/>
        <w:ind w:left="113" w:hangingChars="54"/>
        <w:outlineLvl w:val="1"/>
        <w:rPr>
          <w:rFonts w:hAnsi="宋体"/>
        </w:rPr>
      </w:pPr>
      <w:bookmarkStart w:id="242" w:name="_Toc78912285"/>
      <w:r>
        <w:rPr>
          <w:rFonts w:hint="eastAsia" w:hAnsi="宋体"/>
        </w:rPr>
        <w:t>产品对环境的影响</w:t>
      </w:r>
      <w:bookmarkEnd w:id="242"/>
    </w:p>
    <w:p>
      <w:pPr>
        <w:spacing w:line="480" w:lineRule="atLeast"/>
      </w:pPr>
      <w:r>
        <w:t>5.6.1</w:t>
      </w:r>
      <w:r>
        <w:rPr>
          <w:rFonts w:hint="eastAsia"/>
        </w:rPr>
        <w:t>坚持以资源节约型和环境友好型的原则，同时应考虑降低投资成本和提高运行经济性。</w:t>
      </w:r>
    </w:p>
    <w:p>
      <w:pPr>
        <w:spacing w:line="480" w:lineRule="atLeast"/>
      </w:pPr>
      <w:r>
        <w:t>5.6.2</w:t>
      </w:r>
      <w:r>
        <w:rPr>
          <w:rFonts w:hint="eastAsia"/>
        </w:rPr>
        <w:t>应对噪声、工频电场和磁场、高频电磁波、通信干扰等方面采取必要的防治措施，并满足国家相关标准的要求。</w:t>
      </w:r>
    </w:p>
    <w:p>
      <w:pPr>
        <w:spacing w:line="480" w:lineRule="atLeast"/>
      </w:pPr>
      <w:r>
        <w:t>5.6.3</w:t>
      </w:r>
      <w:r>
        <w:rPr>
          <w:rFonts w:hint="eastAsia"/>
        </w:rPr>
        <w:t>推广采用高可靠性、小型化和节能型设备。</w:t>
      </w:r>
    </w:p>
    <w:p>
      <w:pPr>
        <w:spacing w:line="480" w:lineRule="atLeast"/>
      </w:pPr>
      <w:r>
        <w:t>5.6.4</w:t>
      </w:r>
      <w:r>
        <w:rPr>
          <w:rFonts w:hint="eastAsia"/>
        </w:rPr>
        <w:t>优先选用损耗低的产品。</w:t>
      </w:r>
    </w:p>
    <w:p>
      <w:pPr>
        <w:pStyle w:val="14"/>
        <w:numPr>
          <w:ilvl w:val="1"/>
          <w:numId w:val="5"/>
        </w:numPr>
        <w:spacing w:before="312" w:beforeLines="100" w:after="312" w:afterLines="100" w:line="416" w:lineRule="exact"/>
        <w:outlineLvl w:val="0"/>
        <w:rPr>
          <w:rFonts w:hAnsi="宋体"/>
        </w:rPr>
      </w:pPr>
      <w:bookmarkStart w:id="243" w:name="_Toc419730949"/>
      <w:bookmarkEnd w:id="243"/>
      <w:bookmarkStart w:id="244" w:name="_Toc419734564"/>
      <w:bookmarkEnd w:id="244"/>
      <w:bookmarkStart w:id="245" w:name="_Toc419471464"/>
      <w:bookmarkEnd w:id="245"/>
      <w:bookmarkStart w:id="246" w:name="_Toc419734931"/>
      <w:bookmarkEnd w:id="246"/>
      <w:bookmarkStart w:id="247" w:name="_Toc419734753"/>
      <w:bookmarkEnd w:id="247"/>
      <w:bookmarkStart w:id="248" w:name="_Toc73037276"/>
      <w:bookmarkEnd w:id="248"/>
      <w:bookmarkStart w:id="249" w:name="_Toc419730903"/>
      <w:bookmarkEnd w:id="249"/>
      <w:bookmarkStart w:id="250" w:name="_Toc419730950"/>
      <w:bookmarkStart w:id="251" w:name="_Toc78912286"/>
      <w:r>
        <w:rPr>
          <w:rFonts w:hint="eastAsia" w:hAnsi="宋体"/>
        </w:rPr>
        <w:t>试验</w:t>
      </w:r>
      <w:bookmarkEnd w:id="250"/>
      <w:r>
        <w:rPr>
          <w:rFonts w:hint="eastAsia" w:hAnsi="宋体"/>
        </w:rPr>
        <w:t>要求</w:t>
      </w:r>
      <w:bookmarkEnd w:id="251"/>
    </w:p>
    <w:p>
      <w:pPr>
        <w:pStyle w:val="17"/>
        <w:spacing w:before="120" w:after="120"/>
        <w:ind w:left="113" w:hangingChars="54"/>
        <w:outlineLvl w:val="1"/>
        <w:rPr>
          <w:rFonts w:hAnsi="宋体"/>
        </w:rPr>
      </w:pPr>
      <w:bookmarkStart w:id="252" w:name="_Toc234223159"/>
      <w:bookmarkEnd w:id="252"/>
      <w:bookmarkStart w:id="253" w:name="_Toc234223755"/>
      <w:bookmarkEnd w:id="253"/>
      <w:bookmarkStart w:id="254" w:name="_Toc234223164"/>
      <w:bookmarkEnd w:id="254"/>
      <w:bookmarkStart w:id="255" w:name="_Toc234223800"/>
      <w:bookmarkEnd w:id="255"/>
      <w:bookmarkStart w:id="256" w:name="_Toc234223152"/>
      <w:bookmarkEnd w:id="256"/>
      <w:bookmarkStart w:id="257" w:name="_Toc234223747"/>
      <w:bookmarkEnd w:id="257"/>
      <w:bookmarkStart w:id="258" w:name="_Toc241250137"/>
      <w:bookmarkEnd w:id="258"/>
      <w:bookmarkStart w:id="259" w:name="_Toc233972460"/>
      <w:bookmarkEnd w:id="259"/>
      <w:bookmarkStart w:id="260" w:name="_Toc234223786"/>
      <w:bookmarkEnd w:id="260"/>
      <w:bookmarkStart w:id="261" w:name="_Toc234223789"/>
      <w:bookmarkEnd w:id="261"/>
      <w:bookmarkStart w:id="262" w:name="_Toc241246477"/>
      <w:bookmarkEnd w:id="262"/>
      <w:bookmarkStart w:id="263" w:name="_Toc234223148"/>
      <w:bookmarkEnd w:id="263"/>
      <w:bookmarkStart w:id="264" w:name="_Toc234223817"/>
      <w:bookmarkEnd w:id="264"/>
      <w:bookmarkStart w:id="265" w:name="_Toc234223169"/>
      <w:bookmarkEnd w:id="265"/>
      <w:bookmarkStart w:id="266" w:name="_Toc241246478"/>
      <w:bookmarkEnd w:id="266"/>
      <w:bookmarkStart w:id="267" w:name="_Toc234223812"/>
      <w:bookmarkEnd w:id="267"/>
      <w:bookmarkStart w:id="268" w:name="_Toc233917326"/>
      <w:bookmarkEnd w:id="268"/>
      <w:bookmarkStart w:id="269" w:name="_Toc233917018"/>
      <w:bookmarkEnd w:id="269"/>
      <w:bookmarkStart w:id="270" w:name="_Toc234223754"/>
      <w:bookmarkEnd w:id="270"/>
      <w:bookmarkStart w:id="271" w:name="_Toc234223779"/>
      <w:bookmarkEnd w:id="271"/>
      <w:bookmarkStart w:id="272" w:name="_Toc234223210"/>
      <w:bookmarkEnd w:id="272"/>
      <w:bookmarkStart w:id="273" w:name="_Toc234223785"/>
      <w:bookmarkEnd w:id="273"/>
      <w:bookmarkStart w:id="274" w:name="_Toc233917024"/>
      <w:bookmarkEnd w:id="274"/>
      <w:bookmarkStart w:id="275" w:name="_Toc234223815"/>
      <w:bookmarkEnd w:id="275"/>
      <w:bookmarkStart w:id="276" w:name="_Toc233917702"/>
      <w:bookmarkEnd w:id="276"/>
      <w:bookmarkStart w:id="277" w:name="_Toc241246955"/>
      <w:bookmarkEnd w:id="277"/>
      <w:bookmarkStart w:id="278" w:name="_Toc234223802"/>
      <w:bookmarkEnd w:id="278"/>
      <w:bookmarkStart w:id="279" w:name="_Toc234223200"/>
      <w:bookmarkEnd w:id="279"/>
      <w:bookmarkStart w:id="280" w:name="_Toc234223787"/>
      <w:bookmarkEnd w:id="280"/>
      <w:bookmarkStart w:id="281" w:name="_Toc241246954"/>
      <w:bookmarkEnd w:id="281"/>
      <w:bookmarkStart w:id="282" w:name="_Toc234223171"/>
      <w:bookmarkEnd w:id="282"/>
      <w:bookmarkStart w:id="283" w:name="_Toc234223196"/>
      <w:bookmarkEnd w:id="283"/>
      <w:bookmarkStart w:id="284" w:name="_Toc233972461"/>
      <w:bookmarkEnd w:id="284"/>
      <w:bookmarkStart w:id="285" w:name="_Toc234223750"/>
      <w:bookmarkEnd w:id="285"/>
      <w:bookmarkStart w:id="286" w:name="_Toc234223816"/>
      <w:bookmarkEnd w:id="286"/>
      <w:bookmarkStart w:id="287" w:name="_Toc234223758"/>
      <w:bookmarkEnd w:id="287"/>
      <w:bookmarkStart w:id="288" w:name="_Toc241251078"/>
      <w:bookmarkEnd w:id="288"/>
      <w:bookmarkStart w:id="289" w:name="_Toc233917701"/>
      <w:bookmarkEnd w:id="289"/>
      <w:bookmarkStart w:id="290" w:name="_Toc234223743"/>
      <w:bookmarkEnd w:id="290"/>
      <w:bookmarkStart w:id="291" w:name="_Toc233972450"/>
      <w:bookmarkEnd w:id="291"/>
      <w:bookmarkStart w:id="292" w:name="_Toc234223804"/>
      <w:bookmarkEnd w:id="292"/>
      <w:bookmarkStart w:id="293" w:name="_Toc241250136"/>
      <w:bookmarkEnd w:id="293"/>
      <w:bookmarkStart w:id="294" w:name="_Toc234223153"/>
      <w:bookmarkEnd w:id="294"/>
      <w:bookmarkStart w:id="295" w:name="_Toc234223163"/>
      <w:bookmarkEnd w:id="295"/>
      <w:bookmarkStart w:id="296" w:name="_Toc234223737"/>
      <w:bookmarkEnd w:id="296"/>
      <w:bookmarkStart w:id="297" w:name="_Toc234223160"/>
      <w:bookmarkEnd w:id="297"/>
      <w:bookmarkStart w:id="298" w:name="_Toc234223161"/>
      <w:bookmarkEnd w:id="298"/>
      <w:bookmarkStart w:id="299" w:name="_Toc234223231"/>
      <w:bookmarkEnd w:id="299"/>
      <w:bookmarkStart w:id="300" w:name="_Toc241250138"/>
      <w:bookmarkEnd w:id="300"/>
      <w:bookmarkStart w:id="301" w:name="_Toc234223223"/>
      <w:bookmarkEnd w:id="301"/>
      <w:bookmarkStart w:id="302" w:name="_Toc234223173"/>
      <w:bookmarkEnd w:id="302"/>
      <w:bookmarkStart w:id="303" w:name="_Toc234223803"/>
      <w:bookmarkEnd w:id="303"/>
      <w:bookmarkStart w:id="304" w:name="_Toc233972451"/>
      <w:bookmarkEnd w:id="304"/>
      <w:bookmarkStart w:id="305" w:name="_Toc234223156"/>
      <w:bookmarkEnd w:id="305"/>
      <w:bookmarkStart w:id="306" w:name="_Toc234223221"/>
      <w:bookmarkEnd w:id="306"/>
      <w:bookmarkStart w:id="307" w:name="_Toc233917019"/>
      <w:bookmarkEnd w:id="307"/>
      <w:bookmarkStart w:id="308" w:name="_Toc234223155"/>
      <w:bookmarkEnd w:id="308"/>
      <w:bookmarkStart w:id="309" w:name="_Toc233917323"/>
      <w:bookmarkEnd w:id="309"/>
      <w:bookmarkStart w:id="310" w:name="_Toc234223806"/>
      <w:bookmarkEnd w:id="310"/>
      <w:bookmarkStart w:id="311" w:name="_Toc234223220"/>
      <w:bookmarkEnd w:id="311"/>
      <w:bookmarkStart w:id="312" w:name="_Toc233972453"/>
      <w:bookmarkEnd w:id="312"/>
      <w:bookmarkStart w:id="313" w:name="_Toc241250878"/>
      <w:bookmarkEnd w:id="313"/>
      <w:bookmarkStart w:id="314" w:name="_Toc234223791"/>
      <w:bookmarkEnd w:id="314"/>
      <w:bookmarkStart w:id="315" w:name="_Toc241250876"/>
      <w:bookmarkEnd w:id="315"/>
      <w:bookmarkStart w:id="316" w:name="_Toc234223735"/>
      <w:bookmarkEnd w:id="316"/>
      <w:bookmarkStart w:id="317" w:name="_Toc234223166"/>
      <w:bookmarkEnd w:id="317"/>
      <w:bookmarkStart w:id="318" w:name="_Toc234223204"/>
      <w:bookmarkEnd w:id="318"/>
      <w:bookmarkStart w:id="319" w:name="_Toc234223739"/>
      <w:bookmarkEnd w:id="319"/>
      <w:bookmarkStart w:id="320" w:name="_Toc234223811"/>
      <w:bookmarkEnd w:id="320"/>
      <w:bookmarkStart w:id="321" w:name="_Toc234223777"/>
      <w:bookmarkEnd w:id="321"/>
      <w:bookmarkStart w:id="322" w:name="_Toc234223147"/>
      <w:bookmarkEnd w:id="322"/>
      <w:bookmarkStart w:id="323" w:name="_Toc233917020"/>
      <w:bookmarkEnd w:id="323"/>
      <w:bookmarkStart w:id="324" w:name="_Toc234223202"/>
      <w:bookmarkEnd w:id="324"/>
      <w:bookmarkStart w:id="325" w:name="_Toc233972443"/>
      <w:bookmarkEnd w:id="325"/>
      <w:bookmarkStart w:id="326" w:name="_Toc234223165"/>
      <w:bookmarkEnd w:id="326"/>
      <w:bookmarkStart w:id="327" w:name="_Toc234223206"/>
      <w:bookmarkEnd w:id="327"/>
      <w:bookmarkStart w:id="328" w:name="_Toc234223801"/>
      <w:bookmarkEnd w:id="328"/>
      <w:bookmarkStart w:id="329" w:name="_Toc234223733"/>
      <w:bookmarkEnd w:id="329"/>
      <w:bookmarkStart w:id="330" w:name="_Toc241251083"/>
      <w:bookmarkEnd w:id="330"/>
      <w:bookmarkStart w:id="331" w:name="_Toc234223784"/>
      <w:bookmarkEnd w:id="331"/>
      <w:bookmarkStart w:id="332" w:name="_Toc233972454"/>
      <w:bookmarkEnd w:id="332"/>
      <w:bookmarkStart w:id="333" w:name="_Toc233972457"/>
      <w:bookmarkEnd w:id="333"/>
      <w:bookmarkStart w:id="334" w:name="_Toc234223194"/>
      <w:bookmarkEnd w:id="334"/>
      <w:bookmarkStart w:id="335" w:name="_Toc234223797"/>
      <w:bookmarkEnd w:id="335"/>
      <w:bookmarkStart w:id="336" w:name="_Toc234223819"/>
      <w:bookmarkEnd w:id="336"/>
      <w:bookmarkStart w:id="337" w:name="_Toc241251010"/>
      <w:bookmarkEnd w:id="337"/>
      <w:bookmarkStart w:id="338" w:name="_Toc234223162"/>
      <w:bookmarkEnd w:id="338"/>
      <w:bookmarkStart w:id="339" w:name="_Toc234223776"/>
      <w:bookmarkEnd w:id="339"/>
      <w:bookmarkStart w:id="340" w:name="_Toc234223198"/>
      <w:bookmarkEnd w:id="340"/>
      <w:bookmarkStart w:id="341" w:name="_Toc234223211"/>
      <w:bookmarkEnd w:id="341"/>
      <w:bookmarkStart w:id="342" w:name="_Toc234223229"/>
      <w:bookmarkEnd w:id="342"/>
      <w:bookmarkStart w:id="343" w:name="_Toc234223734"/>
      <w:bookmarkEnd w:id="343"/>
      <w:bookmarkStart w:id="344" w:name="_Toc241250877"/>
      <w:bookmarkEnd w:id="344"/>
      <w:bookmarkStart w:id="345" w:name="_Toc233972449"/>
      <w:bookmarkEnd w:id="345"/>
      <w:bookmarkStart w:id="346" w:name="_Toc233917325"/>
      <w:bookmarkEnd w:id="346"/>
      <w:bookmarkStart w:id="347" w:name="_Toc234223741"/>
      <w:bookmarkEnd w:id="347"/>
      <w:bookmarkStart w:id="348" w:name="_Toc234223782"/>
      <w:bookmarkEnd w:id="348"/>
      <w:bookmarkStart w:id="349" w:name="_Toc234223145"/>
      <w:bookmarkEnd w:id="349"/>
      <w:bookmarkStart w:id="350" w:name="_Toc233917700"/>
      <w:bookmarkEnd w:id="350"/>
      <w:bookmarkStart w:id="351" w:name="_Toc234223792"/>
      <w:bookmarkEnd w:id="351"/>
      <w:bookmarkStart w:id="352" w:name="_Toc234223216"/>
      <w:bookmarkEnd w:id="352"/>
      <w:bookmarkStart w:id="353" w:name="_Toc234223751"/>
      <w:bookmarkEnd w:id="353"/>
      <w:bookmarkStart w:id="354" w:name="_Toc234223774"/>
      <w:bookmarkEnd w:id="354"/>
      <w:bookmarkStart w:id="355" w:name="_Toc234223151"/>
      <w:bookmarkEnd w:id="355"/>
      <w:bookmarkStart w:id="356" w:name="_Toc234223781"/>
      <w:bookmarkEnd w:id="356"/>
      <w:bookmarkStart w:id="357" w:name="_Toc233917321"/>
      <w:bookmarkEnd w:id="357"/>
      <w:bookmarkStart w:id="358" w:name="_Toc234223759"/>
      <w:bookmarkEnd w:id="358"/>
      <w:bookmarkStart w:id="359" w:name="_Toc234223146"/>
      <w:bookmarkEnd w:id="359"/>
      <w:bookmarkStart w:id="360" w:name="_Toc241250120"/>
      <w:bookmarkEnd w:id="360"/>
      <w:bookmarkStart w:id="361" w:name="_Toc234223810"/>
      <w:bookmarkEnd w:id="361"/>
      <w:bookmarkStart w:id="362" w:name="_Toc234223172"/>
      <w:bookmarkEnd w:id="362"/>
      <w:bookmarkStart w:id="363" w:name="_Toc234223149"/>
      <w:bookmarkEnd w:id="363"/>
      <w:bookmarkStart w:id="364" w:name="_Toc234223798"/>
      <w:bookmarkEnd w:id="364"/>
      <w:bookmarkStart w:id="365" w:name="_Toc241251011"/>
      <w:bookmarkEnd w:id="365"/>
      <w:bookmarkStart w:id="366" w:name="_Toc241251082"/>
      <w:bookmarkEnd w:id="366"/>
      <w:bookmarkStart w:id="367" w:name="_Toc233972452"/>
      <w:bookmarkEnd w:id="367"/>
      <w:bookmarkStart w:id="368" w:name="_Toc234223753"/>
      <w:bookmarkEnd w:id="368"/>
      <w:bookmarkStart w:id="369" w:name="_Toc234223219"/>
      <w:bookmarkEnd w:id="369"/>
      <w:bookmarkStart w:id="370" w:name="_Toc234223209"/>
      <w:bookmarkEnd w:id="370"/>
      <w:bookmarkStart w:id="371" w:name="_Toc234223793"/>
      <w:bookmarkEnd w:id="371"/>
      <w:bookmarkStart w:id="372" w:name="_Toc234223193"/>
      <w:bookmarkEnd w:id="372"/>
      <w:bookmarkStart w:id="373" w:name="_Toc234223224"/>
      <w:bookmarkEnd w:id="373"/>
      <w:bookmarkStart w:id="374" w:name="_Toc234223228"/>
      <w:bookmarkEnd w:id="374"/>
      <w:bookmarkStart w:id="375" w:name="_Toc241251009"/>
      <w:bookmarkEnd w:id="375"/>
      <w:bookmarkStart w:id="376" w:name="_Toc241553950"/>
      <w:bookmarkEnd w:id="376"/>
      <w:bookmarkStart w:id="377" w:name="_Toc234223738"/>
      <w:bookmarkEnd w:id="377"/>
      <w:bookmarkStart w:id="378" w:name="_Toc234223790"/>
      <w:bookmarkEnd w:id="378"/>
      <w:bookmarkStart w:id="379" w:name="_Toc241250119"/>
      <w:bookmarkEnd w:id="379"/>
      <w:bookmarkStart w:id="380" w:name="_Toc234223170"/>
      <w:bookmarkEnd w:id="380"/>
      <w:bookmarkStart w:id="381" w:name="_Toc234223208"/>
      <w:bookmarkEnd w:id="381"/>
      <w:bookmarkStart w:id="382" w:name="_Toc234223807"/>
      <w:bookmarkEnd w:id="382"/>
      <w:bookmarkStart w:id="383" w:name="_Toc234223783"/>
      <w:bookmarkEnd w:id="383"/>
      <w:bookmarkStart w:id="384" w:name="_Toc234223213"/>
      <w:bookmarkEnd w:id="384"/>
      <w:bookmarkStart w:id="385" w:name="_Toc234223188"/>
      <w:bookmarkEnd w:id="385"/>
      <w:bookmarkStart w:id="386" w:name="_Toc233917022"/>
      <w:bookmarkEnd w:id="386"/>
      <w:bookmarkStart w:id="387" w:name="_Toc234223205"/>
      <w:bookmarkEnd w:id="387"/>
      <w:bookmarkStart w:id="388" w:name="_Toc234223805"/>
      <w:bookmarkEnd w:id="388"/>
      <w:bookmarkStart w:id="389" w:name="_Toc234223799"/>
      <w:bookmarkEnd w:id="389"/>
      <w:bookmarkStart w:id="390" w:name="_Toc233972442"/>
      <w:bookmarkEnd w:id="390"/>
      <w:bookmarkStart w:id="391" w:name="_Toc234223199"/>
      <w:bookmarkEnd w:id="391"/>
      <w:bookmarkStart w:id="392" w:name="_Toc233972444"/>
      <w:bookmarkEnd w:id="392"/>
      <w:bookmarkStart w:id="393" w:name="_Toc234223195"/>
      <w:bookmarkEnd w:id="393"/>
      <w:bookmarkStart w:id="394" w:name="_Toc241246953"/>
      <w:bookmarkEnd w:id="394"/>
      <w:bookmarkStart w:id="395" w:name="_Toc233972448"/>
      <w:bookmarkEnd w:id="395"/>
      <w:bookmarkStart w:id="396" w:name="_Toc234223742"/>
      <w:bookmarkEnd w:id="396"/>
      <w:bookmarkStart w:id="397" w:name="_Toc234223201"/>
      <w:bookmarkEnd w:id="397"/>
      <w:bookmarkStart w:id="398" w:name="_Toc234223778"/>
      <w:bookmarkEnd w:id="398"/>
      <w:bookmarkStart w:id="399" w:name="_Toc234223212"/>
      <w:bookmarkEnd w:id="399"/>
      <w:bookmarkStart w:id="400" w:name="_Toc234223746"/>
      <w:bookmarkEnd w:id="400"/>
      <w:bookmarkStart w:id="401" w:name="_Toc233917705"/>
      <w:bookmarkEnd w:id="401"/>
      <w:bookmarkStart w:id="402" w:name="_Toc241250121"/>
      <w:bookmarkEnd w:id="402"/>
      <w:bookmarkStart w:id="403" w:name="_Toc234223775"/>
      <w:bookmarkEnd w:id="403"/>
      <w:bookmarkStart w:id="404" w:name="_Toc234223818"/>
      <w:bookmarkEnd w:id="404"/>
      <w:bookmarkStart w:id="405" w:name="_Toc233917322"/>
      <w:bookmarkEnd w:id="405"/>
      <w:bookmarkStart w:id="406" w:name="_Toc234223197"/>
      <w:bookmarkEnd w:id="406"/>
      <w:bookmarkStart w:id="407" w:name="_Toc241553951"/>
      <w:bookmarkEnd w:id="407"/>
      <w:bookmarkStart w:id="408" w:name="_Toc234223808"/>
      <w:bookmarkEnd w:id="408"/>
      <w:bookmarkStart w:id="409" w:name="_Toc233972459"/>
      <w:bookmarkEnd w:id="409"/>
      <w:bookmarkStart w:id="410" w:name="_Toc233972441"/>
      <w:bookmarkEnd w:id="410"/>
      <w:bookmarkStart w:id="411" w:name="_Toc233917704"/>
      <w:bookmarkEnd w:id="411"/>
      <w:bookmarkStart w:id="412" w:name="_Toc234223233"/>
      <w:bookmarkEnd w:id="412"/>
      <w:bookmarkStart w:id="413" w:name="_Toc234223780"/>
      <w:bookmarkEnd w:id="413"/>
      <w:bookmarkStart w:id="414" w:name="_Toc234223757"/>
      <w:bookmarkEnd w:id="414"/>
      <w:bookmarkStart w:id="415" w:name="_Toc233972456"/>
      <w:bookmarkEnd w:id="415"/>
      <w:bookmarkStart w:id="416" w:name="_Toc234223756"/>
      <w:bookmarkEnd w:id="416"/>
      <w:bookmarkStart w:id="417" w:name="_Toc234223813"/>
      <w:bookmarkEnd w:id="417"/>
      <w:bookmarkStart w:id="418" w:name="_Toc234223794"/>
      <w:bookmarkEnd w:id="418"/>
      <w:bookmarkStart w:id="419" w:name="_Toc234223749"/>
      <w:bookmarkEnd w:id="419"/>
      <w:bookmarkStart w:id="420" w:name="_Toc233917706"/>
      <w:bookmarkEnd w:id="420"/>
      <w:bookmarkStart w:id="421" w:name="_Toc234223167"/>
      <w:bookmarkEnd w:id="421"/>
      <w:bookmarkStart w:id="422" w:name="_Toc234223745"/>
      <w:bookmarkEnd w:id="422"/>
      <w:bookmarkStart w:id="423" w:name="_Toc234223232"/>
      <w:bookmarkEnd w:id="423"/>
      <w:bookmarkStart w:id="424" w:name="_Toc234223814"/>
      <w:bookmarkEnd w:id="424"/>
      <w:bookmarkStart w:id="425" w:name="_Toc233972458"/>
      <w:bookmarkEnd w:id="425"/>
      <w:bookmarkStart w:id="426" w:name="_Toc234223189"/>
      <w:bookmarkEnd w:id="426"/>
      <w:bookmarkStart w:id="427" w:name="_Toc234223230"/>
      <w:bookmarkEnd w:id="427"/>
      <w:bookmarkStart w:id="428" w:name="_Toc234223157"/>
      <w:bookmarkEnd w:id="428"/>
      <w:bookmarkStart w:id="429" w:name="_Toc233917703"/>
      <w:bookmarkEnd w:id="429"/>
      <w:bookmarkStart w:id="430" w:name="_Toc234223788"/>
      <w:bookmarkEnd w:id="430"/>
      <w:bookmarkStart w:id="431" w:name="_Toc234223809"/>
      <w:bookmarkEnd w:id="431"/>
      <w:bookmarkStart w:id="432" w:name="_Toc241251081"/>
      <w:bookmarkEnd w:id="432"/>
      <w:bookmarkStart w:id="433" w:name="_Toc234223215"/>
      <w:bookmarkEnd w:id="433"/>
      <w:bookmarkStart w:id="434" w:name="_Toc234223207"/>
      <w:bookmarkEnd w:id="434"/>
      <w:bookmarkStart w:id="435" w:name="_Toc241246479"/>
      <w:bookmarkEnd w:id="435"/>
      <w:bookmarkStart w:id="436" w:name="_Toc206383640"/>
      <w:bookmarkEnd w:id="436"/>
      <w:bookmarkStart w:id="437" w:name="_Toc234223227"/>
      <w:bookmarkEnd w:id="437"/>
      <w:bookmarkStart w:id="438" w:name="_Toc234223218"/>
      <w:bookmarkEnd w:id="438"/>
      <w:bookmarkStart w:id="439" w:name="_Toc234223217"/>
      <w:bookmarkEnd w:id="439"/>
      <w:bookmarkStart w:id="440" w:name="_Toc234223168"/>
      <w:bookmarkEnd w:id="440"/>
      <w:bookmarkStart w:id="441" w:name="_Toc234223190"/>
      <w:bookmarkEnd w:id="441"/>
      <w:bookmarkStart w:id="442" w:name="_Toc233917021"/>
      <w:bookmarkEnd w:id="442"/>
      <w:bookmarkStart w:id="443" w:name="_Toc234223752"/>
      <w:bookmarkEnd w:id="443"/>
      <w:bookmarkStart w:id="444" w:name="_Toc233917327"/>
      <w:bookmarkEnd w:id="444"/>
      <w:bookmarkStart w:id="445" w:name="_Toc234223222"/>
      <w:bookmarkEnd w:id="445"/>
      <w:bookmarkStart w:id="446" w:name="_Toc234223191"/>
      <w:bookmarkEnd w:id="446"/>
      <w:bookmarkStart w:id="447" w:name="_Toc234223192"/>
      <w:bookmarkEnd w:id="447"/>
      <w:bookmarkStart w:id="448" w:name="_Toc234223748"/>
      <w:bookmarkEnd w:id="448"/>
      <w:bookmarkStart w:id="449" w:name="_Toc234223796"/>
      <w:bookmarkEnd w:id="449"/>
      <w:bookmarkStart w:id="450" w:name="_Toc234223731"/>
      <w:bookmarkEnd w:id="450"/>
      <w:bookmarkStart w:id="451" w:name="_Toc234223225"/>
      <w:bookmarkEnd w:id="451"/>
      <w:bookmarkStart w:id="452" w:name="_Toc234223795"/>
      <w:bookmarkEnd w:id="452"/>
      <w:bookmarkStart w:id="453" w:name="_Toc233917324"/>
      <w:bookmarkEnd w:id="453"/>
      <w:bookmarkStart w:id="454" w:name="_Toc234223226"/>
      <w:bookmarkEnd w:id="454"/>
      <w:bookmarkStart w:id="455" w:name="_Toc233972455"/>
      <w:bookmarkEnd w:id="455"/>
      <w:bookmarkStart w:id="456" w:name="_Toc233917023"/>
      <w:bookmarkEnd w:id="456"/>
      <w:bookmarkStart w:id="457" w:name="_Toc234223214"/>
      <w:bookmarkEnd w:id="457"/>
      <w:bookmarkStart w:id="458" w:name="_Toc233972462"/>
      <w:bookmarkEnd w:id="458"/>
      <w:bookmarkStart w:id="459" w:name="_Toc234223203"/>
      <w:bookmarkEnd w:id="459"/>
      <w:bookmarkStart w:id="460" w:name="_Toc234223732"/>
      <w:bookmarkEnd w:id="460"/>
      <w:bookmarkStart w:id="461" w:name="_Toc78912287"/>
      <w:r>
        <w:rPr>
          <w:rFonts w:hint="eastAsia" w:hAnsi="宋体"/>
        </w:rPr>
        <w:t>一般要求</w:t>
      </w:r>
      <w:bookmarkEnd w:id="461"/>
    </w:p>
    <w:p>
      <w:pPr>
        <w:spacing w:line="360" w:lineRule="auto"/>
        <w:ind w:firstLine="420" w:firstLineChars="200"/>
      </w:pPr>
      <w:r>
        <w:t>1</w:t>
      </w:r>
      <w:r>
        <w:rPr>
          <w:rFonts w:hint="eastAsia"/>
        </w:rPr>
        <w:t>）预装式变电站应按照</w:t>
      </w:r>
      <w:r>
        <w:t>GB 17467</w:t>
      </w:r>
      <w:r>
        <w:rPr>
          <w:rFonts w:hint="eastAsia"/>
        </w:rPr>
        <w:t>、</w:t>
      </w:r>
      <w:r>
        <w:t>DL/T 537</w:t>
      </w:r>
      <w:r>
        <w:rPr>
          <w:rFonts w:hint="eastAsia"/>
        </w:rPr>
        <w:t>等有关国家标准和行业标准规定的项目、方法进行试验。</w:t>
      </w:r>
    </w:p>
    <w:p>
      <w:pPr>
        <w:spacing w:line="360" w:lineRule="auto"/>
        <w:ind w:firstLine="420" w:firstLineChars="200"/>
      </w:pPr>
      <w:r>
        <w:t>2</w:t>
      </w:r>
      <w:r>
        <w:rPr>
          <w:rFonts w:hint="eastAsia"/>
        </w:rPr>
        <w:t>）原则上，型式试验、送样检测应在一台完整的预装式变电站的各种元件组成的典型结构上进行，由于元件的类型、额定参数和它们的组合具有多样性，实际上不可能对预装式变电站的所有方案都进行型式试验，所以，型式试验只能在典型的功能单元上进行。出厂试验应在每一台完整的预装式变电站上或在每一个运输单元上、在制造厂内（如果可行）进行。交接试验应在现场每一台完整的预装式变电站安装完成后进行。</w:t>
      </w:r>
    </w:p>
    <w:p>
      <w:pPr>
        <w:pStyle w:val="17"/>
        <w:spacing w:before="120" w:after="120"/>
        <w:ind w:left="113" w:hangingChars="54"/>
        <w:outlineLvl w:val="1"/>
        <w:rPr>
          <w:rFonts w:hAnsi="宋体"/>
        </w:rPr>
      </w:pPr>
      <w:bookmarkStart w:id="462" w:name="_Toc78912288"/>
      <w:r>
        <w:rPr>
          <w:rFonts w:hint="eastAsia" w:hAnsi="宋体"/>
        </w:rPr>
        <w:t>试验项目</w:t>
      </w:r>
      <w:bookmarkEnd w:id="462"/>
    </w:p>
    <w:p>
      <w:pPr>
        <w:pStyle w:val="19"/>
      </w:pPr>
      <w:r>
        <w:rPr>
          <w:rFonts w:hint="eastAsia"/>
        </w:rPr>
        <w:t>表</w:t>
      </w:r>
      <w:r>
        <w:rPr>
          <w:rFonts w:hint="eastAsia"/>
          <w:lang w:val="en-US"/>
        </w:rPr>
        <w:t>4</w:t>
      </w:r>
      <w:r>
        <w:t xml:space="preserve"> </w:t>
      </w:r>
      <w:r>
        <w:rPr>
          <w:rFonts w:hint="eastAsia"/>
        </w:rPr>
        <w:t>试验项目</w:t>
      </w:r>
    </w:p>
    <w:tbl>
      <w:tblPr>
        <w:tblStyle w:val="9"/>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58"/>
        <w:gridCol w:w="1088"/>
        <w:gridCol w:w="1127"/>
        <w:gridCol w:w="1127"/>
        <w:gridCol w:w="1127"/>
        <w:gridCol w:w="1149"/>
        <w:gridCol w:w="1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2958" w:type="dxa"/>
            <w:vAlign w:val="center"/>
          </w:tcPr>
          <w:p>
            <w:pPr>
              <w:jc w:val="center"/>
              <w:rPr>
                <w:sz w:val="18"/>
                <w:szCs w:val="18"/>
              </w:rPr>
            </w:pPr>
            <w:r>
              <w:rPr>
                <w:rFonts w:hint="eastAsia"/>
                <w:sz w:val="18"/>
                <w:szCs w:val="18"/>
              </w:rPr>
              <w:t>试验项目</w:t>
            </w:r>
          </w:p>
        </w:tc>
        <w:tc>
          <w:tcPr>
            <w:tcW w:w="1088" w:type="dxa"/>
            <w:vAlign w:val="center"/>
          </w:tcPr>
          <w:p>
            <w:pPr>
              <w:jc w:val="center"/>
              <w:rPr>
                <w:sz w:val="18"/>
                <w:szCs w:val="18"/>
              </w:rPr>
            </w:pPr>
            <w:r>
              <w:rPr>
                <w:rFonts w:hint="eastAsia"/>
                <w:sz w:val="18"/>
                <w:szCs w:val="18"/>
              </w:rPr>
              <w:t>型式试验</w:t>
            </w:r>
          </w:p>
        </w:tc>
        <w:tc>
          <w:tcPr>
            <w:tcW w:w="1127" w:type="dxa"/>
            <w:vAlign w:val="center"/>
          </w:tcPr>
          <w:p>
            <w:pPr>
              <w:jc w:val="center"/>
              <w:rPr>
                <w:sz w:val="18"/>
                <w:szCs w:val="18"/>
              </w:rPr>
            </w:pPr>
            <w:r>
              <w:rPr>
                <w:rFonts w:hint="eastAsia"/>
                <w:sz w:val="18"/>
                <w:szCs w:val="18"/>
              </w:rPr>
              <w:t>出厂试验</w:t>
            </w:r>
          </w:p>
        </w:tc>
        <w:tc>
          <w:tcPr>
            <w:tcW w:w="1127" w:type="dxa"/>
            <w:vAlign w:val="center"/>
          </w:tcPr>
          <w:p>
            <w:pPr>
              <w:jc w:val="center"/>
              <w:rPr>
                <w:sz w:val="18"/>
                <w:szCs w:val="18"/>
              </w:rPr>
            </w:pPr>
            <w:r>
              <w:rPr>
                <w:rFonts w:hint="eastAsia"/>
                <w:sz w:val="18"/>
                <w:szCs w:val="18"/>
              </w:rPr>
              <w:t>交接试验</w:t>
            </w:r>
          </w:p>
        </w:tc>
        <w:tc>
          <w:tcPr>
            <w:tcW w:w="1127" w:type="dxa"/>
            <w:vAlign w:val="center"/>
          </w:tcPr>
          <w:p>
            <w:pPr>
              <w:jc w:val="center"/>
              <w:rPr>
                <w:sz w:val="18"/>
                <w:szCs w:val="18"/>
              </w:rPr>
            </w:pPr>
            <w:r>
              <w:rPr>
                <w:rFonts w:hint="eastAsia"/>
                <w:sz w:val="18"/>
                <w:szCs w:val="18"/>
              </w:rPr>
              <w:t>送样检测</w:t>
            </w:r>
          </w:p>
        </w:tc>
        <w:tc>
          <w:tcPr>
            <w:tcW w:w="1149" w:type="dxa"/>
            <w:vAlign w:val="center"/>
          </w:tcPr>
          <w:p>
            <w:pPr>
              <w:jc w:val="center"/>
              <w:rPr>
                <w:sz w:val="18"/>
                <w:szCs w:val="18"/>
              </w:rPr>
            </w:pPr>
            <w:r>
              <w:rPr>
                <w:rFonts w:hint="eastAsia"/>
                <w:sz w:val="18"/>
                <w:szCs w:val="18"/>
              </w:rPr>
              <w:t>专项抽检</w:t>
            </w:r>
          </w:p>
        </w:tc>
        <w:tc>
          <w:tcPr>
            <w:tcW w:w="1149" w:type="dxa"/>
            <w:vAlign w:val="center"/>
          </w:tcPr>
          <w:p>
            <w:pPr>
              <w:jc w:val="center"/>
              <w:rPr>
                <w:sz w:val="18"/>
                <w:szCs w:val="18"/>
              </w:rPr>
            </w:pPr>
            <w:r>
              <w:rPr>
                <w:rFonts w:hint="eastAsia"/>
                <w:sz w:val="18"/>
                <w:szCs w:val="18"/>
              </w:rPr>
              <w:t>到货抽检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adjustRightInd w:val="0"/>
              <w:snapToGrid w:val="0"/>
              <w:ind w:left="34"/>
              <w:jc w:val="center"/>
              <w:outlineLvl w:val="9"/>
              <w:rPr>
                <w:rFonts w:ascii="Times New Roman" w:eastAsia="宋体"/>
                <w:bCs/>
                <w:sz w:val="18"/>
                <w:szCs w:val="18"/>
              </w:rPr>
            </w:pPr>
            <w:r>
              <w:rPr>
                <w:rFonts w:hint="eastAsia" w:ascii="Times New Roman" w:eastAsia="宋体"/>
                <w:bCs/>
                <w:sz w:val="18"/>
                <w:szCs w:val="18"/>
              </w:rPr>
              <w:t>主回路的绝缘试验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相位及接线正确性检查</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辅助和控制回路的绝缘试验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设计和外观检查</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接地连续性试验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功能性试验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绝缘试验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温升试验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主回路和接地回路的短时和峰值耐受电流试验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防护等级检验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电磁兼容性试验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外壳耐受机械应力的试验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内部电弧试验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可选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高压柜试验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sz w:val="18"/>
                <w:szCs w:val="18"/>
              </w:rPr>
              <w:t>--</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变压器试验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adjustRightInd w:val="0"/>
              <w:snapToGrid w:val="0"/>
              <w:jc w:val="center"/>
              <w:rPr>
                <w:sz w:val="18"/>
                <w:szCs w:val="18"/>
              </w:rPr>
            </w:pP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958" w:type="dxa"/>
            <w:vAlign w:val="center"/>
          </w:tcPr>
          <w:p>
            <w:pPr>
              <w:pStyle w:val="18"/>
              <w:numPr>
                <w:ilvl w:val="3"/>
                <w:numId w:val="0"/>
              </w:numPr>
              <w:overflowPunct w:val="0"/>
              <w:autoSpaceDE w:val="0"/>
              <w:adjustRightInd w:val="0"/>
              <w:snapToGrid w:val="0"/>
              <w:ind w:left="34"/>
              <w:jc w:val="center"/>
              <w:textAlignment w:val="baseline"/>
              <w:outlineLvl w:val="9"/>
              <w:rPr>
                <w:rFonts w:ascii="Times New Roman" w:eastAsia="宋体"/>
                <w:bCs/>
                <w:sz w:val="18"/>
                <w:szCs w:val="18"/>
              </w:rPr>
            </w:pPr>
            <w:r>
              <w:rPr>
                <w:rFonts w:hint="eastAsia" w:ascii="Times New Roman" w:eastAsia="宋体"/>
                <w:bCs/>
                <w:sz w:val="18"/>
                <w:szCs w:val="18"/>
              </w:rPr>
              <w:t>低压柜试验</w:t>
            </w:r>
          </w:p>
        </w:tc>
        <w:tc>
          <w:tcPr>
            <w:tcW w:w="1088"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27" w:type="dxa"/>
            <w:vAlign w:val="center"/>
          </w:tcPr>
          <w:p>
            <w:pPr>
              <w:adjustRightInd w:val="0"/>
              <w:snapToGrid w:val="0"/>
              <w:jc w:val="center"/>
              <w:rPr>
                <w:sz w:val="18"/>
                <w:szCs w:val="18"/>
              </w:rPr>
            </w:pPr>
          </w:p>
        </w:tc>
        <w:tc>
          <w:tcPr>
            <w:tcW w:w="1127"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c>
          <w:tcPr>
            <w:tcW w:w="1149" w:type="dxa"/>
            <w:vAlign w:val="center"/>
          </w:tcPr>
          <w:p>
            <w:pPr>
              <w:overflowPunct w:val="0"/>
              <w:autoSpaceDE w:val="0"/>
              <w:adjustRightInd w:val="0"/>
              <w:snapToGrid w:val="0"/>
              <w:spacing w:before="156" w:beforeLines="50" w:after="156" w:afterLines="50"/>
              <w:jc w:val="center"/>
              <w:textAlignment w:val="baseline"/>
              <w:rPr>
                <w:sz w:val="18"/>
                <w:szCs w:val="18"/>
              </w:rPr>
            </w:pPr>
            <w:r>
              <w:rPr>
                <w:rFonts w:hint="eastAsia"/>
                <w:sz w:val="18"/>
                <w:szCs w:val="18"/>
              </w:rPr>
              <w:t>必选</w:t>
            </w:r>
          </w:p>
        </w:tc>
      </w:tr>
    </w:tbl>
    <w:p>
      <w:pPr>
        <w:pStyle w:val="17"/>
        <w:spacing w:before="120" w:after="120"/>
        <w:ind w:left="113" w:hangingChars="54"/>
        <w:outlineLvl w:val="1"/>
        <w:rPr>
          <w:rFonts w:hAnsi="宋体"/>
        </w:rPr>
      </w:pPr>
      <w:bookmarkStart w:id="463" w:name="_Toc419734570"/>
      <w:bookmarkEnd w:id="463"/>
      <w:bookmarkStart w:id="464" w:name="_Toc419734759"/>
      <w:bookmarkEnd w:id="464"/>
      <w:bookmarkStart w:id="465" w:name="_Toc419734760"/>
      <w:bookmarkEnd w:id="465"/>
      <w:bookmarkStart w:id="466" w:name="_Toc419734571"/>
      <w:bookmarkEnd w:id="466"/>
      <w:bookmarkStart w:id="467" w:name="_Toc419734936"/>
      <w:bookmarkEnd w:id="467"/>
      <w:bookmarkStart w:id="468" w:name="_Toc419734935"/>
      <w:bookmarkEnd w:id="468"/>
      <w:bookmarkStart w:id="469" w:name="_Toc78912289"/>
      <w:r>
        <w:rPr>
          <w:rFonts w:hint="eastAsia" w:hAnsi="宋体"/>
        </w:rPr>
        <w:t>试验方法及要求</w:t>
      </w:r>
      <w:bookmarkEnd w:id="469"/>
    </w:p>
    <w:p>
      <w:pPr>
        <w:pStyle w:val="18"/>
        <w:spacing w:before="120" w:after="120"/>
        <w:ind w:left="2325" w:hanging="2324" w:hangingChars="1107"/>
        <w:outlineLvl w:val="2"/>
        <w:rPr>
          <w:rFonts w:hAnsi="黑体"/>
        </w:rPr>
      </w:pPr>
      <w:bookmarkStart w:id="470" w:name="_Toc424549777"/>
      <w:bookmarkStart w:id="471" w:name="_Toc78912290"/>
      <w:r>
        <w:rPr>
          <w:rFonts w:hint="eastAsia" w:hAnsi="黑体"/>
        </w:rPr>
        <w:t>主回路的绝缘试验</w:t>
      </w:r>
      <w:bookmarkEnd w:id="470"/>
      <w:bookmarkEnd w:id="471"/>
    </w:p>
    <w:p>
      <w:pPr>
        <w:adjustRightInd w:val="0"/>
        <w:spacing w:line="360" w:lineRule="auto"/>
        <w:ind w:firstLine="420" w:firstLineChars="200"/>
        <w:rPr>
          <w:szCs w:val="21"/>
        </w:rPr>
      </w:pPr>
      <w:r>
        <w:rPr>
          <w:rFonts w:hint="eastAsia"/>
          <w:szCs w:val="21"/>
        </w:rPr>
        <w:t>高压连接的试验：按照</w:t>
      </w:r>
      <w:r>
        <w:rPr>
          <w:szCs w:val="21"/>
        </w:rPr>
        <w:t xml:space="preserve">GB/T 11022 </w:t>
      </w:r>
      <w:r>
        <w:rPr>
          <w:rFonts w:hint="eastAsia"/>
          <w:szCs w:val="21"/>
        </w:rPr>
        <w:t>对高压开关设备及其与变压器之间的高压连接线进行工频电压试验。变压器按照</w:t>
      </w:r>
      <w:r>
        <w:rPr>
          <w:szCs w:val="21"/>
        </w:rPr>
        <w:t xml:space="preserve">GB1094.1 </w:t>
      </w:r>
      <w:r>
        <w:rPr>
          <w:rFonts w:hint="eastAsia"/>
          <w:szCs w:val="21"/>
        </w:rPr>
        <w:t>进行工频耐压试验。</w:t>
      </w:r>
    </w:p>
    <w:p>
      <w:pPr>
        <w:adjustRightInd w:val="0"/>
        <w:spacing w:line="360" w:lineRule="auto"/>
        <w:ind w:firstLine="420" w:firstLineChars="200"/>
        <w:rPr>
          <w:szCs w:val="21"/>
        </w:rPr>
      </w:pPr>
      <w:r>
        <w:rPr>
          <w:rFonts w:hint="eastAsia"/>
          <w:szCs w:val="21"/>
        </w:rPr>
        <w:t>低压连接的试验：按</w:t>
      </w:r>
      <w:r>
        <w:rPr>
          <w:szCs w:val="21"/>
        </w:rPr>
        <w:t>GB 17467</w:t>
      </w:r>
      <w:r>
        <w:rPr>
          <w:rFonts w:hint="eastAsia"/>
          <w:szCs w:val="21"/>
        </w:rPr>
        <w:t>中</w:t>
      </w:r>
      <w:r>
        <w:rPr>
          <w:szCs w:val="21"/>
        </w:rPr>
        <w:t>6.2.2</w:t>
      </w:r>
      <w:r>
        <w:rPr>
          <w:rFonts w:hint="eastAsia"/>
          <w:szCs w:val="21"/>
        </w:rPr>
        <w:t>的规定进行。</w:t>
      </w:r>
    </w:p>
    <w:p>
      <w:pPr>
        <w:pStyle w:val="18"/>
        <w:spacing w:before="120" w:after="120"/>
        <w:ind w:left="2325" w:hanging="2324" w:hangingChars="1107"/>
        <w:outlineLvl w:val="2"/>
        <w:rPr>
          <w:rFonts w:hAnsi="黑体"/>
        </w:rPr>
      </w:pPr>
      <w:bookmarkStart w:id="472" w:name="_Toc424549778"/>
      <w:bookmarkStart w:id="473" w:name="_Toc78912291"/>
      <w:r>
        <w:rPr>
          <w:rFonts w:hint="eastAsia" w:hAnsi="黑体"/>
        </w:rPr>
        <w:t>相位及接线正确性</w:t>
      </w:r>
      <w:r>
        <w:rPr>
          <w:rFonts w:hAnsi="黑体"/>
        </w:rPr>
        <w:t>检查</w:t>
      </w:r>
      <w:bookmarkEnd w:id="472"/>
      <w:bookmarkEnd w:id="473"/>
    </w:p>
    <w:p>
      <w:pPr>
        <w:adjustRightInd w:val="0"/>
        <w:spacing w:line="360" w:lineRule="auto"/>
        <w:ind w:firstLine="420" w:firstLineChars="200"/>
        <w:rPr>
          <w:szCs w:val="21"/>
        </w:rPr>
      </w:pPr>
      <w:r>
        <w:rPr>
          <w:rFonts w:hint="eastAsia"/>
          <w:szCs w:val="21"/>
        </w:rPr>
        <w:t>相位和接线应和接线图相符，目测接线回路应正确，走线应规整、合理。</w:t>
      </w:r>
    </w:p>
    <w:p>
      <w:pPr>
        <w:pStyle w:val="18"/>
        <w:spacing w:before="120" w:after="120"/>
        <w:ind w:left="2325" w:hanging="2324" w:hangingChars="1107"/>
        <w:outlineLvl w:val="2"/>
        <w:rPr>
          <w:rFonts w:hAnsi="黑体"/>
        </w:rPr>
      </w:pPr>
      <w:bookmarkStart w:id="474" w:name="_Toc78912292"/>
      <w:bookmarkStart w:id="475" w:name="_Toc424549779"/>
      <w:r>
        <w:rPr>
          <w:rFonts w:hAnsi="黑体"/>
        </w:rPr>
        <w:t>辅助</w:t>
      </w:r>
      <w:r>
        <w:rPr>
          <w:rFonts w:hint="eastAsia" w:hAnsi="黑体"/>
        </w:rPr>
        <w:t>和控制</w:t>
      </w:r>
      <w:r>
        <w:rPr>
          <w:rFonts w:hAnsi="黑体"/>
        </w:rPr>
        <w:t>回路</w:t>
      </w:r>
      <w:r>
        <w:rPr>
          <w:rFonts w:hint="eastAsia" w:hAnsi="黑体"/>
        </w:rPr>
        <w:t>的</w:t>
      </w:r>
      <w:r>
        <w:rPr>
          <w:rFonts w:hAnsi="黑体"/>
        </w:rPr>
        <w:t>绝缘试验</w:t>
      </w:r>
      <w:bookmarkEnd w:id="474"/>
      <w:bookmarkEnd w:id="475"/>
    </w:p>
    <w:p>
      <w:pPr>
        <w:adjustRightInd w:val="0"/>
        <w:spacing w:line="360" w:lineRule="auto"/>
        <w:ind w:firstLine="420" w:firstLineChars="200"/>
        <w:rPr>
          <w:szCs w:val="21"/>
        </w:rPr>
      </w:pPr>
      <w:r>
        <w:rPr>
          <w:rFonts w:hint="eastAsia"/>
          <w:szCs w:val="21"/>
        </w:rPr>
        <w:t>按</w:t>
      </w:r>
      <w:r>
        <w:rPr>
          <w:szCs w:val="21"/>
        </w:rPr>
        <w:t>GB/T 11022</w:t>
      </w:r>
      <w:r>
        <w:rPr>
          <w:rFonts w:hint="eastAsia"/>
          <w:szCs w:val="21"/>
        </w:rPr>
        <w:t>的</w:t>
      </w:r>
      <w:r>
        <w:rPr>
          <w:szCs w:val="21"/>
        </w:rPr>
        <w:t>7.3</w:t>
      </w:r>
      <w:r>
        <w:rPr>
          <w:rFonts w:hint="eastAsia"/>
          <w:szCs w:val="21"/>
        </w:rPr>
        <w:t>规定进行。</w:t>
      </w:r>
    </w:p>
    <w:p>
      <w:pPr>
        <w:pStyle w:val="18"/>
        <w:spacing w:before="120" w:after="120"/>
        <w:ind w:left="2325" w:hanging="2324" w:hangingChars="1107"/>
        <w:outlineLvl w:val="2"/>
        <w:rPr>
          <w:rFonts w:hAnsi="黑体"/>
        </w:rPr>
      </w:pPr>
      <w:bookmarkStart w:id="476" w:name="_Toc78912293"/>
      <w:bookmarkStart w:id="477" w:name="_Toc424549780"/>
      <w:r>
        <w:rPr>
          <w:rFonts w:hint="eastAsia" w:hAnsi="黑体"/>
        </w:rPr>
        <w:t>设计和外观检查</w:t>
      </w:r>
      <w:bookmarkEnd w:id="476"/>
      <w:bookmarkEnd w:id="477"/>
    </w:p>
    <w:p>
      <w:pPr>
        <w:adjustRightInd w:val="0"/>
        <w:spacing w:line="360" w:lineRule="auto"/>
        <w:ind w:firstLine="420" w:firstLineChars="200"/>
        <w:rPr>
          <w:szCs w:val="21"/>
        </w:rPr>
      </w:pPr>
      <w:r>
        <w:rPr>
          <w:rFonts w:hint="eastAsia"/>
          <w:szCs w:val="21"/>
        </w:rPr>
        <w:t>每一台完整的预装式变电站或每一个运输单元应该经过检查，以证明它们符合产品设计图样和技术规范书的要求。</w:t>
      </w:r>
    </w:p>
    <w:p>
      <w:pPr>
        <w:pStyle w:val="18"/>
        <w:spacing w:before="120" w:after="120"/>
        <w:ind w:left="2325" w:hanging="2324" w:hangingChars="1107"/>
        <w:outlineLvl w:val="2"/>
        <w:rPr>
          <w:rFonts w:hAnsi="黑体"/>
        </w:rPr>
      </w:pPr>
      <w:bookmarkStart w:id="478" w:name="_Toc424549782"/>
      <w:bookmarkStart w:id="479" w:name="_Toc78912294"/>
      <w:r>
        <w:rPr>
          <w:rFonts w:hint="eastAsia" w:hAnsi="黑体"/>
        </w:rPr>
        <w:t>接地连续性试验</w:t>
      </w:r>
      <w:bookmarkEnd w:id="478"/>
      <w:bookmarkEnd w:id="479"/>
    </w:p>
    <w:p>
      <w:pPr>
        <w:adjustRightInd w:val="0"/>
        <w:spacing w:line="360" w:lineRule="auto"/>
        <w:ind w:firstLine="420" w:firstLineChars="200"/>
        <w:rPr>
          <w:szCs w:val="21"/>
        </w:rPr>
      </w:pPr>
      <w:r>
        <w:rPr>
          <w:rFonts w:hint="eastAsia"/>
          <w:szCs w:val="21"/>
        </w:rPr>
        <w:t>预装式变电站内任一可能接地的点到变电站的主接地点应在</w:t>
      </w:r>
      <w:r>
        <w:rPr>
          <w:szCs w:val="21"/>
        </w:rPr>
        <w:t>30A</w:t>
      </w:r>
      <w:r>
        <w:rPr>
          <w:rFonts w:hint="eastAsia"/>
          <w:szCs w:val="21"/>
        </w:rPr>
        <w:t>（</w:t>
      </w:r>
      <w:r>
        <w:rPr>
          <w:szCs w:val="21"/>
        </w:rPr>
        <w:t>DC</w:t>
      </w:r>
      <w:r>
        <w:rPr>
          <w:rFonts w:hint="eastAsia"/>
          <w:szCs w:val="21"/>
        </w:rPr>
        <w:t>）电流条件下试验，电压降不应超过</w:t>
      </w:r>
      <w:r>
        <w:rPr>
          <w:szCs w:val="21"/>
        </w:rPr>
        <w:t>3V</w:t>
      </w:r>
      <w:r>
        <w:rPr>
          <w:rFonts w:hint="eastAsia"/>
          <w:szCs w:val="21"/>
        </w:rPr>
        <w:t>。</w:t>
      </w:r>
    </w:p>
    <w:p>
      <w:pPr>
        <w:pStyle w:val="18"/>
        <w:spacing w:before="120" w:after="120"/>
        <w:ind w:left="2325" w:hanging="2324" w:hangingChars="1107"/>
        <w:outlineLvl w:val="2"/>
        <w:rPr>
          <w:rFonts w:hAnsi="黑体"/>
        </w:rPr>
      </w:pPr>
      <w:bookmarkStart w:id="480" w:name="_Toc78912295"/>
      <w:r>
        <w:rPr>
          <w:rFonts w:hint="eastAsia" w:hAnsi="黑体"/>
        </w:rPr>
        <w:t>功能性试验</w:t>
      </w:r>
      <w:bookmarkEnd w:id="480"/>
    </w:p>
    <w:p>
      <w:pPr>
        <w:adjustRightInd w:val="0"/>
        <w:spacing w:line="360" w:lineRule="auto"/>
        <w:ind w:firstLine="420" w:firstLineChars="200"/>
        <w:rPr>
          <w:szCs w:val="21"/>
        </w:rPr>
      </w:pPr>
      <w:r>
        <w:rPr>
          <w:rFonts w:hint="eastAsia"/>
          <w:szCs w:val="21"/>
        </w:rPr>
        <w:t>应证明能在预装式变电站上完成下列工作：</w:t>
      </w:r>
    </w:p>
    <w:p>
      <w:pPr>
        <w:adjustRightInd w:val="0"/>
        <w:spacing w:line="360" w:lineRule="auto"/>
        <w:ind w:firstLine="420" w:firstLineChars="200"/>
        <w:rPr>
          <w:szCs w:val="21"/>
        </w:rPr>
      </w:pPr>
      <w:r>
        <w:rPr>
          <w:szCs w:val="21"/>
        </w:rPr>
        <w:t>1</w:t>
      </w:r>
      <w:r>
        <w:rPr>
          <w:rFonts w:hint="eastAsia"/>
          <w:szCs w:val="21"/>
        </w:rPr>
        <w:t>）开关设备和控制设备的操作（机械操作及分合闸试验）；</w:t>
      </w:r>
    </w:p>
    <w:p>
      <w:pPr>
        <w:adjustRightInd w:val="0"/>
        <w:spacing w:line="360" w:lineRule="auto"/>
        <w:ind w:firstLine="420" w:firstLineChars="200"/>
        <w:rPr>
          <w:szCs w:val="21"/>
        </w:rPr>
      </w:pPr>
      <w:r>
        <w:rPr>
          <w:szCs w:val="21"/>
        </w:rPr>
        <w:t>2</w:t>
      </w:r>
      <w:r>
        <w:rPr>
          <w:rFonts w:hint="eastAsia"/>
          <w:szCs w:val="21"/>
        </w:rPr>
        <w:t>）预装式变电站门机械操作；</w:t>
      </w:r>
    </w:p>
    <w:p>
      <w:pPr>
        <w:adjustRightInd w:val="0"/>
        <w:spacing w:line="360" w:lineRule="auto"/>
        <w:ind w:firstLine="420" w:firstLineChars="200"/>
        <w:rPr>
          <w:szCs w:val="21"/>
        </w:rPr>
      </w:pPr>
      <w:r>
        <w:rPr>
          <w:szCs w:val="21"/>
        </w:rPr>
        <w:t>3</w:t>
      </w:r>
      <w:r>
        <w:rPr>
          <w:rFonts w:hint="eastAsia"/>
          <w:szCs w:val="21"/>
        </w:rPr>
        <w:t>）绝缘挡板的定位；</w:t>
      </w:r>
    </w:p>
    <w:p>
      <w:pPr>
        <w:adjustRightInd w:val="0"/>
        <w:spacing w:line="360" w:lineRule="auto"/>
        <w:ind w:firstLine="420" w:firstLineChars="200"/>
        <w:rPr>
          <w:szCs w:val="21"/>
        </w:rPr>
      </w:pPr>
      <w:r>
        <w:rPr>
          <w:szCs w:val="21"/>
        </w:rPr>
        <w:t>4</w:t>
      </w:r>
      <w:r>
        <w:rPr>
          <w:rFonts w:hint="eastAsia"/>
          <w:szCs w:val="21"/>
        </w:rPr>
        <w:t>）变压器温度和液面的检查；</w:t>
      </w:r>
    </w:p>
    <w:p>
      <w:pPr>
        <w:adjustRightInd w:val="0"/>
        <w:spacing w:line="360" w:lineRule="auto"/>
        <w:ind w:firstLine="420" w:firstLineChars="200"/>
        <w:rPr>
          <w:szCs w:val="21"/>
        </w:rPr>
      </w:pPr>
      <w:r>
        <w:rPr>
          <w:szCs w:val="21"/>
        </w:rPr>
        <w:t>5</w:t>
      </w:r>
      <w:r>
        <w:rPr>
          <w:rFonts w:hint="eastAsia"/>
          <w:szCs w:val="21"/>
        </w:rPr>
        <w:t>）电压指示的检查；</w:t>
      </w:r>
    </w:p>
    <w:p>
      <w:pPr>
        <w:adjustRightInd w:val="0"/>
        <w:spacing w:line="360" w:lineRule="auto"/>
        <w:ind w:firstLine="420" w:firstLineChars="200"/>
        <w:rPr>
          <w:szCs w:val="21"/>
        </w:rPr>
      </w:pPr>
      <w:r>
        <w:rPr>
          <w:szCs w:val="21"/>
        </w:rPr>
        <w:t>6</w:t>
      </w:r>
      <w:r>
        <w:rPr>
          <w:rFonts w:hint="eastAsia"/>
          <w:szCs w:val="21"/>
        </w:rPr>
        <w:t>）接地装置的连接检查；</w:t>
      </w:r>
    </w:p>
    <w:p>
      <w:pPr>
        <w:adjustRightInd w:val="0"/>
        <w:spacing w:line="360" w:lineRule="auto"/>
        <w:ind w:firstLine="420" w:firstLineChars="200"/>
        <w:rPr>
          <w:szCs w:val="21"/>
        </w:rPr>
      </w:pPr>
      <w:r>
        <w:rPr>
          <w:szCs w:val="21"/>
        </w:rPr>
        <w:t>7</w:t>
      </w:r>
      <w:r>
        <w:rPr>
          <w:rFonts w:hint="eastAsia"/>
          <w:szCs w:val="21"/>
        </w:rPr>
        <w:t>）电缆的试验；</w:t>
      </w:r>
    </w:p>
    <w:p>
      <w:pPr>
        <w:adjustRightInd w:val="0"/>
        <w:spacing w:line="360" w:lineRule="auto"/>
        <w:ind w:firstLine="420" w:firstLineChars="200"/>
        <w:rPr>
          <w:szCs w:val="21"/>
        </w:rPr>
      </w:pPr>
      <w:r>
        <w:rPr>
          <w:szCs w:val="21"/>
        </w:rPr>
        <w:t>8</w:t>
      </w:r>
      <w:r>
        <w:rPr>
          <w:rFonts w:hint="eastAsia"/>
          <w:szCs w:val="21"/>
        </w:rPr>
        <w:t>）熔断器的更换；</w:t>
      </w:r>
    </w:p>
    <w:p>
      <w:pPr>
        <w:adjustRightInd w:val="0"/>
        <w:spacing w:line="360" w:lineRule="auto"/>
        <w:ind w:firstLine="420" w:firstLineChars="200"/>
        <w:rPr>
          <w:szCs w:val="21"/>
        </w:rPr>
      </w:pPr>
      <w:r>
        <w:rPr>
          <w:szCs w:val="21"/>
        </w:rPr>
        <w:t>9</w:t>
      </w:r>
      <w:r>
        <w:rPr>
          <w:rFonts w:hint="eastAsia"/>
          <w:szCs w:val="21"/>
        </w:rPr>
        <w:t>）变压器分接开关的操作</w:t>
      </w:r>
    </w:p>
    <w:p>
      <w:pPr>
        <w:adjustRightInd w:val="0"/>
        <w:spacing w:line="360" w:lineRule="auto"/>
        <w:ind w:firstLine="420" w:firstLineChars="200"/>
        <w:rPr>
          <w:szCs w:val="21"/>
        </w:rPr>
      </w:pPr>
      <w:r>
        <w:rPr>
          <w:szCs w:val="21"/>
        </w:rPr>
        <w:t>10</w:t>
      </w:r>
      <w:r>
        <w:rPr>
          <w:rFonts w:hint="eastAsia"/>
          <w:szCs w:val="21"/>
        </w:rPr>
        <w:t>）不同的元件之间有连锁，其功能应该予以验证；</w:t>
      </w:r>
    </w:p>
    <w:p>
      <w:pPr>
        <w:adjustRightInd w:val="0"/>
        <w:spacing w:line="360" w:lineRule="auto"/>
        <w:ind w:firstLine="420" w:firstLineChars="200"/>
        <w:rPr>
          <w:szCs w:val="21"/>
        </w:rPr>
      </w:pPr>
      <w:r>
        <w:rPr>
          <w:szCs w:val="21"/>
        </w:rPr>
        <w:t>11</w:t>
      </w:r>
      <w:r>
        <w:rPr>
          <w:rFonts w:hint="eastAsia"/>
          <w:szCs w:val="21"/>
        </w:rPr>
        <w:t>）预装式变电站内通风、防潮检查；</w:t>
      </w:r>
    </w:p>
    <w:p>
      <w:pPr>
        <w:adjustRightInd w:val="0"/>
        <w:spacing w:line="360" w:lineRule="auto"/>
        <w:ind w:firstLine="420" w:firstLineChars="200"/>
        <w:rPr>
          <w:szCs w:val="21"/>
        </w:rPr>
      </w:pPr>
      <w:r>
        <w:rPr>
          <w:szCs w:val="21"/>
        </w:rPr>
        <w:t>12</w:t>
      </w:r>
      <w:r>
        <w:rPr>
          <w:rFonts w:hint="eastAsia"/>
          <w:szCs w:val="21"/>
        </w:rPr>
        <w:t>）保护电路的连续性试验。</w:t>
      </w:r>
    </w:p>
    <w:p>
      <w:pPr>
        <w:pStyle w:val="18"/>
        <w:spacing w:before="120" w:after="120"/>
        <w:ind w:left="2325" w:hanging="2324" w:hangingChars="1107"/>
        <w:outlineLvl w:val="2"/>
        <w:rPr>
          <w:rFonts w:hAnsi="黑体"/>
        </w:rPr>
      </w:pPr>
      <w:bookmarkStart w:id="481" w:name="_Toc77338263"/>
      <w:bookmarkEnd w:id="481"/>
      <w:bookmarkStart w:id="482" w:name="_Toc78912296"/>
      <w:bookmarkStart w:id="483" w:name="_Toc424549783"/>
      <w:r>
        <w:rPr>
          <w:rFonts w:hint="eastAsia" w:hAnsi="黑体"/>
        </w:rPr>
        <w:t>绝缘试验</w:t>
      </w:r>
      <w:bookmarkEnd w:id="482"/>
      <w:bookmarkEnd w:id="483"/>
    </w:p>
    <w:p>
      <w:pPr>
        <w:adjustRightInd w:val="0"/>
        <w:spacing w:line="360" w:lineRule="auto"/>
        <w:ind w:firstLine="420" w:firstLineChars="200"/>
        <w:rPr>
          <w:szCs w:val="21"/>
        </w:rPr>
      </w:pPr>
      <w:r>
        <w:rPr>
          <w:rFonts w:hint="eastAsia"/>
          <w:szCs w:val="21"/>
        </w:rPr>
        <w:t>适用于元件间受安装条件影响的内部连接线的绝缘耐受能力，设备应进行的绝缘试验如下：</w:t>
      </w:r>
    </w:p>
    <w:p>
      <w:pPr>
        <w:adjustRightInd w:val="0"/>
        <w:spacing w:line="360" w:lineRule="auto"/>
        <w:ind w:firstLine="420" w:firstLineChars="200"/>
        <w:rPr>
          <w:szCs w:val="21"/>
        </w:rPr>
      </w:pPr>
      <w:r>
        <w:rPr>
          <w:rFonts w:hint="eastAsia"/>
          <w:szCs w:val="21"/>
        </w:rPr>
        <w:t>——高压开关设备和变压器间的连接线：工频耐压试验及雷电冲击电压试验。</w:t>
      </w:r>
    </w:p>
    <w:p>
      <w:pPr>
        <w:adjustRightInd w:val="0"/>
        <w:spacing w:line="360" w:lineRule="auto"/>
        <w:ind w:firstLine="420" w:firstLineChars="200"/>
        <w:rPr>
          <w:szCs w:val="21"/>
        </w:rPr>
      </w:pPr>
      <w:r>
        <w:rPr>
          <w:rFonts w:hint="eastAsia"/>
          <w:szCs w:val="21"/>
        </w:rPr>
        <w:t>——变压器和低压开关设备间的连接线：雷电冲击电压试验及爬电距离的验证。</w:t>
      </w:r>
    </w:p>
    <w:p>
      <w:pPr>
        <w:adjustRightInd w:val="0"/>
        <w:spacing w:line="360" w:lineRule="auto"/>
        <w:ind w:firstLine="420" w:firstLineChars="200"/>
        <w:rPr>
          <w:szCs w:val="21"/>
        </w:rPr>
      </w:pPr>
      <w:r>
        <w:rPr>
          <w:rFonts w:hint="eastAsia"/>
          <w:szCs w:val="21"/>
        </w:rPr>
        <w:t>试验方法和试验程序按</w:t>
      </w:r>
      <w:r>
        <w:rPr>
          <w:szCs w:val="21"/>
        </w:rPr>
        <w:t>GB/T 17467</w:t>
      </w:r>
      <w:r>
        <w:rPr>
          <w:rFonts w:hint="eastAsia"/>
          <w:szCs w:val="21"/>
        </w:rPr>
        <w:t>规定。</w:t>
      </w:r>
    </w:p>
    <w:p>
      <w:pPr>
        <w:pStyle w:val="18"/>
        <w:spacing w:before="120" w:after="120"/>
        <w:ind w:left="2325" w:hanging="2324" w:hangingChars="1107"/>
        <w:outlineLvl w:val="2"/>
        <w:rPr>
          <w:rFonts w:hAnsi="黑体"/>
        </w:rPr>
      </w:pPr>
      <w:bookmarkStart w:id="484" w:name="_Toc78912297"/>
      <w:bookmarkStart w:id="485" w:name="_Toc424549784"/>
      <w:r>
        <w:rPr>
          <w:rFonts w:hint="eastAsia" w:hAnsi="黑体"/>
        </w:rPr>
        <w:t>温升试验</w:t>
      </w:r>
      <w:bookmarkEnd w:id="484"/>
      <w:bookmarkEnd w:id="485"/>
    </w:p>
    <w:p>
      <w:pPr>
        <w:adjustRightInd w:val="0"/>
        <w:spacing w:line="360" w:lineRule="auto"/>
        <w:ind w:firstLine="420" w:firstLineChars="200"/>
        <w:rPr>
          <w:szCs w:val="21"/>
        </w:rPr>
      </w:pPr>
      <w:r>
        <w:rPr>
          <w:rFonts w:hint="eastAsia"/>
          <w:szCs w:val="21"/>
        </w:rPr>
        <w:t>校验预装式变电站外壳设计的正确性，试验时必须测量变压器液面和绕组的温升以及低压设备的温升。</w:t>
      </w:r>
    </w:p>
    <w:p>
      <w:pPr>
        <w:adjustRightInd w:val="0"/>
        <w:spacing w:line="360" w:lineRule="auto"/>
        <w:ind w:firstLine="420" w:firstLineChars="200"/>
        <w:rPr>
          <w:szCs w:val="21"/>
        </w:rPr>
      </w:pPr>
      <w:r>
        <w:rPr>
          <w:rFonts w:hint="eastAsia"/>
          <w:szCs w:val="21"/>
        </w:rPr>
        <w:t>试验应证明：变压器在外壳内部的温升超过同一变压器在外壳外部测得温升的差值，不应大于确定外壳级别的数值，具体试验方法和试验程序按</w:t>
      </w:r>
      <w:r>
        <w:rPr>
          <w:szCs w:val="21"/>
        </w:rPr>
        <w:t>GB/T 17467</w:t>
      </w:r>
      <w:r>
        <w:rPr>
          <w:rFonts w:hint="eastAsia"/>
          <w:szCs w:val="21"/>
        </w:rPr>
        <w:t>规定。</w:t>
      </w:r>
    </w:p>
    <w:p>
      <w:pPr>
        <w:pStyle w:val="18"/>
        <w:spacing w:before="120" w:after="120"/>
        <w:ind w:left="2325" w:hanging="2324" w:hangingChars="1107"/>
        <w:outlineLvl w:val="2"/>
        <w:rPr>
          <w:rFonts w:hAnsi="黑体"/>
        </w:rPr>
      </w:pPr>
      <w:bookmarkStart w:id="486" w:name="_Toc424549785"/>
      <w:bookmarkStart w:id="487" w:name="_Toc78912298"/>
      <w:r>
        <w:rPr>
          <w:rFonts w:hint="eastAsia" w:hAnsi="黑体"/>
        </w:rPr>
        <w:t>主回路和接地回路的短时和峰值耐受电流试验</w:t>
      </w:r>
      <w:bookmarkEnd w:id="486"/>
      <w:bookmarkEnd w:id="487"/>
    </w:p>
    <w:p>
      <w:pPr>
        <w:adjustRightInd w:val="0"/>
        <w:spacing w:line="360" w:lineRule="auto"/>
        <w:ind w:firstLine="420" w:firstLineChars="200"/>
        <w:rPr>
          <w:szCs w:val="21"/>
        </w:rPr>
      </w:pPr>
      <w:r>
        <w:rPr>
          <w:rFonts w:hint="eastAsia"/>
          <w:szCs w:val="21"/>
        </w:rPr>
        <w:t>预装式变电站的主回路，高压连线按</w:t>
      </w:r>
      <w:r>
        <w:rPr>
          <w:szCs w:val="21"/>
        </w:rPr>
        <w:t>GB/T 11022</w:t>
      </w:r>
      <w:r>
        <w:rPr>
          <w:rFonts w:hint="eastAsia"/>
          <w:szCs w:val="21"/>
        </w:rPr>
        <w:t>进行试验，低压连线按</w:t>
      </w:r>
      <w:r>
        <w:rPr>
          <w:szCs w:val="21"/>
        </w:rPr>
        <w:t>GB/T 7251.1</w:t>
      </w:r>
      <w:r>
        <w:rPr>
          <w:rFonts w:hint="eastAsia"/>
          <w:szCs w:val="21"/>
        </w:rPr>
        <w:t>进行试验，接地导体系统按</w:t>
      </w:r>
      <w:r>
        <w:rPr>
          <w:szCs w:val="21"/>
        </w:rPr>
        <w:t>GB/T 11022</w:t>
      </w:r>
      <w:r>
        <w:rPr>
          <w:rFonts w:hint="eastAsia"/>
          <w:szCs w:val="21"/>
        </w:rPr>
        <w:t>规定进行试验。</w:t>
      </w:r>
    </w:p>
    <w:p>
      <w:pPr>
        <w:adjustRightInd w:val="0"/>
        <w:spacing w:line="360" w:lineRule="auto"/>
        <w:ind w:firstLine="420" w:firstLineChars="200"/>
        <w:rPr>
          <w:szCs w:val="21"/>
        </w:rPr>
      </w:pPr>
      <w:r>
        <w:rPr>
          <w:rFonts w:hint="eastAsia"/>
          <w:szCs w:val="21"/>
        </w:rPr>
        <w:t>试验后，主接地导体和到元件的接地连接线有些变形是允许的，但应保持接地回路的连续性。</w:t>
      </w:r>
    </w:p>
    <w:p>
      <w:pPr>
        <w:pStyle w:val="18"/>
        <w:spacing w:before="120" w:after="120"/>
        <w:ind w:left="2325" w:hanging="2324" w:hangingChars="1107"/>
        <w:outlineLvl w:val="2"/>
        <w:rPr>
          <w:rFonts w:hAnsi="黑体"/>
        </w:rPr>
      </w:pPr>
      <w:bookmarkStart w:id="488" w:name="_Toc424549786"/>
      <w:bookmarkStart w:id="489" w:name="_Toc78912299"/>
      <w:r>
        <w:rPr>
          <w:rFonts w:hAnsi="黑体"/>
        </w:rPr>
        <w:t>防护等级</w:t>
      </w:r>
      <w:r>
        <w:rPr>
          <w:rFonts w:hint="eastAsia" w:hAnsi="黑体"/>
        </w:rPr>
        <w:t>检</w:t>
      </w:r>
      <w:bookmarkEnd w:id="488"/>
      <w:r>
        <w:rPr>
          <w:rFonts w:hint="eastAsia" w:hAnsi="黑体"/>
        </w:rPr>
        <w:t>验</w:t>
      </w:r>
      <w:bookmarkEnd w:id="489"/>
    </w:p>
    <w:p>
      <w:pPr>
        <w:adjustRightInd w:val="0"/>
        <w:spacing w:line="360" w:lineRule="auto"/>
        <w:ind w:firstLine="420" w:firstLineChars="200"/>
        <w:rPr>
          <w:szCs w:val="21"/>
        </w:rPr>
      </w:pPr>
      <w:r>
        <w:rPr>
          <w:rFonts w:hint="eastAsia"/>
          <w:szCs w:val="21"/>
        </w:rPr>
        <w:t>（</w:t>
      </w:r>
      <w:r>
        <w:rPr>
          <w:szCs w:val="21"/>
        </w:rPr>
        <w:t>1</w:t>
      </w:r>
      <w:r>
        <w:rPr>
          <w:rFonts w:hint="eastAsia"/>
          <w:szCs w:val="21"/>
        </w:rPr>
        <w:t>）</w:t>
      </w:r>
      <w:r>
        <w:rPr>
          <w:szCs w:val="21"/>
        </w:rPr>
        <w:t>IP</w:t>
      </w:r>
      <w:r>
        <w:rPr>
          <w:rFonts w:hint="eastAsia"/>
          <w:szCs w:val="21"/>
        </w:rPr>
        <w:t>代码：按</w:t>
      </w:r>
      <w:r>
        <w:rPr>
          <w:szCs w:val="21"/>
        </w:rPr>
        <w:t>GB</w:t>
      </w:r>
      <w:r>
        <w:rPr>
          <w:rFonts w:hint="eastAsia"/>
          <w:szCs w:val="21"/>
        </w:rPr>
        <w:t>/T</w:t>
      </w:r>
      <w:r>
        <w:rPr>
          <w:szCs w:val="21"/>
        </w:rPr>
        <w:t>4208</w:t>
      </w:r>
      <w:r>
        <w:rPr>
          <w:rFonts w:hint="eastAsia"/>
          <w:szCs w:val="21"/>
        </w:rPr>
        <w:t>规定的要求，通过试验予以验证。</w:t>
      </w:r>
    </w:p>
    <w:p>
      <w:pPr>
        <w:adjustRightInd w:val="0"/>
        <w:spacing w:line="360" w:lineRule="auto"/>
        <w:ind w:firstLine="420" w:firstLineChars="200"/>
        <w:rPr>
          <w:szCs w:val="21"/>
        </w:rPr>
      </w:pPr>
      <w:r>
        <w:rPr>
          <w:rFonts w:hint="eastAsia"/>
          <w:szCs w:val="21"/>
        </w:rPr>
        <w:t>（</w:t>
      </w:r>
      <w:r>
        <w:rPr>
          <w:szCs w:val="21"/>
        </w:rPr>
        <w:t>2</w:t>
      </w:r>
      <w:r>
        <w:rPr>
          <w:rFonts w:hint="eastAsia"/>
          <w:szCs w:val="21"/>
        </w:rPr>
        <w:t>）</w:t>
      </w:r>
      <w:r>
        <w:rPr>
          <w:szCs w:val="21"/>
        </w:rPr>
        <w:t>IK</w:t>
      </w:r>
      <w:r>
        <w:rPr>
          <w:rFonts w:hint="eastAsia"/>
          <w:szCs w:val="21"/>
        </w:rPr>
        <w:t>代码</w:t>
      </w:r>
      <w:r>
        <w:rPr>
          <w:szCs w:val="21"/>
        </w:rPr>
        <w:t>:</w:t>
      </w:r>
      <w:r>
        <w:rPr>
          <w:rFonts w:hint="eastAsia"/>
          <w:szCs w:val="21"/>
        </w:rPr>
        <w:t>对外壳可能是薄弱的部位，应进行机械撞击试验，具体方法见</w:t>
      </w:r>
      <w:r>
        <w:rPr>
          <w:szCs w:val="21"/>
        </w:rPr>
        <w:t>GB 17467</w:t>
      </w:r>
      <w:r>
        <w:rPr>
          <w:rFonts w:hint="eastAsia"/>
          <w:szCs w:val="21"/>
        </w:rPr>
        <w:t>。</w:t>
      </w:r>
    </w:p>
    <w:p>
      <w:pPr>
        <w:pStyle w:val="18"/>
        <w:spacing w:before="120" w:after="120"/>
        <w:ind w:left="2325" w:hanging="2324" w:hangingChars="1107"/>
        <w:outlineLvl w:val="2"/>
        <w:rPr>
          <w:rFonts w:hAnsi="黑体"/>
        </w:rPr>
      </w:pPr>
      <w:bookmarkStart w:id="490" w:name="_Toc424549787"/>
      <w:bookmarkStart w:id="491" w:name="_Toc78912300"/>
      <w:r>
        <w:rPr>
          <w:rFonts w:hint="eastAsia" w:hAnsi="黑体"/>
        </w:rPr>
        <w:t>电磁兼容性试验</w:t>
      </w:r>
      <w:bookmarkEnd w:id="490"/>
      <w:bookmarkEnd w:id="491"/>
    </w:p>
    <w:p>
      <w:pPr>
        <w:adjustRightInd w:val="0"/>
        <w:spacing w:line="360" w:lineRule="auto"/>
        <w:ind w:firstLine="420" w:firstLineChars="200"/>
        <w:rPr>
          <w:szCs w:val="21"/>
        </w:rPr>
      </w:pPr>
      <w:r>
        <w:rPr>
          <w:rFonts w:hint="eastAsia"/>
          <w:szCs w:val="21"/>
        </w:rPr>
        <w:t>对高压开关设备和控制设备，</w:t>
      </w:r>
      <w:r>
        <w:rPr>
          <w:szCs w:val="21"/>
        </w:rPr>
        <w:t>GB/T 11022</w:t>
      </w:r>
      <w:r>
        <w:rPr>
          <w:rFonts w:hint="eastAsia"/>
          <w:szCs w:val="21"/>
        </w:rPr>
        <w:t>的</w:t>
      </w:r>
      <w:r>
        <w:rPr>
          <w:szCs w:val="21"/>
        </w:rPr>
        <w:t>6.9</w:t>
      </w:r>
      <w:r>
        <w:rPr>
          <w:rFonts w:hint="eastAsia"/>
          <w:szCs w:val="21"/>
        </w:rPr>
        <w:t>适用；</w:t>
      </w:r>
    </w:p>
    <w:p>
      <w:pPr>
        <w:adjustRightInd w:val="0"/>
        <w:spacing w:line="360" w:lineRule="auto"/>
        <w:ind w:firstLine="420" w:firstLineChars="200"/>
        <w:rPr>
          <w:szCs w:val="21"/>
        </w:rPr>
      </w:pPr>
      <w:r>
        <w:rPr>
          <w:rFonts w:hint="eastAsia"/>
          <w:szCs w:val="21"/>
        </w:rPr>
        <w:t>对低压开关设备和控制设备，</w:t>
      </w:r>
      <w:r>
        <w:rPr>
          <w:szCs w:val="21"/>
        </w:rPr>
        <w:t>GB/T 7251.1</w:t>
      </w:r>
      <w:r>
        <w:rPr>
          <w:rFonts w:hint="eastAsia"/>
          <w:szCs w:val="21"/>
        </w:rPr>
        <w:t>适用；</w:t>
      </w:r>
    </w:p>
    <w:p>
      <w:pPr>
        <w:pStyle w:val="18"/>
        <w:spacing w:before="120" w:after="120"/>
        <w:ind w:left="2325" w:hanging="2324" w:hangingChars="1107"/>
        <w:outlineLvl w:val="2"/>
        <w:rPr>
          <w:rFonts w:hAnsi="黑体"/>
        </w:rPr>
      </w:pPr>
      <w:bookmarkStart w:id="492" w:name="_Toc78912301"/>
      <w:bookmarkStart w:id="493" w:name="_Toc424549788"/>
      <w:r>
        <w:rPr>
          <w:rFonts w:hAnsi="黑体"/>
        </w:rPr>
        <w:t>外壳</w:t>
      </w:r>
      <w:r>
        <w:rPr>
          <w:rFonts w:hint="eastAsia" w:hAnsi="黑体"/>
        </w:rPr>
        <w:t>耐受机械应力的</w:t>
      </w:r>
      <w:r>
        <w:rPr>
          <w:rFonts w:hAnsi="黑体"/>
        </w:rPr>
        <w:t>试验</w:t>
      </w:r>
      <w:bookmarkEnd w:id="492"/>
      <w:bookmarkEnd w:id="493"/>
    </w:p>
    <w:p>
      <w:pPr>
        <w:adjustRightInd w:val="0"/>
        <w:spacing w:line="360" w:lineRule="auto"/>
        <w:ind w:firstLine="420" w:firstLineChars="200"/>
        <w:rPr>
          <w:szCs w:val="21"/>
        </w:rPr>
      </w:pPr>
      <w:r>
        <w:rPr>
          <w:rFonts w:hint="eastAsia"/>
          <w:szCs w:val="21"/>
        </w:rPr>
        <w:t>按</w:t>
      </w:r>
      <w:r>
        <w:rPr>
          <w:szCs w:val="21"/>
        </w:rPr>
        <w:t>GB/T 17467</w:t>
      </w:r>
      <w:r>
        <w:rPr>
          <w:rFonts w:hint="eastAsia"/>
          <w:szCs w:val="21"/>
        </w:rPr>
        <w:t>中</w:t>
      </w:r>
      <w:r>
        <w:rPr>
          <w:szCs w:val="21"/>
        </w:rPr>
        <w:t>5.13.2</w:t>
      </w:r>
      <w:r>
        <w:rPr>
          <w:rFonts w:hint="eastAsia"/>
          <w:szCs w:val="21"/>
        </w:rPr>
        <w:t>的规定进行。</w:t>
      </w:r>
    </w:p>
    <w:p>
      <w:pPr>
        <w:pStyle w:val="18"/>
        <w:spacing w:before="120" w:after="120"/>
        <w:ind w:left="2325" w:hanging="2324" w:hangingChars="1107"/>
        <w:outlineLvl w:val="2"/>
        <w:rPr>
          <w:rFonts w:hAnsi="黑体"/>
        </w:rPr>
      </w:pPr>
      <w:bookmarkStart w:id="494" w:name="_Toc78912302"/>
      <w:bookmarkStart w:id="495" w:name="_Toc424549789"/>
      <w:r>
        <w:rPr>
          <w:rFonts w:hint="eastAsia" w:hAnsi="黑体"/>
        </w:rPr>
        <w:t>内部电弧试验</w:t>
      </w:r>
      <w:bookmarkEnd w:id="494"/>
      <w:bookmarkEnd w:id="495"/>
    </w:p>
    <w:p>
      <w:pPr>
        <w:adjustRightInd w:val="0"/>
        <w:spacing w:line="360" w:lineRule="auto"/>
        <w:ind w:firstLine="420" w:firstLineChars="200"/>
        <w:rPr>
          <w:szCs w:val="21"/>
        </w:rPr>
      </w:pPr>
      <w:r>
        <w:rPr>
          <w:rFonts w:hint="eastAsia"/>
          <w:szCs w:val="21"/>
        </w:rPr>
        <w:t>预装式变电站应进行并通过内部故障电弧试验</w:t>
      </w:r>
      <w:r>
        <w:rPr>
          <w:szCs w:val="21"/>
        </w:rPr>
        <w:t>IAC-AB,</w:t>
      </w:r>
      <w:r>
        <w:rPr>
          <w:rFonts w:hint="eastAsia"/>
          <w:szCs w:val="21"/>
        </w:rPr>
        <w:t>以确保由缺陷、异常使用条件、元件内部故障或误操作造成的故障引发的内部电弧时对操作者和普通公众的安全防护。试验方法和限制措施按</w:t>
      </w:r>
      <w:r>
        <w:rPr>
          <w:szCs w:val="21"/>
        </w:rPr>
        <w:t>GB/T 17467</w:t>
      </w:r>
      <w:r>
        <w:rPr>
          <w:rFonts w:hint="eastAsia"/>
          <w:szCs w:val="21"/>
        </w:rPr>
        <w:t>规定。</w:t>
      </w:r>
    </w:p>
    <w:p>
      <w:pPr>
        <w:pStyle w:val="18"/>
        <w:spacing w:before="120" w:after="120"/>
        <w:ind w:left="2325" w:hanging="2324" w:hangingChars="1107"/>
        <w:outlineLvl w:val="2"/>
        <w:rPr>
          <w:rFonts w:hAnsi="黑体"/>
        </w:rPr>
      </w:pPr>
      <w:bookmarkStart w:id="496" w:name="_Toc78912303"/>
      <w:r>
        <w:rPr>
          <w:rFonts w:hint="eastAsia" w:hAnsi="黑体"/>
        </w:rPr>
        <w:t>高压柜、变压器及低压柜试验</w:t>
      </w:r>
      <w:bookmarkEnd w:id="496"/>
    </w:p>
    <w:p>
      <w:pPr>
        <w:adjustRightInd w:val="0"/>
        <w:spacing w:line="360" w:lineRule="auto"/>
        <w:ind w:firstLine="420" w:firstLineChars="200"/>
        <w:rPr>
          <w:szCs w:val="21"/>
        </w:rPr>
      </w:pPr>
      <w:r>
        <w:rPr>
          <w:rFonts w:hint="eastAsia"/>
          <w:szCs w:val="21"/>
        </w:rPr>
        <w:t>高压柜试验、变压器试验及低压柜试验方法按相关国家标准或行业标准执行，试验结果需满足南网相应技术规范书要求。</w:t>
      </w:r>
    </w:p>
    <w:p>
      <w:pPr>
        <w:pStyle w:val="18"/>
        <w:spacing w:before="120" w:after="120"/>
        <w:ind w:left="2325" w:hanging="2324" w:hangingChars="1107"/>
        <w:outlineLvl w:val="2"/>
        <w:rPr>
          <w:rFonts w:hAnsi="黑体"/>
        </w:rPr>
      </w:pPr>
      <w:bookmarkStart w:id="497" w:name="_Toc78912304"/>
      <w:r>
        <w:rPr>
          <w:rFonts w:hAnsi="黑体"/>
        </w:rPr>
        <w:t>外壳</w:t>
      </w:r>
      <w:r>
        <w:rPr>
          <w:rFonts w:hint="eastAsia" w:hAnsi="黑体"/>
        </w:rPr>
        <w:t>涂层厚度和附着力的检测</w:t>
      </w:r>
      <w:bookmarkEnd w:id="497"/>
    </w:p>
    <w:p>
      <w:pPr>
        <w:adjustRightInd w:val="0"/>
        <w:spacing w:line="360" w:lineRule="auto"/>
        <w:ind w:firstLine="420" w:firstLineChars="200"/>
        <w:rPr>
          <w:szCs w:val="21"/>
        </w:rPr>
      </w:pPr>
      <w:r>
        <w:rPr>
          <w:rFonts w:hint="eastAsia"/>
          <w:szCs w:val="21"/>
        </w:rPr>
        <w:t>（</w:t>
      </w:r>
      <w:r>
        <w:rPr>
          <w:szCs w:val="21"/>
        </w:rPr>
        <w:t>1</w:t>
      </w:r>
      <w:r>
        <w:rPr>
          <w:rFonts w:hint="eastAsia"/>
          <w:szCs w:val="21"/>
        </w:rPr>
        <w:t>）外壳涂层厚度按</w:t>
      </w:r>
      <w:r>
        <w:rPr>
          <w:szCs w:val="21"/>
        </w:rPr>
        <w:t>GB/T 13452.2</w:t>
      </w:r>
      <w:r>
        <w:rPr>
          <w:rFonts w:hint="eastAsia"/>
          <w:szCs w:val="21"/>
        </w:rPr>
        <w:t>规定方法检测。</w:t>
      </w:r>
    </w:p>
    <w:p>
      <w:pPr>
        <w:adjustRightInd w:val="0"/>
        <w:spacing w:line="360" w:lineRule="auto"/>
        <w:ind w:firstLine="420" w:firstLineChars="200"/>
        <w:rPr>
          <w:szCs w:val="21"/>
        </w:rPr>
      </w:pPr>
      <w:r>
        <w:rPr>
          <w:rFonts w:hint="eastAsia"/>
          <w:szCs w:val="21"/>
        </w:rPr>
        <w:t>（</w:t>
      </w:r>
      <w:r>
        <w:rPr>
          <w:szCs w:val="21"/>
        </w:rPr>
        <w:t>2</w:t>
      </w:r>
      <w:r>
        <w:rPr>
          <w:rFonts w:hint="eastAsia"/>
          <w:szCs w:val="21"/>
        </w:rPr>
        <w:t>）外壳涂层附着力试验按GB/T 1720-2020规定进行，试验结果需达到1级。</w:t>
      </w:r>
    </w:p>
    <w:p>
      <w:pPr>
        <w:pStyle w:val="14"/>
        <w:numPr>
          <w:ilvl w:val="1"/>
          <w:numId w:val="5"/>
        </w:numPr>
        <w:spacing w:before="312" w:beforeLines="100" w:after="312" w:afterLines="100" w:line="416" w:lineRule="exact"/>
        <w:outlineLvl w:val="0"/>
        <w:rPr>
          <w:rFonts w:hAnsi="宋体"/>
          <w:b/>
        </w:rPr>
      </w:pPr>
      <w:bookmarkStart w:id="498" w:name="_Toc384341025"/>
      <w:bookmarkStart w:id="499" w:name="_Toc282993355"/>
      <w:bookmarkStart w:id="500" w:name="_Toc78912305"/>
      <w:bookmarkStart w:id="501" w:name="_Toc400640389"/>
      <w:r>
        <w:rPr>
          <w:rFonts w:hint="eastAsia" w:hAnsi="宋体"/>
          <w:b/>
          <w:szCs w:val="21"/>
        </w:rPr>
        <w:t>企业</w:t>
      </w:r>
      <w:r>
        <w:rPr>
          <w:rFonts w:hAnsi="宋体"/>
          <w:b/>
          <w:szCs w:val="21"/>
        </w:rPr>
        <w:t>VI标识</w:t>
      </w:r>
      <w:bookmarkEnd w:id="498"/>
      <w:bookmarkEnd w:id="499"/>
      <w:bookmarkEnd w:id="500"/>
      <w:bookmarkEnd w:id="501"/>
    </w:p>
    <w:p>
      <w:pPr>
        <w:pStyle w:val="17"/>
        <w:adjustRightInd w:val="0"/>
        <w:spacing w:before="120" w:after="120" w:line="360" w:lineRule="auto"/>
        <w:ind w:left="114" w:hanging="114" w:hangingChars="54"/>
        <w:outlineLvl w:val="1"/>
        <w:rPr>
          <w:rFonts w:hAnsi="宋体"/>
          <w:b/>
        </w:rPr>
      </w:pPr>
      <w:bookmarkStart w:id="502" w:name="_Toc384341026"/>
      <w:bookmarkStart w:id="503" w:name="_Toc78912306"/>
      <w:bookmarkStart w:id="504" w:name="_Toc282993356"/>
      <w:bookmarkStart w:id="505" w:name="_Toc282993357"/>
      <w:bookmarkStart w:id="506" w:name="_Toc384341027"/>
      <w:r>
        <w:rPr>
          <w:rFonts w:hAnsi="宋体"/>
          <w:b/>
        </w:rPr>
        <w:t>VI标识</w:t>
      </w:r>
      <w:bookmarkEnd w:id="502"/>
      <w:bookmarkEnd w:id="503"/>
      <w:bookmarkEnd w:id="504"/>
    </w:p>
    <w:p>
      <w:pPr>
        <w:adjustRightInd w:val="0"/>
        <w:snapToGrid w:val="0"/>
        <w:spacing w:line="360" w:lineRule="auto"/>
        <w:ind w:firstLine="420" w:firstLineChars="200"/>
      </w:pPr>
      <w:r>
        <w:t>a.设备外立面上应有统一的南方电网公司企业VI标识，并符合</w:t>
      </w:r>
      <w:r>
        <w:rPr>
          <w:rFonts w:hint="eastAsia"/>
        </w:rPr>
        <w:t>最新版</w:t>
      </w:r>
      <w:r>
        <w:t>《中国南方电网视觉识别系统管理手册》的要求。</w:t>
      </w:r>
    </w:p>
    <w:p>
      <w:pPr>
        <w:adjustRightInd w:val="0"/>
        <w:snapToGrid w:val="0"/>
        <w:spacing w:line="360" w:lineRule="auto"/>
        <w:ind w:firstLine="420" w:firstLineChars="200"/>
      </w:pPr>
      <w:bookmarkStart w:id="507" w:name="_Toc277686860"/>
      <w:bookmarkStart w:id="508" w:name="_Toc277686861"/>
      <w:bookmarkStart w:id="509" w:name="_Toc277255903"/>
      <w:r>
        <w:t>b.标识的内容构成：中国南方电网标志、“中国南方电网”中英文名称。</w:t>
      </w:r>
      <w:bookmarkEnd w:id="507"/>
    </w:p>
    <w:p>
      <w:pPr>
        <w:adjustRightInd w:val="0"/>
        <w:snapToGrid w:val="0"/>
        <w:spacing w:line="360" w:lineRule="auto"/>
        <w:ind w:firstLine="420" w:firstLineChars="200"/>
      </w:pPr>
      <w:r>
        <w:t>c.颜色：标识采用企业标准色C100 M69 Y0 K38，背景采用白色。</w:t>
      </w:r>
      <w:bookmarkEnd w:id="508"/>
      <w:bookmarkEnd w:id="509"/>
    </w:p>
    <w:p>
      <w:pPr>
        <w:adjustRightInd w:val="0"/>
        <w:snapToGrid w:val="0"/>
        <w:spacing w:line="360" w:lineRule="auto"/>
        <w:ind w:firstLine="420" w:firstLineChars="200"/>
      </w:pPr>
      <w:bookmarkStart w:id="510" w:name="_Toc277686862"/>
      <w:bookmarkStart w:id="511" w:name="_Toc277255904"/>
      <w:r>
        <w:t>d.材质选用厚度为1.2</w:t>
      </w:r>
      <w:r>
        <w:rPr>
          <w:rFonts w:hint="eastAsia"/>
        </w:rPr>
        <w:t>±</w:t>
      </w:r>
      <w:r>
        <w:t>0.2mm的拉丝不锈钢板，工艺为表面文字蚀刻、烤漆入色。</w:t>
      </w:r>
      <w:bookmarkEnd w:id="510"/>
      <w:bookmarkEnd w:id="511"/>
    </w:p>
    <w:p>
      <w:pPr>
        <w:adjustRightInd w:val="0"/>
        <w:snapToGrid w:val="0"/>
        <w:spacing w:line="360" w:lineRule="auto"/>
        <w:ind w:firstLine="420" w:firstLineChars="200"/>
      </w:pPr>
      <w:bookmarkStart w:id="512" w:name="_Toc277686863"/>
      <w:r>
        <w:t>e.企业标识安装在设备外立面正面醒目位置。</w:t>
      </w:r>
      <w:bookmarkEnd w:id="512"/>
    </w:p>
    <w:p>
      <w:pPr>
        <w:pStyle w:val="17"/>
        <w:adjustRightInd w:val="0"/>
        <w:spacing w:before="120" w:after="120" w:line="360" w:lineRule="auto"/>
        <w:ind w:left="114" w:hanging="114" w:hangingChars="54"/>
        <w:outlineLvl w:val="1"/>
        <w:rPr>
          <w:rFonts w:hAnsi="宋体"/>
          <w:b/>
        </w:rPr>
      </w:pPr>
      <w:bookmarkStart w:id="513" w:name="_Toc78912307"/>
      <w:r>
        <w:rPr>
          <w:rFonts w:hAnsi="宋体"/>
          <w:b/>
        </w:rPr>
        <w:t>标识地点</w:t>
      </w:r>
      <w:bookmarkEnd w:id="513"/>
    </w:p>
    <w:p>
      <w:pPr>
        <w:adjustRightInd w:val="0"/>
        <w:snapToGrid w:val="0"/>
        <w:spacing w:line="360" w:lineRule="auto"/>
        <w:ind w:firstLine="420" w:firstLineChars="200"/>
      </w:pPr>
      <w:r>
        <w:t>标识地点：与厂家名称标识相邻。</w:t>
      </w:r>
    </w:p>
    <w:p>
      <w:pPr>
        <w:adjustRightInd w:val="0"/>
        <w:snapToGrid w:val="0"/>
        <w:spacing w:line="360" w:lineRule="auto"/>
        <w:ind w:firstLine="420" w:firstLineChars="200"/>
      </w:pPr>
      <w:r>
        <w:t>厂家名称与南网标示并排安装于油箱正面。两者标识牌大小相当。南网标识牌材质与厂家名称标识牌材质保持一致。南网标识牌的图案、色泽、造型按</w:t>
      </w:r>
      <w:r>
        <w:rPr>
          <w:rFonts w:hint="eastAsia"/>
        </w:rPr>
        <w:t>最新版</w:t>
      </w:r>
      <w:r>
        <w:t>《南方电网公司视觉识别系统管理手册》要求，按所需比例修正。</w:t>
      </w:r>
    </w:p>
    <w:p>
      <w:pPr>
        <w:adjustRightInd w:val="0"/>
        <w:snapToGrid w:val="0"/>
        <w:spacing w:line="360" w:lineRule="auto"/>
        <w:ind w:firstLine="420" w:firstLineChars="200"/>
      </w:pPr>
    </w:p>
    <w:p>
      <w:pPr>
        <w:ind w:firstLine="420" w:firstLineChars="200"/>
        <w:rPr>
          <w:szCs w:val="21"/>
        </w:rPr>
      </w:pPr>
      <w:r>
        <w:rPr>
          <w:szCs w:val="21"/>
        </w:rPr>
        <w:drawing>
          <wp:inline distT="0" distB="0" distL="0" distR="0">
            <wp:extent cx="4626610" cy="5909310"/>
            <wp:effectExtent l="0" t="0" r="6350" b="3810"/>
            <wp:docPr id="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3"/>
                    <pic:cNvPicPr>
                      <a:picLocks noChangeAspect="1" noChangeArrowheads="1"/>
                    </pic:cNvPicPr>
                  </pic:nvPicPr>
                  <pic:blipFill>
                    <a:blip r:embed="rId14" cstate="print"/>
                    <a:srcRect/>
                    <a:stretch>
                      <a:fillRect/>
                    </a:stretch>
                  </pic:blipFill>
                  <pic:spPr>
                    <a:xfrm>
                      <a:off x="0" y="0"/>
                      <a:ext cx="4626610" cy="5909310"/>
                    </a:xfrm>
                    <a:prstGeom prst="rect">
                      <a:avLst/>
                    </a:prstGeom>
                    <a:noFill/>
                    <a:ln w="9525" cmpd="sng">
                      <a:noFill/>
                      <a:miter lim="800000"/>
                      <a:headEnd/>
                      <a:tailEnd/>
                    </a:ln>
                  </pic:spPr>
                </pic:pic>
              </a:graphicData>
            </a:graphic>
          </wp:inline>
        </w:drawing>
      </w:r>
    </w:p>
    <w:p>
      <w:pPr>
        <w:pStyle w:val="17"/>
        <w:numPr>
          <w:ilvl w:val="255"/>
          <w:numId w:val="0"/>
        </w:numPr>
        <w:adjustRightInd w:val="0"/>
        <w:spacing w:before="120" w:after="120" w:line="360" w:lineRule="auto"/>
        <w:jc w:val="center"/>
        <w:outlineLvl w:val="1"/>
        <w:rPr>
          <w:szCs w:val="21"/>
        </w:rPr>
      </w:pPr>
      <w:bookmarkStart w:id="514" w:name="_Toc78912308"/>
      <w:r>
        <w:rPr>
          <w:rFonts w:hint="eastAsia" w:ascii="宋体" w:hAnsi="宋体"/>
        </w:rPr>
        <w:t>图</w:t>
      </w:r>
      <w:r>
        <w:rPr>
          <w:rFonts w:hint="eastAsia"/>
        </w:rPr>
        <w:t>4</w:t>
      </w:r>
      <w:r>
        <w:rPr>
          <w:rFonts w:hint="eastAsia" w:ascii="宋体" w:hAnsi="宋体"/>
        </w:rPr>
        <w:t>：</w:t>
      </w:r>
      <w:r>
        <w:rPr>
          <w:rFonts w:hAnsi="宋体"/>
        </w:rPr>
        <w:t>VI标识</w:t>
      </w:r>
      <w:r>
        <w:rPr>
          <w:rFonts w:hint="eastAsia"/>
        </w:rPr>
        <w:t>示意图</w:t>
      </w:r>
      <w:bookmarkEnd w:id="514"/>
    </w:p>
    <w:p>
      <w:pPr>
        <w:pStyle w:val="14"/>
        <w:numPr>
          <w:ilvl w:val="1"/>
          <w:numId w:val="5"/>
        </w:numPr>
        <w:spacing w:before="312" w:beforeLines="100" w:after="312" w:afterLines="100" w:line="416" w:lineRule="exact"/>
        <w:outlineLvl w:val="0"/>
        <w:rPr>
          <w:rFonts w:hAnsi="宋体"/>
        </w:rPr>
      </w:pPr>
      <w:bookmarkStart w:id="515" w:name="_Toc78912309"/>
      <w:r>
        <w:rPr>
          <w:rFonts w:hint="eastAsia" w:hAnsi="宋体"/>
        </w:rPr>
        <w:t>电气及土建接口</w:t>
      </w:r>
      <w:bookmarkEnd w:id="515"/>
    </w:p>
    <w:p>
      <w:pPr>
        <w:pStyle w:val="17"/>
        <w:spacing w:before="120" w:after="120"/>
        <w:ind w:left="113" w:hangingChars="54"/>
        <w:outlineLvl w:val="1"/>
        <w:rPr>
          <w:rFonts w:hAnsi="宋体"/>
        </w:rPr>
      </w:pPr>
      <w:bookmarkStart w:id="516" w:name="_Toc78912310"/>
      <w:r>
        <w:rPr>
          <w:rFonts w:hint="eastAsia" w:hAnsi="宋体"/>
        </w:rPr>
        <w:t>电气一次接口</w:t>
      </w:r>
      <w:bookmarkEnd w:id="516"/>
    </w:p>
    <w:p>
      <w:pPr>
        <w:spacing w:line="360" w:lineRule="auto"/>
        <w:ind w:firstLine="420" w:firstLineChars="200"/>
      </w:pPr>
      <w:r>
        <w:rPr>
          <w:rFonts w:hint="eastAsia"/>
        </w:rPr>
        <w:t>采用目字型布置，高压室设置</w:t>
      </w:r>
      <w:r>
        <w:t>DTU</w:t>
      </w:r>
      <w:r>
        <w:rPr>
          <w:rFonts w:hint="eastAsia"/>
        </w:rPr>
        <w:t>安装位置（高宽深≥9</w:t>
      </w:r>
      <w:r>
        <w:t>00mm*</w:t>
      </w:r>
      <w:r>
        <w:rPr>
          <w:rFonts w:hint="eastAsia"/>
        </w:rPr>
        <w:t>6</w:t>
      </w:r>
      <w:r>
        <w:t>00mm*</w:t>
      </w:r>
      <w:r>
        <w:rPr>
          <w:rFonts w:hint="eastAsia"/>
        </w:rPr>
        <w:t>14</w:t>
      </w:r>
      <w:r>
        <w:t>0mm</w:t>
      </w:r>
      <w:r>
        <w:rPr>
          <w:rFonts w:hint="eastAsia"/>
        </w:rPr>
        <w:t>），高压柜的泄压通道方向应朝向电缆沟。低压各出线断路器的电缆接线高度不低于</w:t>
      </w:r>
      <w:r>
        <w:t>400mm</w:t>
      </w:r>
      <w:r>
        <w:rPr>
          <w:rFonts w:hint="eastAsia"/>
        </w:rPr>
        <w:t>（不含箱变基础）。各容量</w:t>
      </w:r>
      <w:r>
        <w:rPr>
          <w:rFonts w:hint="eastAsia" w:ascii="宋体" w:hAnsi="宋体"/>
        </w:rPr>
        <w:t>预装式变电站平面</w:t>
      </w:r>
      <w:r>
        <w:rPr>
          <w:rFonts w:hint="eastAsia"/>
        </w:rPr>
        <w:t>布置示意图、</w:t>
      </w:r>
      <w:r>
        <w:rPr>
          <w:rFonts w:hint="eastAsia" w:ascii="宋体" w:hAnsi="宋体"/>
        </w:rPr>
        <w:t>剖面及侧视示意图、低压柜门面布置及其结构布置示意图</w:t>
      </w:r>
      <w:r>
        <w:rPr>
          <w:rFonts w:hint="eastAsia"/>
        </w:rPr>
        <w:t>见图5至图7所示。</w:t>
      </w:r>
    </w:p>
    <w:p>
      <w:pPr>
        <w:pStyle w:val="15"/>
        <w:spacing w:line="360" w:lineRule="auto"/>
        <w:ind w:firstLine="420"/>
        <w:rPr>
          <w:rFonts w:hAnsi="宋体"/>
          <w:kern w:val="2"/>
          <w:szCs w:val="21"/>
        </w:rPr>
      </w:pPr>
      <w:r>
        <w:rPr>
          <w:rFonts w:hint="eastAsia" w:hAnsi="宋体"/>
          <w:kern w:val="2"/>
          <w:szCs w:val="21"/>
        </w:rPr>
        <w:t>预装式变电站的外形尺寸（不含顶盖）统一：</w:t>
      </w:r>
    </w:p>
    <w:p>
      <w:pPr>
        <w:pStyle w:val="15"/>
        <w:spacing w:line="360" w:lineRule="auto"/>
        <w:ind w:firstLine="420"/>
        <w:rPr>
          <w:rFonts w:hAnsi="宋体"/>
          <w:kern w:val="2"/>
          <w:szCs w:val="21"/>
        </w:rPr>
      </w:pPr>
      <w:r>
        <w:rPr>
          <w:rFonts w:hAnsi="宋体"/>
          <w:kern w:val="2"/>
          <w:szCs w:val="21"/>
        </w:rPr>
        <w:t>630kVA</w:t>
      </w:r>
      <w:r>
        <w:rPr>
          <w:rFonts w:hint="eastAsia" w:hAnsi="宋体"/>
          <w:kern w:val="2"/>
          <w:szCs w:val="21"/>
        </w:rPr>
        <w:t>及</w:t>
      </w:r>
      <w:r>
        <w:rPr>
          <w:rFonts w:hAnsi="宋体"/>
          <w:kern w:val="2"/>
          <w:szCs w:val="21"/>
        </w:rPr>
        <w:t>以下</w:t>
      </w:r>
      <w:r>
        <w:rPr>
          <w:rFonts w:hint="eastAsia" w:hAnsi="宋体"/>
          <w:kern w:val="2"/>
          <w:szCs w:val="21"/>
        </w:rPr>
        <w:t>容量</w:t>
      </w:r>
      <w:r>
        <w:rPr>
          <w:rFonts w:hAnsi="宋体"/>
          <w:kern w:val="2"/>
          <w:szCs w:val="21"/>
        </w:rPr>
        <w:t>箱变</w:t>
      </w:r>
      <w:r>
        <w:rPr>
          <w:rFonts w:hint="eastAsia" w:hAnsi="宋体"/>
          <w:kern w:val="2"/>
          <w:szCs w:val="21"/>
        </w:rPr>
        <w:t>按2900</w:t>
      </w:r>
      <w:r>
        <w:rPr>
          <w:rFonts w:hAnsi="宋体"/>
          <w:kern w:val="2"/>
          <w:szCs w:val="21"/>
        </w:rPr>
        <w:t>×</w:t>
      </w:r>
      <w:r>
        <w:rPr>
          <w:rFonts w:hint="eastAsia" w:hAnsi="宋体"/>
          <w:kern w:val="2"/>
          <w:szCs w:val="21"/>
        </w:rPr>
        <w:t>1650</w:t>
      </w:r>
      <w:r>
        <w:rPr>
          <w:rFonts w:hAnsi="宋体"/>
          <w:kern w:val="2"/>
          <w:szCs w:val="21"/>
        </w:rPr>
        <w:t>×2</w:t>
      </w:r>
      <w:r>
        <w:rPr>
          <w:rFonts w:hint="eastAsia" w:hAnsi="宋体"/>
          <w:kern w:val="2"/>
          <w:szCs w:val="21"/>
        </w:rPr>
        <w:t>30</w:t>
      </w:r>
      <w:r>
        <w:rPr>
          <w:rFonts w:hAnsi="宋体"/>
          <w:kern w:val="2"/>
          <w:szCs w:val="21"/>
        </w:rPr>
        <w:t>0mm(长</w:t>
      </w:r>
      <w:r>
        <w:rPr>
          <w:rFonts w:hint="eastAsia" w:hAnsi="宋体"/>
          <w:kern w:val="2"/>
          <w:szCs w:val="21"/>
        </w:rPr>
        <w:t>×宽×高</w:t>
      </w:r>
      <w:r>
        <w:rPr>
          <w:rFonts w:hAnsi="宋体"/>
          <w:kern w:val="2"/>
          <w:szCs w:val="21"/>
        </w:rPr>
        <w:t>)</w:t>
      </w:r>
      <w:r>
        <w:rPr>
          <w:rFonts w:hint="eastAsia" w:hAnsi="宋体"/>
          <w:kern w:val="2"/>
          <w:szCs w:val="21"/>
        </w:rPr>
        <w:t>；</w:t>
      </w:r>
    </w:p>
    <w:p>
      <w:pPr>
        <w:pStyle w:val="15"/>
        <w:spacing w:line="360" w:lineRule="auto"/>
        <w:ind w:firstLine="199" w:firstLineChars="95"/>
        <w:rPr>
          <w:rFonts w:hAnsi="宋体"/>
          <w:kern w:val="2"/>
          <w:szCs w:val="21"/>
        </w:rPr>
      </w:pPr>
      <w:r>
        <w:rPr>
          <w:rFonts w:hint="eastAsia" w:hAnsi="宋体"/>
          <w:kern w:val="2"/>
          <w:szCs w:val="21"/>
        </w:rPr>
        <w:drawing>
          <wp:inline distT="0" distB="0" distL="114300" distR="114300">
            <wp:extent cx="5292090" cy="2620010"/>
            <wp:effectExtent l="0" t="0" r="1143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92592" cy="2620301"/>
                    </a:xfrm>
                    <a:prstGeom prst="rect">
                      <a:avLst/>
                    </a:prstGeom>
                  </pic:spPr>
                </pic:pic>
              </a:graphicData>
            </a:graphic>
          </wp:inline>
        </w:drawing>
      </w:r>
    </w:p>
    <w:p>
      <w:pPr>
        <w:spacing w:line="360" w:lineRule="auto"/>
        <w:ind w:firstLine="420" w:firstLineChars="200"/>
        <w:jc w:val="center"/>
      </w:pPr>
    </w:p>
    <w:p>
      <w:pPr>
        <w:jc w:val="center"/>
      </w:pPr>
      <w:r>
        <w:rPr>
          <w:rFonts w:hint="eastAsia" w:ascii="宋体" w:hAnsi="宋体"/>
        </w:rPr>
        <w:t>图5：预装式变电站（400kVA~630kVA）平面</w:t>
      </w:r>
      <w:r>
        <w:rPr>
          <w:rFonts w:hint="eastAsia"/>
        </w:rPr>
        <w:t>布置示意图</w:t>
      </w:r>
    </w:p>
    <w:p>
      <w:pPr>
        <w:jc w:val="center"/>
      </w:pPr>
      <w:r>
        <w:rPr>
          <w:rFonts w:hint="eastAsia"/>
        </w:rPr>
        <w:drawing>
          <wp:inline distT="0" distB="0" distL="114300" distR="114300">
            <wp:extent cx="4632960" cy="2514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632992" cy="2514600"/>
                    </a:xfrm>
                    <a:prstGeom prst="rect">
                      <a:avLst/>
                    </a:prstGeom>
                  </pic:spPr>
                </pic:pic>
              </a:graphicData>
            </a:graphic>
          </wp:inline>
        </w:drawing>
      </w:r>
    </w:p>
    <w:p>
      <w:pPr>
        <w:jc w:val="center"/>
        <w:rPr>
          <w:rFonts w:ascii="宋体" w:hAnsi="宋体"/>
        </w:rPr>
      </w:pPr>
      <w:r>
        <w:rPr>
          <w:rFonts w:hint="eastAsia" w:ascii="宋体" w:hAnsi="宋体"/>
        </w:rPr>
        <w:t>图6：预装式变电站（400kVA~630kVA）剖面及侧视示意图</w:t>
      </w:r>
    </w:p>
    <w:p>
      <w:pPr>
        <w:ind w:left="-567" w:leftChars="-270" w:right="-584" w:rightChars="-278"/>
        <w:jc w:val="center"/>
      </w:pPr>
      <w:r>
        <w:rPr>
          <w:rFonts w:hint="eastAsia"/>
        </w:rPr>
        <w:drawing>
          <wp:inline distT="0" distB="0" distL="114300" distR="114300">
            <wp:extent cx="3945890" cy="2788920"/>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945933" cy="2788920"/>
                    </a:xfrm>
                    <a:prstGeom prst="rect">
                      <a:avLst/>
                    </a:prstGeom>
                  </pic:spPr>
                </pic:pic>
              </a:graphicData>
            </a:graphic>
          </wp:inline>
        </w:drawing>
      </w:r>
    </w:p>
    <w:p>
      <w:pPr>
        <w:ind w:left="-567" w:leftChars="-270" w:right="-584" w:rightChars="-278"/>
        <w:jc w:val="center"/>
      </w:pPr>
      <w:r>
        <w:rPr>
          <w:rFonts w:hint="eastAsia"/>
        </w:rPr>
        <w:drawing>
          <wp:inline distT="0" distB="0" distL="114300" distR="114300">
            <wp:extent cx="2080260" cy="2229485"/>
            <wp:effectExtent l="0" t="0" r="7620" b="1079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80260" cy="2229963"/>
                    </a:xfrm>
                    <a:prstGeom prst="rect">
                      <a:avLst/>
                    </a:prstGeom>
                  </pic:spPr>
                </pic:pic>
              </a:graphicData>
            </a:graphic>
          </wp:inline>
        </w:drawing>
      </w:r>
    </w:p>
    <w:p>
      <w:pPr>
        <w:jc w:val="center"/>
        <w:rPr>
          <w:rFonts w:ascii="宋体" w:hAnsi="宋体"/>
        </w:rPr>
      </w:pPr>
      <w:r>
        <w:rPr>
          <w:rFonts w:hint="eastAsia" w:ascii="宋体" w:hAnsi="宋体"/>
        </w:rPr>
        <w:t>图7：预装式变电站（400kVA~630kVA）低压柜门面布置及其结构布置示意图(低压柜尺寸仅供参考</w:t>
      </w:r>
      <w:r>
        <w:rPr>
          <w:rFonts w:ascii="宋体" w:hAnsi="宋体"/>
        </w:rPr>
        <w:t>)</w:t>
      </w:r>
    </w:p>
    <w:p>
      <w:pPr>
        <w:ind w:left="-567" w:leftChars="-270" w:right="-584" w:rightChars="-278"/>
        <w:jc w:val="center"/>
      </w:pPr>
    </w:p>
    <w:p>
      <w:pPr>
        <w:pStyle w:val="17"/>
        <w:spacing w:before="120" w:after="120"/>
        <w:ind w:left="113" w:hangingChars="54"/>
        <w:outlineLvl w:val="1"/>
        <w:rPr>
          <w:rFonts w:hAnsi="宋体"/>
        </w:rPr>
      </w:pPr>
      <w:bookmarkStart w:id="517" w:name="_Toc78912311"/>
      <w:r>
        <w:rPr>
          <w:rFonts w:hint="eastAsia" w:ascii="Times New Roman"/>
        </w:rPr>
        <w:t>土建接口</w:t>
      </w:r>
      <w:bookmarkEnd w:id="517"/>
    </w:p>
    <w:p>
      <w:pPr>
        <w:pStyle w:val="18"/>
        <w:spacing w:before="120" w:after="120"/>
        <w:ind w:left="2325" w:hanging="2324" w:hangingChars="1107"/>
        <w:outlineLvl w:val="2"/>
        <w:rPr>
          <w:rFonts w:hAnsi="黑体"/>
        </w:rPr>
      </w:pPr>
      <w:bookmarkStart w:id="518" w:name="_Toc78912312"/>
      <w:r>
        <w:rPr>
          <w:rFonts w:hint="eastAsia"/>
          <w:bCs/>
        </w:rPr>
        <w:t>箱变与基础槽钢连接</w:t>
      </w:r>
      <w:bookmarkEnd w:id="518"/>
    </w:p>
    <w:p>
      <w:pPr>
        <w:adjustRightInd w:val="0"/>
        <w:snapToGrid w:val="0"/>
        <w:spacing w:line="360" w:lineRule="auto"/>
        <w:ind w:firstLine="420" w:firstLineChars="200"/>
        <w:rPr>
          <w:szCs w:val="21"/>
        </w:rPr>
      </w:pPr>
      <w:r>
        <w:rPr>
          <w:rFonts w:hint="eastAsia"/>
          <w:szCs w:val="21"/>
        </w:rPr>
        <w:t>箱变厂家自带不小于</w:t>
      </w:r>
      <w:r>
        <w:rPr>
          <w:szCs w:val="21"/>
        </w:rPr>
        <w:t>100</w:t>
      </w:r>
      <w:r>
        <w:rPr>
          <w:rFonts w:hint="eastAsia"/>
          <w:szCs w:val="21"/>
        </w:rPr>
        <w:t>高金属底座（螺栓连接），底座与基础槽钢采用焊接</w:t>
      </w:r>
      <w:bookmarkStart w:id="519" w:name="OLE_LINK217"/>
    </w:p>
    <w:p>
      <w:pPr>
        <w:pStyle w:val="18"/>
        <w:spacing w:before="120" w:after="120"/>
        <w:ind w:left="2325" w:hanging="2324" w:hangingChars="1107"/>
        <w:outlineLvl w:val="2"/>
        <w:rPr>
          <w:bCs/>
          <w:lang w:val="en-US"/>
        </w:rPr>
      </w:pPr>
      <w:bookmarkStart w:id="520" w:name="_Toc78912313"/>
      <w:bookmarkStart w:id="521" w:name="_Toc7786"/>
      <w:r>
        <w:rPr>
          <w:rFonts w:hint="eastAsia"/>
          <w:bCs/>
          <w:lang w:val="en-US"/>
        </w:rPr>
        <w:t>土建接口及安装位置尺寸</w:t>
      </w:r>
      <w:bookmarkEnd w:id="520"/>
      <w:bookmarkEnd w:id="521"/>
      <w:r>
        <w:rPr>
          <w:rFonts w:hint="eastAsia"/>
          <w:bCs/>
          <w:lang w:val="en-US"/>
        </w:rPr>
        <w:t xml:space="preserve"> </w:t>
      </w:r>
    </w:p>
    <w:p>
      <w:pPr>
        <w:pStyle w:val="22"/>
        <w:adjustRightInd w:val="0"/>
        <w:spacing w:line="360" w:lineRule="auto"/>
        <w:ind w:firstLine="460"/>
        <w:rPr>
          <w:rFonts w:ascii="宋体e眠副浡渀." w:hAnsi="宋体e眠副浡渀." w:eastAsia="宋体e眠副浡渀."/>
          <w:sz w:val="23"/>
        </w:rPr>
      </w:pPr>
      <w:r>
        <w:rPr>
          <w:rFonts w:hint="eastAsia" w:ascii="宋体e眠副浡渀." w:hAnsi="宋体e眠副浡渀." w:eastAsia="宋体e眠副浡渀."/>
          <w:sz w:val="23"/>
        </w:rPr>
        <w:t>箱变基础施工时，应预埋基础槽钢，槽钢规格为</w:t>
      </w:r>
      <w:r>
        <w:rPr>
          <w:rFonts w:hint="eastAsia" w:eastAsia="Times New Roman"/>
          <w:sz w:val="23"/>
        </w:rPr>
        <w:t>10</w:t>
      </w:r>
      <w:r>
        <w:rPr>
          <w:rFonts w:hint="eastAsia" w:ascii="宋体e眠副浡渀." w:hAnsi="宋体e眠副浡渀." w:eastAsia="宋体e眠副浡渀."/>
          <w:sz w:val="23"/>
        </w:rPr>
        <w:t>号，基础槽钢与变电站地网可靠连接。箱变的底部框架应放置在基础槽钢上，可用</w:t>
      </w:r>
      <w:r>
        <w:rPr>
          <w:rFonts w:hint="eastAsia" w:eastAsia="Times New Roman"/>
          <w:sz w:val="23"/>
        </w:rPr>
        <w:t>M12</w:t>
      </w:r>
      <w:r>
        <w:rPr>
          <w:rFonts w:hint="eastAsia" w:ascii="宋体e眠副浡渀." w:hAnsi="宋体e眠副浡渀." w:eastAsia="宋体e眠副浡渀."/>
          <w:sz w:val="23"/>
        </w:rPr>
        <w:t>地脚螺丝将其与基础槽钢相连。各容量箱变</w:t>
      </w:r>
      <w:r>
        <w:rPr>
          <w:rFonts w:hint="eastAsia"/>
        </w:rPr>
        <w:t>开</w:t>
      </w:r>
      <w:r>
        <w:rPr>
          <w:rFonts w:hint="eastAsia" w:ascii="宋体e眠副浡渀." w:hAnsi="宋体e眠副浡渀." w:eastAsia="宋体e眠副浡渀."/>
          <w:sz w:val="23"/>
        </w:rPr>
        <w:t>门及高/低压电缆孔布置等土建接口及安装位置尺寸见图</w:t>
      </w:r>
      <w:r>
        <w:rPr>
          <w:rFonts w:hint="eastAsia" w:ascii="宋体" w:hAnsi="宋体" w:eastAsia="宋体" w:cs="宋体"/>
          <w:sz w:val="23"/>
        </w:rPr>
        <w:t>8</w:t>
      </w:r>
      <w:r>
        <w:rPr>
          <w:rFonts w:hint="eastAsia" w:ascii="宋体e眠副浡渀." w:hAnsi="宋体e眠副浡渀." w:eastAsia="宋体e眠副浡渀."/>
          <w:sz w:val="23"/>
        </w:rPr>
        <w:t>。</w:t>
      </w:r>
    </w:p>
    <w:p>
      <w:pPr>
        <w:jc w:val="center"/>
      </w:pPr>
      <w:r>
        <w:rPr>
          <w:rFonts w:hint="eastAsia"/>
        </w:rPr>
        <w:drawing>
          <wp:inline distT="0" distB="0" distL="114300" distR="114300">
            <wp:extent cx="5318125" cy="2341245"/>
            <wp:effectExtent l="0" t="0" r="63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318341" cy="2341522"/>
                    </a:xfrm>
                    <a:prstGeom prst="rect">
                      <a:avLst/>
                    </a:prstGeom>
                  </pic:spPr>
                </pic:pic>
              </a:graphicData>
            </a:graphic>
          </wp:inline>
        </w:drawing>
      </w:r>
    </w:p>
    <w:p>
      <w:pPr>
        <w:jc w:val="center"/>
      </w:pPr>
      <w:r>
        <w:rPr>
          <w:rFonts w:hint="eastAsia" w:ascii="宋体" w:hAnsi="宋体"/>
        </w:rPr>
        <w:t>图8：预装式变电站（400kVA~630kVA）土建接口及安装位置</w:t>
      </w:r>
      <w:r>
        <w:rPr>
          <w:rFonts w:hint="eastAsia"/>
        </w:rPr>
        <w:t>图</w:t>
      </w:r>
    </w:p>
    <w:p>
      <w:pPr>
        <w:jc w:val="center"/>
        <w:rPr>
          <w:rFonts w:ascii="宋体" w:hAnsi="宋体"/>
        </w:rPr>
      </w:pPr>
    </w:p>
    <w:bookmarkEnd w:id="505"/>
    <w:bookmarkEnd w:id="506"/>
    <w:bookmarkEnd w:id="519"/>
    <w:p>
      <w:pPr>
        <w:pStyle w:val="14"/>
        <w:numPr>
          <w:ilvl w:val="1"/>
          <w:numId w:val="5"/>
        </w:numPr>
        <w:spacing w:before="312" w:beforeLines="100" w:after="312" w:afterLines="100" w:line="416" w:lineRule="exact"/>
        <w:outlineLvl w:val="0"/>
        <w:rPr>
          <w:rFonts w:hAnsi="宋体"/>
        </w:rPr>
      </w:pPr>
      <w:bookmarkStart w:id="522" w:name="_Toc73037308"/>
      <w:bookmarkEnd w:id="522"/>
      <w:bookmarkStart w:id="523" w:name="_Toc78912314"/>
      <w:r>
        <w:rPr>
          <w:rFonts w:hAnsi="宋体"/>
          <w:szCs w:val="21"/>
        </w:rPr>
        <w:t>监造、运输、质量保证及其他要求</w:t>
      </w:r>
      <w:bookmarkEnd w:id="523"/>
    </w:p>
    <w:p>
      <w:pPr>
        <w:pStyle w:val="17"/>
        <w:spacing w:before="120" w:after="120"/>
        <w:ind w:left="113" w:hangingChars="54"/>
        <w:outlineLvl w:val="1"/>
        <w:rPr>
          <w:rFonts w:hAnsi="宋体"/>
        </w:rPr>
      </w:pPr>
      <w:bookmarkStart w:id="524" w:name="_Toc78912315"/>
      <w:r>
        <w:rPr>
          <w:rFonts w:hint="eastAsia" w:hAnsi="宋体"/>
        </w:rPr>
        <w:t>监造</w:t>
      </w:r>
      <w:bookmarkEnd w:id="524"/>
    </w:p>
    <w:p>
      <w:pPr>
        <w:adjustRightInd w:val="0"/>
        <w:spacing w:line="360" w:lineRule="auto"/>
        <w:ind w:firstLine="420" w:firstLineChars="200"/>
        <w:rPr>
          <w:szCs w:val="21"/>
        </w:rPr>
      </w:pPr>
      <w:r>
        <w:rPr>
          <w:rFonts w:hint="eastAsia"/>
          <w:szCs w:val="21"/>
        </w:rPr>
        <w:t>1）投标方必须在签订合同后10天之内以书面形式提供所供设备的制造进度表。按照DL/T586-1995《电力设备用户监造导则》的要求，招标方可随时进厂监造。监造和检验人员有权了解生产过程、查询质量记录和参加各种试验。</w:t>
      </w:r>
    </w:p>
    <w:p>
      <w:pPr>
        <w:adjustRightInd w:val="0"/>
        <w:spacing w:line="360" w:lineRule="auto"/>
        <w:ind w:firstLine="420" w:firstLineChars="200"/>
        <w:rPr>
          <w:szCs w:val="21"/>
        </w:rPr>
      </w:pPr>
      <w:r>
        <w:rPr>
          <w:rFonts w:hint="eastAsia"/>
          <w:szCs w:val="21"/>
        </w:rPr>
        <w:t>2）监造范围包括设备的设计、加工、制造、储运、材料采购、组装和试验等重要过程，关键部件的质量控制，进行见证、检验和审核。</w:t>
      </w:r>
    </w:p>
    <w:p>
      <w:pPr>
        <w:adjustRightInd w:val="0"/>
        <w:spacing w:line="360" w:lineRule="auto"/>
        <w:ind w:firstLine="420" w:firstLineChars="200"/>
        <w:rPr>
          <w:szCs w:val="21"/>
        </w:rPr>
      </w:pPr>
      <w:r>
        <w:rPr>
          <w:rFonts w:hint="eastAsia"/>
          <w:szCs w:val="21"/>
        </w:rPr>
        <w:t>3）运行单位的工厂监造和检验工作，不减少投标方对产品的质量责任，监造和检验人员不签署任何质量证明。</w:t>
      </w:r>
    </w:p>
    <w:p>
      <w:pPr>
        <w:adjustRightInd w:val="0"/>
        <w:spacing w:line="360" w:lineRule="auto"/>
        <w:ind w:firstLine="420" w:firstLineChars="200"/>
        <w:rPr>
          <w:szCs w:val="21"/>
        </w:rPr>
      </w:pPr>
      <w:r>
        <w:rPr>
          <w:rFonts w:hint="eastAsia"/>
          <w:szCs w:val="21"/>
        </w:rPr>
        <w:t>4）投标方应在出厂前提前至少5个工作日书面通知招标方进行出厂试验监督。</w:t>
      </w:r>
    </w:p>
    <w:p>
      <w:pPr>
        <w:pStyle w:val="17"/>
        <w:spacing w:before="120" w:after="120"/>
        <w:ind w:left="113" w:hangingChars="54"/>
        <w:outlineLvl w:val="1"/>
        <w:rPr>
          <w:rFonts w:hAnsi="宋体"/>
        </w:rPr>
      </w:pPr>
      <w:bookmarkStart w:id="525" w:name="_Toc278190532"/>
      <w:bookmarkStart w:id="526" w:name="_Toc78912316"/>
      <w:bookmarkStart w:id="527" w:name="_Toc278956055"/>
      <w:bookmarkStart w:id="528" w:name="_Toc278190602"/>
      <w:bookmarkStart w:id="529" w:name="_Toc278190671"/>
      <w:r>
        <w:rPr>
          <w:rFonts w:hint="eastAsia" w:hAnsi="宋体"/>
        </w:rPr>
        <w:t>运输</w:t>
      </w:r>
      <w:bookmarkEnd w:id="525"/>
      <w:bookmarkEnd w:id="526"/>
      <w:bookmarkEnd w:id="527"/>
      <w:bookmarkEnd w:id="528"/>
      <w:bookmarkEnd w:id="529"/>
    </w:p>
    <w:p>
      <w:pPr>
        <w:adjustRightInd w:val="0"/>
        <w:spacing w:line="360" w:lineRule="auto"/>
        <w:ind w:firstLine="420" w:firstLineChars="200"/>
        <w:rPr>
          <w:szCs w:val="21"/>
        </w:rPr>
      </w:pPr>
      <w:r>
        <w:rPr>
          <w:szCs w:val="21"/>
        </w:rPr>
        <w:t>1</w:t>
      </w:r>
      <w:r>
        <w:rPr>
          <w:rFonts w:hint="eastAsia"/>
          <w:szCs w:val="21"/>
        </w:rPr>
        <w:t>）投标方负责将设备安全运抵需方指定的地点。设备从生产厂家至需方指定地点的运输和装卸全部由投标方完成。装运货物时，需考虑便于现场卸货、搬运和安装。</w:t>
      </w:r>
    </w:p>
    <w:p>
      <w:pPr>
        <w:adjustRightInd w:val="0"/>
        <w:spacing w:line="360" w:lineRule="auto"/>
        <w:ind w:firstLine="420" w:firstLineChars="200"/>
        <w:rPr>
          <w:szCs w:val="21"/>
        </w:rPr>
      </w:pPr>
      <w:r>
        <w:rPr>
          <w:szCs w:val="21"/>
        </w:rPr>
        <w:t>2</w:t>
      </w:r>
      <w:r>
        <w:rPr>
          <w:rFonts w:hint="eastAsia"/>
          <w:szCs w:val="21"/>
        </w:rPr>
        <w:t>）预装式变电站运输方式：由买、卖双方协商确定。</w:t>
      </w:r>
    </w:p>
    <w:p>
      <w:pPr>
        <w:adjustRightInd w:val="0"/>
        <w:spacing w:line="360" w:lineRule="auto"/>
        <w:ind w:firstLine="420" w:firstLineChars="200"/>
        <w:rPr>
          <w:szCs w:val="21"/>
        </w:rPr>
      </w:pPr>
      <w:r>
        <w:rPr>
          <w:szCs w:val="21"/>
        </w:rPr>
        <w:t>3</w:t>
      </w:r>
      <w:r>
        <w:rPr>
          <w:rFonts w:hint="eastAsia"/>
          <w:szCs w:val="21"/>
        </w:rPr>
        <w:t>）在设备启运时，投标应以最快捷的方式通知需方以下内容</w:t>
      </w:r>
      <w:r>
        <w:rPr>
          <w:szCs w:val="21"/>
        </w:rPr>
        <w:t>:</w:t>
      </w:r>
    </w:p>
    <w:p>
      <w:pPr>
        <w:adjustRightInd w:val="0"/>
        <w:spacing w:line="360" w:lineRule="auto"/>
        <w:ind w:firstLine="420" w:firstLineChars="200"/>
        <w:rPr>
          <w:szCs w:val="21"/>
        </w:rPr>
      </w:pPr>
      <w:r>
        <w:rPr>
          <w:szCs w:val="21"/>
        </w:rPr>
        <w:t>a</w:t>
      </w:r>
      <w:r>
        <w:rPr>
          <w:rFonts w:hint="eastAsia"/>
          <w:szCs w:val="21"/>
        </w:rPr>
        <w:t>）设备名称；</w:t>
      </w:r>
    </w:p>
    <w:p>
      <w:pPr>
        <w:adjustRightInd w:val="0"/>
        <w:spacing w:line="360" w:lineRule="auto"/>
        <w:ind w:firstLine="420" w:firstLineChars="200"/>
        <w:rPr>
          <w:szCs w:val="21"/>
        </w:rPr>
      </w:pPr>
      <w:r>
        <w:rPr>
          <w:szCs w:val="21"/>
        </w:rPr>
        <w:t>b</w:t>
      </w:r>
      <w:r>
        <w:rPr>
          <w:rFonts w:hint="eastAsia"/>
          <w:szCs w:val="21"/>
        </w:rPr>
        <w:t>）件数、件号、重量；</w:t>
      </w:r>
    </w:p>
    <w:p>
      <w:pPr>
        <w:adjustRightInd w:val="0"/>
        <w:spacing w:line="360" w:lineRule="auto"/>
        <w:ind w:firstLine="420" w:firstLineChars="200"/>
        <w:rPr>
          <w:szCs w:val="21"/>
        </w:rPr>
      </w:pPr>
      <w:r>
        <w:rPr>
          <w:szCs w:val="21"/>
        </w:rPr>
        <w:t>c</w:t>
      </w:r>
      <w:r>
        <w:rPr>
          <w:rFonts w:hint="eastAsia"/>
          <w:szCs w:val="21"/>
        </w:rPr>
        <w:t>）合同号；</w:t>
      </w:r>
    </w:p>
    <w:p>
      <w:pPr>
        <w:adjustRightInd w:val="0"/>
        <w:spacing w:line="360" w:lineRule="auto"/>
        <w:ind w:firstLine="420" w:firstLineChars="200"/>
        <w:rPr>
          <w:szCs w:val="21"/>
        </w:rPr>
      </w:pPr>
      <w:r>
        <w:rPr>
          <w:szCs w:val="21"/>
        </w:rPr>
        <w:t>d</w:t>
      </w:r>
      <w:r>
        <w:rPr>
          <w:rFonts w:hint="eastAsia"/>
          <w:szCs w:val="21"/>
        </w:rPr>
        <w:t>）货运单号；</w:t>
      </w:r>
    </w:p>
    <w:p>
      <w:pPr>
        <w:adjustRightInd w:val="0"/>
        <w:spacing w:line="360" w:lineRule="auto"/>
        <w:ind w:firstLine="420" w:firstLineChars="200"/>
        <w:rPr>
          <w:szCs w:val="21"/>
        </w:rPr>
      </w:pPr>
      <w:r>
        <w:rPr>
          <w:szCs w:val="21"/>
        </w:rPr>
        <w:t>e</w:t>
      </w:r>
      <w:r>
        <w:rPr>
          <w:rFonts w:hint="eastAsia"/>
          <w:szCs w:val="21"/>
        </w:rPr>
        <w:t>）达到港（站）；</w:t>
      </w:r>
    </w:p>
    <w:p>
      <w:pPr>
        <w:adjustRightInd w:val="0"/>
        <w:spacing w:line="360" w:lineRule="auto"/>
        <w:ind w:firstLine="420" w:firstLineChars="200"/>
        <w:rPr>
          <w:szCs w:val="21"/>
        </w:rPr>
      </w:pPr>
      <w:r>
        <w:rPr>
          <w:szCs w:val="21"/>
        </w:rPr>
        <w:t>f</w:t>
      </w:r>
      <w:r>
        <w:rPr>
          <w:rFonts w:hint="eastAsia"/>
          <w:szCs w:val="21"/>
        </w:rPr>
        <w:t>）设备发出日期。</w:t>
      </w:r>
    </w:p>
    <w:p>
      <w:pPr>
        <w:pStyle w:val="17"/>
        <w:spacing w:before="120" w:after="120"/>
        <w:ind w:left="113" w:hangingChars="54"/>
        <w:outlineLvl w:val="1"/>
        <w:rPr>
          <w:rFonts w:hAnsi="宋体"/>
        </w:rPr>
      </w:pPr>
      <w:bookmarkStart w:id="530" w:name="_Toc408406120"/>
      <w:bookmarkStart w:id="531" w:name="_Toc282433763"/>
      <w:bookmarkStart w:id="532" w:name="_Toc282993367"/>
      <w:bookmarkStart w:id="533" w:name="_Toc78912317"/>
      <w:bookmarkStart w:id="534" w:name="_Toc398755365"/>
      <w:bookmarkStart w:id="535" w:name="_Toc292025369"/>
      <w:r>
        <w:rPr>
          <w:rFonts w:hAnsi="宋体"/>
        </w:rPr>
        <w:t>质量保证</w:t>
      </w:r>
      <w:bookmarkEnd w:id="530"/>
      <w:bookmarkEnd w:id="531"/>
      <w:bookmarkEnd w:id="532"/>
      <w:bookmarkEnd w:id="533"/>
      <w:bookmarkEnd w:id="534"/>
      <w:bookmarkEnd w:id="535"/>
    </w:p>
    <w:p>
      <w:pPr>
        <w:adjustRightInd w:val="0"/>
        <w:spacing w:line="360" w:lineRule="auto"/>
        <w:ind w:firstLine="420" w:firstLineChars="200"/>
        <w:rPr>
          <w:szCs w:val="21"/>
        </w:rPr>
      </w:pPr>
      <w:r>
        <w:rPr>
          <w:szCs w:val="21"/>
        </w:rPr>
        <w:t>1</w:t>
      </w:r>
      <w:r>
        <w:rPr>
          <w:rFonts w:hint="eastAsia"/>
          <w:szCs w:val="21"/>
        </w:rPr>
        <w:t>）投标方应按使用说明书进行安装和维护，确保设备在规定的使用条件下安全运行，保证设备使用寿命应不少于</w:t>
      </w:r>
      <w:r>
        <w:rPr>
          <w:szCs w:val="21"/>
        </w:rPr>
        <w:t>30</w:t>
      </w:r>
      <w:r>
        <w:rPr>
          <w:rFonts w:hint="eastAsia"/>
          <w:szCs w:val="21"/>
        </w:rPr>
        <w:t>年；</w:t>
      </w:r>
    </w:p>
    <w:p>
      <w:pPr>
        <w:adjustRightInd w:val="0"/>
        <w:spacing w:line="360" w:lineRule="auto"/>
        <w:ind w:firstLine="420" w:firstLineChars="200"/>
        <w:rPr>
          <w:szCs w:val="21"/>
        </w:rPr>
      </w:pPr>
      <w:r>
        <w:rPr>
          <w:szCs w:val="21"/>
        </w:rPr>
        <w:t>2</w:t>
      </w:r>
      <w:r>
        <w:rPr>
          <w:rFonts w:hint="eastAsia"/>
          <w:szCs w:val="21"/>
        </w:rPr>
        <w:t>）投标方应对设备提供自到货日起不少于六年的</w:t>
      </w:r>
      <w:r>
        <w:rPr>
          <w:szCs w:val="21"/>
        </w:rPr>
        <w:t>“</w:t>
      </w:r>
      <w:r>
        <w:rPr>
          <w:rFonts w:hint="eastAsia"/>
          <w:szCs w:val="21"/>
        </w:rPr>
        <w:t>三包</w:t>
      </w:r>
      <w:r>
        <w:rPr>
          <w:szCs w:val="21"/>
        </w:rPr>
        <w:t>”</w:t>
      </w:r>
      <w:r>
        <w:rPr>
          <w:rFonts w:hint="eastAsia"/>
          <w:szCs w:val="21"/>
        </w:rPr>
        <w:t>质量保证。在质保期后、设备生命周期内，投标方应保证备品备件的供应满足投标服务响应要求。质保期之后如发生产品质量原因导致的损坏，投标方应免费更换或检修；如发生非产品质量原因导致的损坏，投标方应及时提供维修部件，并按最近的投标价提供。</w:t>
      </w:r>
    </w:p>
    <w:p>
      <w:pPr>
        <w:adjustRightInd w:val="0"/>
        <w:spacing w:line="360" w:lineRule="auto"/>
        <w:ind w:firstLine="420" w:firstLineChars="200"/>
        <w:rPr>
          <w:szCs w:val="21"/>
        </w:rPr>
      </w:pPr>
      <w:r>
        <w:rPr>
          <w:szCs w:val="21"/>
        </w:rPr>
        <w:t>3</w:t>
      </w:r>
      <w:r>
        <w:rPr>
          <w:rFonts w:hint="eastAsia"/>
          <w:szCs w:val="21"/>
        </w:rPr>
        <w:t>）投标方保证其提供的产品是全新的、未使用过的，所有合同货物本体、附件及螺栓、螺帽、等部件必须防腐防锈，质保期内不得出现锈蚀、开裂，否则应无条件更换；质保期后但在投运</w:t>
      </w:r>
      <w:r>
        <w:rPr>
          <w:szCs w:val="21"/>
        </w:rPr>
        <w:t>30</w:t>
      </w:r>
      <w:r>
        <w:rPr>
          <w:rFonts w:hint="eastAsia"/>
          <w:szCs w:val="21"/>
        </w:rPr>
        <w:t>年内，出现喷漆脱落、锈蚀等任何影响合同货物外观的损坏，投标方应免费处理。投标方保证其产品在正确安装、正常操作情况下，运行安全、可靠。在合同货物质量保证期内，如发现投标方提供的合同货物有缺陷，不符合合同约定时，招标方可向投标方提出索赔；</w:t>
      </w:r>
    </w:p>
    <w:p>
      <w:pPr>
        <w:adjustRightInd w:val="0"/>
        <w:spacing w:line="360" w:lineRule="auto"/>
        <w:ind w:firstLine="420" w:firstLineChars="200"/>
        <w:rPr>
          <w:szCs w:val="21"/>
        </w:rPr>
      </w:pPr>
      <w:r>
        <w:rPr>
          <w:szCs w:val="21"/>
        </w:rPr>
        <w:t>4</w:t>
      </w:r>
      <w:r>
        <w:rPr>
          <w:rFonts w:hint="eastAsia"/>
          <w:szCs w:val="21"/>
        </w:rPr>
        <w:t>）订购的新型产品除应满足本标准外，投标方还应提供该产品的鉴定证书；</w:t>
      </w:r>
    </w:p>
    <w:p>
      <w:pPr>
        <w:adjustRightInd w:val="0"/>
        <w:spacing w:line="360" w:lineRule="auto"/>
        <w:ind w:firstLine="420" w:firstLineChars="200"/>
        <w:rPr>
          <w:szCs w:val="21"/>
        </w:rPr>
      </w:pPr>
      <w:r>
        <w:rPr>
          <w:szCs w:val="21"/>
        </w:rPr>
        <w:t>5</w:t>
      </w:r>
      <w:r>
        <w:rPr>
          <w:rFonts w:hint="eastAsia"/>
          <w:szCs w:val="21"/>
        </w:rPr>
        <w:t>）投标方应保证制造过程中的所有工艺、材料试验等（包括投标方的外购件在内）均应符合本标准的规定。若招标方根据运行经验指定投标方提供某种外购零部件，投标方应积极配合；</w:t>
      </w:r>
    </w:p>
    <w:p>
      <w:pPr>
        <w:adjustRightInd w:val="0"/>
        <w:spacing w:line="360" w:lineRule="auto"/>
        <w:ind w:firstLine="420" w:firstLineChars="200"/>
        <w:rPr>
          <w:szCs w:val="21"/>
        </w:rPr>
      </w:pPr>
      <w:r>
        <w:rPr>
          <w:szCs w:val="21"/>
        </w:rPr>
        <w:t>6</w:t>
      </w:r>
      <w:r>
        <w:rPr>
          <w:rFonts w:hint="eastAsia"/>
          <w:szCs w:val="21"/>
        </w:rPr>
        <w:t>）附属及配套设备必须满足有关行业标准的要求，并提供试验报告和产品合格证；</w:t>
      </w:r>
    </w:p>
    <w:p>
      <w:pPr>
        <w:adjustRightInd w:val="0"/>
        <w:spacing w:line="360" w:lineRule="auto"/>
        <w:ind w:firstLine="420" w:firstLineChars="200"/>
        <w:rPr>
          <w:szCs w:val="21"/>
        </w:rPr>
      </w:pPr>
      <w:r>
        <w:rPr>
          <w:szCs w:val="21"/>
        </w:rPr>
        <w:t>7</w:t>
      </w:r>
      <w:r>
        <w:rPr>
          <w:rFonts w:hint="eastAsia"/>
          <w:szCs w:val="21"/>
        </w:rPr>
        <w:t>）投标方应有遵守本标准中各条款和工作项目的</w:t>
      </w:r>
      <w:r>
        <w:rPr>
          <w:szCs w:val="21"/>
        </w:rPr>
        <w:t>ISO9000-GB/T19000</w:t>
      </w:r>
      <w:r>
        <w:rPr>
          <w:rFonts w:hint="eastAsia"/>
          <w:szCs w:val="21"/>
        </w:rPr>
        <w:t>质量保证体系，该质量保证体系已经通过国家认证并在正常运转。</w:t>
      </w:r>
    </w:p>
    <w:p>
      <w:pPr>
        <w:pStyle w:val="17"/>
        <w:spacing w:before="120" w:after="120"/>
        <w:ind w:left="113" w:hangingChars="54"/>
        <w:outlineLvl w:val="1"/>
        <w:rPr>
          <w:rFonts w:hAnsi="宋体"/>
        </w:rPr>
      </w:pPr>
      <w:bookmarkStart w:id="536" w:name="_Toc78912318"/>
      <w:r>
        <w:rPr>
          <w:rFonts w:hint="eastAsia" w:hAnsi="宋体"/>
        </w:rPr>
        <w:t>其他要求</w:t>
      </w:r>
      <w:bookmarkEnd w:id="536"/>
    </w:p>
    <w:p>
      <w:pPr>
        <w:pStyle w:val="18"/>
        <w:spacing w:before="120" w:after="120"/>
        <w:ind w:left="2325" w:hanging="2324" w:hangingChars="1107"/>
        <w:outlineLvl w:val="2"/>
        <w:rPr>
          <w:rFonts w:hAnsi="黑体"/>
        </w:rPr>
      </w:pPr>
      <w:bookmarkStart w:id="537" w:name="_Toc78912319"/>
      <w:r>
        <w:rPr>
          <w:rFonts w:hint="eastAsia" w:hAnsi="宋体"/>
        </w:rPr>
        <w:t>起吊</w:t>
      </w:r>
      <w:bookmarkEnd w:id="537"/>
    </w:p>
    <w:p>
      <w:pPr>
        <w:adjustRightInd w:val="0"/>
        <w:spacing w:line="360" w:lineRule="auto"/>
        <w:ind w:firstLine="420" w:firstLineChars="200"/>
        <w:rPr>
          <w:szCs w:val="21"/>
        </w:rPr>
      </w:pPr>
      <w:r>
        <w:rPr>
          <w:szCs w:val="21"/>
        </w:rPr>
        <w:t>1</w:t>
      </w:r>
      <w:r>
        <w:rPr>
          <w:rFonts w:hint="eastAsia"/>
          <w:szCs w:val="21"/>
        </w:rPr>
        <w:t>）预装式变电站应有运输及起吊标志，标志内容应符合相关标准规定。</w:t>
      </w:r>
    </w:p>
    <w:p>
      <w:pPr>
        <w:adjustRightInd w:val="0"/>
        <w:spacing w:line="360" w:lineRule="auto"/>
        <w:ind w:firstLine="420" w:firstLineChars="200"/>
        <w:rPr>
          <w:szCs w:val="21"/>
        </w:rPr>
      </w:pPr>
      <w:r>
        <w:rPr>
          <w:szCs w:val="21"/>
        </w:rPr>
        <w:t>2</w:t>
      </w:r>
      <w:r>
        <w:rPr>
          <w:rFonts w:hint="eastAsia"/>
          <w:szCs w:val="21"/>
        </w:rPr>
        <w:t>）预装式变电站需要采用底座整体起吊时，须具有承受预装式变电站总重的起吊装置；起吊时应保证整个预装式变电站在垂直方向受力均匀。</w:t>
      </w:r>
    </w:p>
    <w:p>
      <w:pPr>
        <w:pStyle w:val="18"/>
        <w:spacing w:before="120" w:after="120"/>
        <w:ind w:left="2325" w:hanging="2324" w:hangingChars="1107"/>
        <w:outlineLvl w:val="2"/>
        <w:rPr>
          <w:rFonts w:hAnsi="宋体"/>
        </w:rPr>
      </w:pPr>
      <w:bookmarkStart w:id="538" w:name="_Toc78912320"/>
      <w:r>
        <w:rPr>
          <w:rFonts w:hint="eastAsia" w:hAnsi="宋体"/>
        </w:rPr>
        <w:t>包装</w:t>
      </w:r>
      <w:bookmarkEnd w:id="538"/>
    </w:p>
    <w:p>
      <w:pPr>
        <w:adjustRightInd w:val="0"/>
        <w:spacing w:line="360" w:lineRule="auto"/>
        <w:ind w:firstLine="420" w:firstLineChars="200"/>
        <w:rPr>
          <w:szCs w:val="21"/>
        </w:rPr>
      </w:pPr>
      <w:r>
        <w:rPr>
          <w:szCs w:val="21"/>
        </w:rPr>
        <w:t>1</w:t>
      </w:r>
      <w:r>
        <w:rPr>
          <w:rFonts w:hint="eastAsia"/>
          <w:szCs w:val="21"/>
        </w:rPr>
        <w:t>）投标方须根据国家标准和需方的实际运输条件，将预装式变电站和所有零部件进行包装好，并将全套安装使用维护说明书、产品合格证明书、产品外形出厂图、运输尺寸图、产品拆卸件一览表、装箱单、铭牌图或铭牌标志图以及备品备件一览表等应妥善包装防止受潮。</w:t>
      </w:r>
    </w:p>
    <w:p>
      <w:pPr>
        <w:adjustRightInd w:val="0"/>
        <w:spacing w:line="360" w:lineRule="auto"/>
        <w:ind w:firstLine="420" w:firstLineChars="200"/>
        <w:rPr>
          <w:szCs w:val="21"/>
        </w:rPr>
      </w:pPr>
      <w:r>
        <w:rPr>
          <w:szCs w:val="21"/>
        </w:rPr>
        <w:t>2</w:t>
      </w:r>
      <w:r>
        <w:rPr>
          <w:rFonts w:hint="eastAsia"/>
          <w:szCs w:val="21"/>
        </w:rPr>
        <w:t>）大件和重件需在运输文件中附上尺寸图和重量</w:t>
      </w:r>
      <w:r>
        <w:rPr>
          <w:szCs w:val="21"/>
        </w:rPr>
        <w:t>,</w:t>
      </w:r>
      <w:r>
        <w:rPr>
          <w:rFonts w:hint="eastAsia"/>
          <w:szCs w:val="21"/>
        </w:rPr>
        <w:t>并提供起吊图纸和说明，包装箱上应有起吊标志。</w:t>
      </w:r>
    </w:p>
    <w:p>
      <w:pPr>
        <w:adjustRightInd w:val="0"/>
        <w:spacing w:line="360" w:lineRule="auto"/>
        <w:ind w:firstLine="420" w:firstLineChars="200"/>
        <w:rPr>
          <w:szCs w:val="21"/>
        </w:rPr>
      </w:pPr>
      <w:r>
        <w:rPr>
          <w:szCs w:val="21"/>
        </w:rPr>
        <w:t>3</w:t>
      </w:r>
      <w:r>
        <w:rPr>
          <w:rFonts w:hint="eastAsia"/>
          <w:szCs w:val="21"/>
        </w:rPr>
        <w:t>）所需的备品备件及专用工具与仪器仪表应装在箱内，在箱上注明</w:t>
      </w:r>
      <w:r>
        <w:rPr>
          <w:szCs w:val="21"/>
        </w:rPr>
        <w:t>”</w:t>
      </w:r>
      <w:r>
        <w:rPr>
          <w:rFonts w:hint="eastAsia"/>
          <w:szCs w:val="21"/>
        </w:rPr>
        <w:t>专用工具</w:t>
      </w:r>
      <w:r>
        <w:rPr>
          <w:szCs w:val="21"/>
        </w:rPr>
        <w:t>”</w:t>
      </w:r>
      <w:r>
        <w:rPr>
          <w:rFonts w:hint="eastAsia"/>
          <w:szCs w:val="21"/>
        </w:rPr>
        <w:t>、</w:t>
      </w:r>
      <w:r>
        <w:rPr>
          <w:szCs w:val="21"/>
        </w:rPr>
        <w:t>”</w:t>
      </w:r>
      <w:r>
        <w:rPr>
          <w:rFonts w:hint="eastAsia"/>
          <w:szCs w:val="21"/>
        </w:rPr>
        <w:t>仪器仪表</w:t>
      </w:r>
      <w:r>
        <w:rPr>
          <w:szCs w:val="21"/>
        </w:rPr>
        <w:t>”</w:t>
      </w:r>
      <w:r>
        <w:rPr>
          <w:rFonts w:hint="eastAsia"/>
          <w:szCs w:val="21"/>
        </w:rPr>
        <w:t>，以与本体相区别；并标明“防尘</w:t>
      </w:r>
      <w:r>
        <w:rPr>
          <w:szCs w:val="21"/>
        </w:rPr>
        <w:t>”</w:t>
      </w:r>
      <w:r>
        <w:rPr>
          <w:rFonts w:hint="eastAsia"/>
          <w:szCs w:val="21"/>
        </w:rPr>
        <w:t>、“防潮”、“防止损坏”、“易碎”、“向上”、“勿倒”等字样，同主设备一并发运。</w:t>
      </w:r>
    </w:p>
    <w:p>
      <w:pPr>
        <w:adjustRightInd w:val="0"/>
        <w:spacing w:line="360" w:lineRule="auto"/>
        <w:ind w:firstLine="420" w:firstLineChars="200"/>
        <w:rPr>
          <w:szCs w:val="21"/>
        </w:rPr>
      </w:pPr>
      <w:r>
        <w:rPr>
          <w:szCs w:val="21"/>
        </w:rPr>
        <w:t>4</w:t>
      </w:r>
      <w:r>
        <w:rPr>
          <w:rFonts w:hint="eastAsia"/>
          <w:szCs w:val="21"/>
        </w:rPr>
        <w:t>）包装箱应连续编号，不能有重号。包装箱外壁的文字与标志应耐受风吹日晒，不可因雨水冲刷而模糊不清，其内容应包括</w:t>
      </w:r>
      <w:r>
        <w:rPr>
          <w:szCs w:val="21"/>
        </w:rPr>
        <w:t>:</w:t>
      </w:r>
    </w:p>
    <w:p>
      <w:pPr>
        <w:adjustRightInd w:val="0"/>
        <w:spacing w:line="360" w:lineRule="auto"/>
        <w:ind w:firstLine="420" w:firstLineChars="200"/>
        <w:rPr>
          <w:szCs w:val="21"/>
        </w:rPr>
      </w:pPr>
      <w:r>
        <w:rPr>
          <w:szCs w:val="21"/>
        </w:rPr>
        <w:t>a</w:t>
      </w:r>
      <w:r>
        <w:rPr>
          <w:rFonts w:hint="eastAsia"/>
          <w:szCs w:val="21"/>
        </w:rPr>
        <w:t>）合同号；</w:t>
      </w:r>
    </w:p>
    <w:p>
      <w:pPr>
        <w:adjustRightInd w:val="0"/>
        <w:spacing w:line="360" w:lineRule="auto"/>
        <w:ind w:firstLine="420" w:firstLineChars="200"/>
        <w:rPr>
          <w:szCs w:val="21"/>
        </w:rPr>
      </w:pPr>
      <w:r>
        <w:rPr>
          <w:szCs w:val="21"/>
        </w:rPr>
        <w:t>b</w:t>
      </w:r>
      <w:r>
        <w:rPr>
          <w:rFonts w:hint="eastAsia"/>
          <w:szCs w:val="21"/>
        </w:rPr>
        <w:t>）收货单位名称及地址；</w:t>
      </w:r>
    </w:p>
    <w:p>
      <w:pPr>
        <w:adjustRightInd w:val="0"/>
        <w:spacing w:line="360" w:lineRule="auto"/>
        <w:ind w:firstLine="420" w:firstLineChars="200"/>
        <w:rPr>
          <w:szCs w:val="21"/>
        </w:rPr>
      </w:pPr>
      <w:r>
        <w:rPr>
          <w:szCs w:val="21"/>
        </w:rPr>
        <w:t>c</w:t>
      </w:r>
      <w:r>
        <w:rPr>
          <w:rFonts w:hint="eastAsia"/>
          <w:szCs w:val="21"/>
        </w:rPr>
        <w:t>）预装式变电站名称及型号；</w:t>
      </w:r>
    </w:p>
    <w:p>
      <w:pPr>
        <w:adjustRightInd w:val="0"/>
        <w:spacing w:line="360" w:lineRule="auto"/>
        <w:ind w:firstLine="420" w:firstLineChars="200"/>
        <w:rPr>
          <w:szCs w:val="21"/>
        </w:rPr>
      </w:pPr>
      <w:r>
        <w:rPr>
          <w:szCs w:val="21"/>
        </w:rPr>
        <w:t>d</w:t>
      </w:r>
      <w:r>
        <w:rPr>
          <w:rFonts w:hint="eastAsia"/>
          <w:szCs w:val="21"/>
        </w:rPr>
        <w:t>）毛重和预装式变电站总重；</w:t>
      </w:r>
    </w:p>
    <w:p>
      <w:pPr>
        <w:adjustRightInd w:val="0"/>
        <w:spacing w:line="360" w:lineRule="auto"/>
        <w:ind w:firstLine="420" w:firstLineChars="200"/>
        <w:rPr>
          <w:szCs w:val="21"/>
        </w:rPr>
      </w:pPr>
      <w:r>
        <w:rPr>
          <w:szCs w:val="21"/>
        </w:rPr>
        <w:t>e</w:t>
      </w:r>
      <w:r>
        <w:rPr>
          <w:rFonts w:hint="eastAsia"/>
          <w:szCs w:val="21"/>
        </w:rPr>
        <w:t>）制造厂名称；</w:t>
      </w:r>
    </w:p>
    <w:p>
      <w:pPr>
        <w:adjustRightInd w:val="0"/>
        <w:spacing w:line="360" w:lineRule="auto"/>
        <w:ind w:firstLine="420" w:firstLineChars="200"/>
        <w:rPr>
          <w:szCs w:val="21"/>
        </w:rPr>
      </w:pPr>
      <w:r>
        <w:rPr>
          <w:szCs w:val="21"/>
        </w:rPr>
        <w:t>f</w:t>
      </w:r>
      <w:r>
        <w:rPr>
          <w:rFonts w:hint="eastAsia"/>
          <w:szCs w:val="21"/>
        </w:rPr>
        <w:t>）包装箱储运指示标志</w:t>
      </w:r>
      <w:r>
        <w:rPr>
          <w:szCs w:val="21"/>
        </w:rPr>
        <w:t>:</w:t>
      </w:r>
      <w:r>
        <w:rPr>
          <w:rFonts w:hint="eastAsia"/>
          <w:szCs w:val="21"/>
        </w:rPr>
        <w:t>“向上”、“防潮”、“小心轻放”、“由此吊起”等字样。</w:t>
      </w:r>
    </w:p>
    <w:p>
      <w:pPr>
        <w:adjustRightInd w:val="0"/>
        <w:spacing w:line="360" w:lineRule="auto"/>
        <w:ind w:firstLine="420" w:firstLineChars="200"/>
        <w:rPr>
          <w:szCs w:val="21"/>
        </w:rPr>
      </w:pPr>
      <w:r>
        <w:rPr>
          <w:szCs w:val="21"/>
        </w:rPr>
        <w:t>5</w:t>
      </w:r>
      <w:r>
        <w:rPr>
          <w:rFonts w:hint="eastAsia"/>
          <w:szCs w:val="21"/>
        </w:rPr>
        <w:t>）运输期间设备应完好无损。凡因包装不良而造成一切损失应由投标方自负。</w:t>
      </w:r>
    </w:p>
    <w:p>
      <w:pPr>
        <w:pStyle w:val="18"/>
        <w:spacing w:before="120" w:after="120"/>
        <w:ind w:left="2325" w:hanging="2324" w:hangingChars="1107"/>
        <w:outlineLvl w:val="2"/>
        <w:rPr>
          <w:rFonts w:hAnsi="宋体"/>
        </w:rPr>
      </w:pPr>
      <w:bookmarkStart w:id="539" w:name="_Toc78912321"/>
      <w:r>
        <w:rPr>
          <w:rFonts w:hAnsi="宋体"/>
        </w:rPr>
        <w:t>安装</w:t>
      </w:r>
      <w:bookmarkEnd w:id="539"/>
    </w:p>
    <w:p>
      <w:pPr>
        <w:adjustRightInd w:val="0"/>
        <w:spacing w:line="360" w:lineRule="auto"/>
        <w:ind w:firstLine="420" w:firstLineChars="200"/>
        <w:rPr>
          <w:szCs w:val="21"/>
        </w:rPr>
      </w:pPr>
      <w:r>
        <w:rPr>
          <w:rFonts w:hint="eastAsia"/>
          <w:szCs w:val="21"/>
        </w:rPr>
        <w:t>制造厂在安装和启动时应安排技术人员提供现场安装指导服务，提出技术建议，并有对运行人员提供相关培训的义务。</w:t>
      </w:r>
    </w:p>
    <w:p>
      <w:pPr>
        <w:adjustRightInd w:val="0"/>
        <w:spacing w:line="360" w:lineRule="auto"/>
        <w:ind w:firstLine="420" w:firstLineChars="200"/>
        <w:rPr>
          <w:szCs w:val="21"/>
        </w:rPr>
      </w:pPr>
      <w:r>
        <w:rPr>
          <w:rFonts w:hint="eastAsia"/>
          <w:szCs w:val="21"/>
        </w:rPr>
        <w:t>设备在现场搬运、吊装就位和安装时，应按照</w:t>
      </w:r>
      <w:r>
        <w:fldChar w:fldCharType="begin"/>
      </w:r>
      <w:r>
        <w:instrText xml:space="preserve"> HYPERLINK "http://10.150.161.32/page/tbsbrowser.cbs?urlname=tbss%3A%2F%2F2Ui9i38FjdRwKFnMrSY6UOPYnhWgHbKI2bk%2DPPFtT4HgSjHpDU0E0rQmCkLiPwADu0PodmtMzrADzrgk1GG6%2FfliLQ3tJjiNgd3cgh82qj%2F2AFD6hzWp8NRw5mDD8m2jWAJijq7l86E998VlD3Zn2p%2DIyFdyh%2DA1phBzinkHll7Qcc9tdN0rphjpsRVoXOyF3pikPToCNHSjPhMzFHvRHkOKlcCiw8Tw5S0rddc272DnivfiuIWQyx%2FEAVb9ROPnelaLiDG0uUEWn3UrgboZFbxj85G78Sd%2FjfqgFLNDHNiVTbC%2Db7WBYY442cmxHR7I" \t "_blank" </w:instrText>
      </w:r>
      <w:r>
        <w:fldChar w:fldCharType="separate"/>
      </w:r>
      <w:r>
        <w:rPr>
          <w:szCs w:val="21"/>
        </w:rPr>
        <w:t>GB 26164.1</w:t>
      </w:r>
      <w:r>
        <w:rPr>
          <w:szCs w:val="21"/>
        </w:rPr>
        <w:fldChar w:fldCharType="end"/>
      </w:r>
      <w:r>
        <w:rPr>
          <w:rFonts w:hint="eastAsia"/>
          <w:szCs w:val="21"/>
        </w:rPr>
        <w:t>《电业安全工作规程</w:t>
      </w:r>
      <w:r>
        <w:rPr>
          <w:szCs w:val="21"/>
        </w:rPr>
        <w:t xml:space="preserve"> </w:t>
      </w:r>
      <w:r>
        <w:rPr>
          <w:rFonts w:hint="eastAsia"/>
          <w:szCs w:val="21"/>
        </w:rPr>
        <w:t>第</w:t>
      </w:r>
      <w:r>
        <w:rPr>
          <w:szCs w:val="21"/>
        </w:rPr>
        <w:t>1</w:t>
      </w:r>
      <w:r>
        <w:rPr>
          <w:rFonts w:hint="eastAsia"/>
          <w:szCs w:val="21"/>
        </w:rPr>
        <w:t>部分：热力和机械》的要求进行。</w:t>
      </w:r>
    </w:p>
    <w:p>
      <w:pPr>
        <w:adjustRightInd w:val="0"/>
        <w:spacing w:line="360" w:lineRule="auto"/>
        <w:ind w:firstLine="420" w:firstLineChars="200"/>
        <w:rPr>
          <w:szCs w:val="21"/>
        </w:rPr>
      </w:pPr>
    </w:p>
    <w:p>
      <w:pPr>
        <w:pStyle w:val="14"/>
        <w:adjustRightInd w:val="0"/>
        <w:snapToGrid w:val="0"/>
        <w:spacing w:beforeLines="0" w:afterLines="0" w:line="360" w:lineRule="auto"/>
        <w:jc w:val="center"/>
        <w:outlineLvl w:val="0"/>
        <w:rPr>
          <w:rFonts w:hAnsi="宋体"/>
        </w:rPr>
      </w:pPr>
      <w:r>
        <w:rPr>
          <w:rFonts w:ascii="宋体" w:hAnsi="宋体" w:eastAsia="宋体"/>
        </w:rPr>
        <w:br w:type="page"/>
      </w:r>
      <w:bookmarkStart w:id="540" w:name="_Toc78912322"/>
      <w:bookmarkStart w:id="541" w:name="_Toc419746490"/>
      <w:r>
        <w:rPr>
          <w:rFonts w:hint="eastAsia" w:hAnsi="宋体"/>
        </w:rPr>
        <w:t>附录A 铭牌及标示牌示意图</w:t>
      </w:r>
      <w:bookmarkEnd w:id="540"/>
      <w:bookmarkEnd w:id="541"/>
    </w:p>
    <w:p>
      <w:pPr>
        <w:pStyle w:val="14"/>
        <w:adjustRightInd w:val="0"/>
        <w:snapToGrid w:val="0"/>
        <w:spacing w:beforeLines="0" w:afterLines="0" w:line="360" w:lineRule="auto"/>
        <w:jc w:val="center"/>
        <w:outlineLvl w:val="0"/>
        <w:rPr>
          <w:rFonts w:hAnsi="宋体"/>
        </w:rPr>
      </w:pPr>
      <w:r>
        <w:rPr>
          <w:rFonts w:hint="eastAsia" w:hAnsi="宋体"/>
        </w:rPr>
        <w:t>（资料性目录）</w:t>
      </w:r>
    </w:p>
    <w:p>
      <w:pPr>
        <w:jc w:val="center"/>
      </w:pPr>
      <w:r>
        <w:drawing>
          <wp:inline distT="0" distB="0" distL="114300" distR="114300">
            <wp:extent cx="5290820" cy="3215640"/>
            <wp:effectExtent l="0" t="0" r="1270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9"/>
                    <a:stretch>
                      <a:fillRect/>
                    </a:stretch>
                  </pic:blipFill>
                  <pic:spPr>
                    <a:xfrm>
                      <a:off x="0" y="0"/>
                      <a:ext cx="5290820" cy="3215640"/>
                    </a:xfrm>
                    <a:prstGeom prst="rect">
                      <a:avLst/>
                    </a:prstGeom>
                    <a:noFill/>
                    <a:ln>
                      <a:noFill/>
                    </a:ln>
                  </pic:spPr>
                </pic:pic>
              </a:graphicData>
            </a:graphic>
          </wp:inline>
        </w:drawing>
      </w:r>
    </w:p>
    <w:p>
      <w:pPr>
        <w:pStyle w:val="19"/>
      </w:pPr>
      <w:r>
        <w:rPr>
          <w:rFonts w:hint="eastAsia"/>
        </w:rPr>
        <w:t>图A</w:t>
      </w:r>
      <w:r>
        <w:t xml:space="preserve">.1 </w:t>
      </w:r>
      <w:r>
        <w:rPr>
          <w:rFonts w:hint="eastAsia"/>
        </w:rPr>
        <w:t>铭牌示意图</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注：南网资产标识区域应至少预留</w:t>
      </w:r>
      <w:r>
        <w:rPr>
          <w:rFonts w:ascii="黑体" w:hAnsi="黑体" w:eastAsia="黑体"/>
          <w:sz w:val="18"/>
          <w:szCs w:val="18"/>
        </w:rPr>
        <w:t>30mm宽度。</w:t>
      </w:r>
    </w:p>
    <w:p>
      <w:pPr>
        <w:spacing w:line="360" w:lineRule="auto"/>
        <w:ind w:firstLine="480" w:firstLineChars="200"/>
        <w:jc w:val="center"/>
        <w:rPr>
          <w:rFonts w:ascii="黑体" w:hAnsi="黑体" w:eastAsia="黑体"/>
          <w:sz w:val="18"/>
          <w:szCs w:val="18"/>
        </w:rPr>
      </w:pPr>
      <w:r>
        <w:rPr>
          <w:rFonts w:ascii="宋体" w:hAnsi="宋体" w:cs="宋体"/>
          <w:sz w:val="24"/>
        </w:rPr>
        <w:drawing>
          <wp:inline distT="0" distB="0" distL="114300" distR="114300">
            <wp:extent cx="2171700" cy="2676525"/>
            <wp:effectExtent l="0" t="0" r="7620" b="571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20"/>
                    <a:stretch>
                      <a:fillRect/>
                    </a:stretch>
                  </pic:blipFill>
                  <pic:spPr>
                    <a:xfrm>
                      <a:off x="0" y="0"/>
                      <a:ext cx="2171700" cy="2676525"/>
                    </a:xfrm>
                    <a:prstGeom prst="rect">
                      <a:avLst/>
                    </a:prstGeom>
                    <a:noFill/>
                    <a:ln w="9525">
                      <a:noFill/>
                    </a:ln>
                  </pic:spPr>
                </pic:pic>
              </a:graphicData>
            </a:graphic>
          </wp:inline>
        </w:drawing>
      </w:r>
    </w:p>
    <w:p>
      <w:pPr>
        <w:spacing w:line="360" w:lineRule="auto"/>
        <w:ind w:firstLine="420" w:firstLineChars="200"/>
        <w:jc w:val="center"/>
        <w:rPr>
          <w:rFonts w:ascii="黑体" w:hAnsi="黑体" w:eastAsia="黑体"/>
          <w:sz w:val="18"/>
          <w:szCs w:val="18"/>
        </w:rPr>
      </w:pPr>
      <w:r>
        <w:rPr>
          <w:rFonts w:hint="eastAsia"/>
        </w:rPr>
        <w:t>图A</w:t>
      </w:r>
      <w:r>
        <w:t>.</w:t>
      </w:r>
      <w:r>
        <w:rPr>
          <w:rFonts w:hint="eastAsia"/>
        </w:rPr>
        <w:t>2</w:t>
      </w:r>
      <w:r>
        <w:t xml:space="preserve"> </w:t>
      </w:r>
      <w:r>
        <w:rPr>
          <w:rFonts w:hint="eastAsia"/>
        </w:rPr>
        <w:t>标示牌示意图</w:t>
      </w:r>
    </w:p>
    <w:p>
      <w:pPr>
        <w:spacing w:line="360" w:lineRule="auto"/>
        <w:ind w:firstLine="360" w:firstLineChars="200"/>
        <w:rPr>
          <w:rFonts w:ascii="黑体" w:hAnsi="黑体" w:eastAsia="黑体"/>
          <w:sz w:val="18"/>
          <w:szCs w:val="18"/>
        </w:rPr>
      </w:pPr>
    </w:p>
    <w:p>
      <w:pPr>
        <w:spacing w:line="360" w:lineRule="auto"/>
        <w:ind w:firstLine="360" w:firstLineChars="200"/>
        <w:rPr>
          <w:rFonts w:ascii="黑体" w:hAnsi="黑体" w:eastAsia="黑体"/>
          <w:sz w:val="18"/>
          <w:szCs w:val="18"/>
        </w:rPr>
        <w:sectPr>
          <w:pgSz w:w="11906" w:h="16838"/>
          <w:pgMar w:top="1440" w:right="1780" w:bottom="1440" w:left="1780" w:header="720" w:footer="720" w:gutter="0"/>
          <w:cols w:space="425" w:num="1"/>
          <w:docGrid w:type="lines" w:linePitch="312" w:charSpace="0"/>
        </w:sectPr>
      </w:pPr>
    </w:p>
    <w:p>
      <w:pPr>
        <w:pStyle w:val="14"/>
        <w:adjustRightInd w:val="0"/>
        <w:snapToGrid w:val="0"/>
        <w:spacing w:beforeLines="0" w:afterLines="0" w:line="360" w:lineRule="auto"/>
        <w:jc w:val="center"/>
        <w:outlineLvl w:val="0"/>
        <w:rPr>
          <w:rFonts w:hAnsi="宋体"/>
        </w:rPr>
      </w:pPr>
      <w:bookmarkStart w:id="542" w:name="_Toc78912323"/>
      <w:r>
        <w:rPr>
          <w:rFonts w:hint="eastAsia" w:hAnsi="宋体"/>
        </w:rPr>
        <w:t xml:space="preserve">附录B </w:t>
      </w:r>
      <w:bookmarkEnd w:id="542"/>
    </w:p>
    <w:p>
      <w:pPr>
        <w:pStyle w:val="14"/>
        <w:adjustRightInd w:val="0"/>
        <w:snapToGrid w:val="0"/>
        <w:spacing w:beforeLines="0" w:afterLines="0" w:line="360" w:lineRule="auto"/>
        <w:jc w:val="center"/>
        <w:outlineLvl w:val="0"/>
        <w:rPr>
          <w:rFonts w:hAnsi="宋体"/>
        </w:rPr>
      </w:pPr>
      <w:r>
        <w:rPr>
          <w:rFonts w:hint="eastAsia" w:hAnsi="宋体"/>
        </w:rPr>
        <w:t>（资料性目录）</w:t>
      </w:r>
    </w:p>
    <w:p>
      <w:pPr>
        <w:pStyle w:val="14"/>
        <w:adjustRightInd w:val="0"/>
        <w:snapToGrid w:val="0"/>
        <w:spacing w:beforeLines="0" w:afterLines="0" w:line="360" w:lineRule="auto"/>
        <w:jc w:val="center"/>
        <w:outlineLvl w:val="0"/>
        <w:rPr>
          <w:rFonts w:hAnsi="宋体"/>
        </w:rPr>
      </w:pPr>
      <w:r>
        <w:rPr>
          <w:rFonts w:hint="eastAsia" w:hAnsi="宋体"/>
        </w:rPr>
        <w:t>设备标准配置表</w:t>
      </w:r>
    </w:p>
    <w:p>
      <w:pPr>
        <w:pStyle w:val="15"/>
        <w:ind w:firstLine="420"/>
        <w:jc w:val="center"/>
      </w:pPr>
    </w:p>
    <w:tbl>
      <w:tblPr>
        <w:tblStyle w:val="9"/>
        <w:tblW w:w="8449" w:type="dxa"/>
        <w:tblInd w:w="113" w:type="dxa"/>
        <w:tblLayout w:type="fixed"/>
        <w:tblCellMar>
          <w:top w:w="0" w:type="dxa"/>
          <w:left w:w="108" w:type="dxa"/>
          <w:bottom w:w="0" w:type="dxa"/>
          <w:right w:w="108" w:type="dxa"/>
        </w:tblCellMar>
      </w:tblPr>
      <w:tblGrid>
        <w:gridCol w:w="665"/>
        <w:gridCol w:w="1173"/>
        <w:gridCol w:w="584"/>
        <w:gridCol w:w="3297"/>
        <w:gridCol w:w="613"/>
        <w:gridCol w:w="2117"/>
      </w:tblGrid>
      <w:tr>
        <w:tblPrEx>
          <w:tblCellMar>
            <w:top w:w="0" w:type="dxa"/>
            <w:left w:w="108" w:type="dxa"/>
            <w:bottom w:w="0" w:type="dxa"/>
            <w:right w:w="108" w:type="dxa"/>
          </w:tblCellMar>
        </w:tblPrEx>
        <w:trPr>
          <w:trHeight w:val="285" w:hRule="atLeast"/>
          <w:tblHeader/>
        </w:trPr>
        <w:tc>
          <w:tcPr>
            <w:tcW w:w="6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序号</w:t>
            </w:r>
          </w:p>
        </w:tc>
        <w:tc>
          <w:tcPr>
            <w:tcW w:w="117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配件名称</w:t>
            </w:r>
          </w:p>
        </w:tc>
        <w:tc>
          <w:tcPr>
            <w:tcW w:w="5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单位</w:t>
            </w:r>
          </w:p>
        </w:tc>
        <w:tc>
          <w:tcPr>
            <w:tcW w:w="329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配置要求</w:t>
            </w:r>
          </w:p>
        </w:tc>
        <w:tc>
          <w:tcPr>
            <w:tcW w:w="61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数量</w:t>
            </w:r>
          </w:p>
        </w:tc>
        <w:tc>
          <w:tcPr>
            <w:tcW w:w="211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备注</w:t>
            </w:r>
          </w:p>
        </w:tc>
      </w:tr>
      <w:tr>
        <w:tblPrEx>
          <w:tblCellMar>
            <w:top w:w="0" w:type="dxa"/>
            <w:left w:w="108" w:type="dxa"/>
            <w:bottom w:w="0" w:type="dxa"/>
            <w:right w:w="108" w:type="dxa"/>
          </w:tblCellMar>
        </w:tblPrEx>
        <w:trPr>
          <w:trHeight w:val="285"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kern w:val="0"/>
                <w:sz w:val="18"/>
                <w:szCs w:val="18"/>
              </w:rPr>
            </w:pPr>
            <w:r>
              <w:rPr>
                <w:rFonts w:hint="eastAsia" w:ascii="宋体" w:hAnsi="宋体" w:cs="宋体"/>
                <w:b/>
                <w:bCs/>
                <w:kern w:val="0"/>
                <w:sz w:val="18"/>
                <w:szCs w:val="18"/>
              </w:rPr>
              <w:t>1</w:t>
            </w:r>
          </w:p>
        </w:tc>
        <w:tc>
          <w:tcPr>
            <w:tcW w:w="7784" w:type="dxa"/>
            <w:gridSpan w:val="5"/>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cs="宋体"/>
                <w:b/>
                <w:bCs/>
                <w:kern w:val="0"/>
                <w:sz w:val="18"/>
                <w:szCs w:val="18"/>
              </w:rPr>
            </w:pPr>
            <w:r>
              <w:rPr>
                <w:rFonts w:hint="eastAsia" w:ascii="宋体" w:hAnsi="宋体" w:cs="宋体"/>
                <w:b/>
                <w:bCs/>
                <w:kern w:val="0"/>
                <w:sz w:val="18"/>
                <w:szCs w:val="18"/>
              </w:rPr>
              <w:t>环网型/终端型预装型（紧凑式）箱变（油变≤630kVA，配SF6气体绝缘单元式组合负荷开关柜）</w:t>
            </w:r>
          </w:p>
        </w:tc>
      </w:tr>
      <w:tr>
        <w:tblPrEx>
          <w:tblCellMar>
            <w:top w:w="0" w:type="dxa"/>
            <w:left w:w="108" w:type="dxa"/>
            <w:bottom w:w="0" w:type="dxa"/>
            <w:right w:w="108" w:type="dxa"/>
          </w:tblCellMar>
        </w:tblPrEx>
        <w:trPr>
          <w:trHeight w:val="465"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1.1</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变压器</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台</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ascii="宋体" w:hAnsi="宋体" w:cs="宋体"/>
                <w:kern w:val="0"/>
                <w:sz w:val="18"/>
                <w:szCs w:val="18"/>
              </w:rPr>
              <w:t>SB20-M-400kVA、630kVA（容量≤630kVA），油浸式变压器</w:t>
            </w:r>
          </w:p>
        </w:tc>
        <w:tc>
          <w:tcPr>
            <w:tcW w:w="613" w:type="dxa"/>
            <w:tcBorders>
              <w:top w:val="nil"/>
              <w:left w:val="nil"/>
              <w:bottom w:val="single" w:color="auto" w:sz="4" w:space="0"/>
              <w:right w:val="single" w:color="auto" w:sz="4" w:space="0"/>
            </w:tcBorders>
            <w:shd w:val="clear" w:color="auto" w:fill="auto"/>
            <w:vAlign w:val="center"/>
          </w:tcPr>
          <w:p>
            <w:pPr>
              <w:widowControl/>
              <w:overflowPunct w:val="0"/>
              <w:autoSpaceDE w:val="0"/>
              <w:spacing w:before="156" w:beforeLines="50" w:after="156" w:afterLines="50"/>
              <w:jc w:val="center"/>
              <w:textAlignment w:val="baseline"/>
              <w:rPr>
                <w:rFonts w:ascii="宋体" w:hAnsi="宋体" w:cs="宋体"/>
                <w:kern w:val="0"/>
                <w:sz w:val="18"/>
                <w:szCs w:val="18"/>
              </w:rPr>
            </w:pPr>
            <w:r>
              <w:rPr>
                <w:rFonts w:hint="eastAsia" w:ascii="宋体" w:hAnsi="宋体" w:cs="宋体"/>
                <w:kern w:val="0"/>
                <w:sz w:val="18"/>
                <w:szCs w:val="18"/>
              </w:rPr>
              <w:t>1</w:t>
            </w:r>
          </w:p>
        </w:tc>
        <w:tc>
          <w:tcPr>
            <w:tcW w:w="2117" w:type="dxa"/>
            <w:tcBorders>
              <w:top w:val="nil"/>
              <w:left w:val="nil"/>
              <w:bottom w:val="single" w:color="auto" w:sz="4" w:space="0"/>
              <w:right w:val="single" w:color="auto" w:sz="4" w:space="0"/>
            </w:tcBorders>
            <w:shd w:val="clear" w:color="auto" w:fill="auto"/>
            <w:vAlign w:val="center"/>
          </w:tcPr>
          <w:p>
            <w:pPr>
              <w:widowControl/>
              <w:overflowPunct w:val="0"/>
              <w:autoSpaceDE w:val="0"/>
              <w:spacing w:before="156" w:beforeLines="50" w:after="156" w:afterLines="50"/>
              <w:jc w:val="left"/>
              <w:textAlignment w:val="baseline"/>
              <w:rPr>
                <w:rFonts w:ascii="宋体" w:hAnsi="宋体" w:cs="宋体"/>
                <w:kern w:val="0"/>
                <w:sz w:val="18"/>
                <w:szCs w:val="18"/>
              </w:rPr>
            </w:pPr>
          </w:p>
        </w:tc>
      </w:tr>
      <w:tr>
        <w:tblPrEx>
          <w:tblCellMar>
            <w:top w:w="0" w:type="dxa"/>
            <w:left w:w="108" w:type="dxa"/>
            <w:bottom w:w="0" w:type="dxa"/>
            <w:right w:w="108" w:type="dxa"/>
          </w:tblCellMar>
        </w:tblPrEx>
        <w:trPr>
          <w:trHeight w:val="480"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1.2</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外壳</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台</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sz w:val="18"/>
                <w:szCs w:val="18"/>
              </w:rPr>
              <w:t>见5.</w:t>
            </w:r>
            <w:r>
              <w:rPr>
                <w:rFonts w:ascii="宋体" w:hAnsi="宋体" w:cs="宋体"/>
                <w:sz w:val="18"/>
                <w:szCs w:val="18"/>
              </w:rPr>
              <w:t>3</w:t>
            </w:r>
            <w:r>
              <w:rPr>
                <w:rFonts w:hint="eastAsia" w:ascii="宋体" w:hAnsi="宋体" w:cs="宋体"/>
                <w:sz w:val="18"/>
                <w:szCs w:val="18"/>
              </w:rPr>
              <w:t>.1</w:t>
            </w: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480"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1.3</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单元式环网</w:t>
            </w:r>
            <w:r>
              <w:rPr>
                <w:rFonts w:ascii="宋体" w:hAnsi="宋体" w:cs="宋体"/>
                <w:kern w:val="0"/>
                <w:sz w:val="18"/>
                <w:szCs w:val="18"/>
              </w:rPr>
              <w:t>/</w:t>
            </w:r>
            <w:r>
              <w:rPr>
                <w:rFonts w:hint="eastAsia" w:ascii="宋体" w:hAnsi="宋体" w:cs="宋体"/>
                <w:kern w:val="0"/>
                <w:sz w:val="18"/>
                <w:szCs w:val="18"/>
              </w:rPr>
              <w:t>终端型组合柜</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套</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sz w:val="18"/>
                <w:szCs w:val="18"/>
              </w:rPr>
            </w:pPr>
            <w:r>
              <w:rPr>
                <w:rFonts w:hint="eastAsia" w:ascii="宋体" w:hAnsi="宋体" w:cs="宋体"/>
                <w:kern w:val="0"/>
                <w:sz w:val="18"/>
                <w:szCs w:val="18"/>
              </w:rPr>
              <w:t>含开关、接地位置触点各2套、熔断触点、弹簧储能触点、气压表触点、远方/就地开关触点、DC48V、DC24V等电动操作机构），DTU（高宽深900mm*600mm*140mm）</w:t>
            </w: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单元式环网KKR柜，终端KR组合，采用SF6绝缘三工位630A负荷开关，及含带电显示器、电流互感器等配件、辅材等</w:t>
            </w:r>
          </w:p>
        </w:tc>
      </w:tr>
      <w:tr>
        <w:tblPrEx>
          <w:tblCellMar>
            <w:top w:w="0" w:type="dxa"/>
            <w:left w:w="108" w:type="dxa"/>
            <w:bottom w:w="0" w:type="dxa"/>
            <w:right w:w="108" w:type="dxa"/>
          </w:tblCellMar>
        </w:tblPrEx>
        <w:trPr>
          <w:trHeight w:val="480"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1.4</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单元式环网柜增加一回K单元组合</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套</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sz w:val="18"/>
                <w:szCs w:val="18"/>
              </w:rPr>
            </w:pPr>
            <w:r>
              <w:rPr>
                <w:rFonts w:hint="eastAsia" w:ascii="宋体" w:hAnsi="宋体" w:cs="宋体"/>
                <w:kern w:val="0"/>
                <w:sz w:val="18"/>
                <w:szCs w:val="18"/>
              </w:rPr>
              <w:t>采用SF6绝缘三工位630A负荷开关，含带电显示器、电流互感器等配件、辅材等。指增加一回的价格</w:t>
            </w: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选配</w:t>
            </w:r>
          </w:p>
        </w:tc>
      </w:tr>
      <w:tr>
        <w:tblPrEx>
          <w:tblCellMar>
            <w:top w:w="0" w:type="dxa"/>
            <w:left w:w="108" w:type="dxa"/>
            <w:bottom w:w="0" w:type="dxa"/>
            <w:right w:w="108" w:type="dxa"/>
          </w:tblCellMar>
        </w:tblPrEx>
        <w:trPr>
          <w:trHeight w:val="480"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1.5</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高压熔断器</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个</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sz w:val="18"/>
                <w:szCs w:val="18"/>
              </w:rPr>
            </w:pP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按变压器容量</w:t>
            </w:r>
          </w:p>
        </w:tc>
      </w:tr>
      <w:tr>
        <w:tblPrEx>
          <w:tblCellMar>
            <w:top w:w="0" w:type="dxa"/>
            <w:left w:w="108" w:type="dxa"/>
            <w:bottom w:w="0" w:type="dxa"/>
            <w:right w:w="108" w:type="dxa"/>
          </w:tblCellMar>
        </w:tblPrEx>
        <w:trPr>
          <w:trHeight w:val="465"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1.6</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高压避雷器</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只</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肘型，17kV/45kV，标称放电电流5kA。</w:t>
            </w: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ascii="宋体" w:hAnsi="宋体" w:cs="宋体"/>
                <w:kern w:val="0"/>
                <w:sz w:val="18"/>
                <w:szCs w:val="18"/>
              </w:rPr>
              <w:t>6</w:t>
            </w:r>
            <w:r>
              <w:rPr>
                <w:rFonts w:hint="eastAsia" w:ascii="宋体" w:hAnsi="宋体" w:cs="宋体"/>
                <w:kern w:val="0"/>
                <w:sz w:val="18"/>
                <w:szCs w:val="18"/>
              </w:rPr>
              <w:t>或</w:t>
            </w:r>
            <w:r>
              <w:rPr>
                <w:rFonts w:ascii="宋体" w:hAnsi="宋体" w:cs="宋体"/>
                <w:kern w:val="0"/>
                <w:sz w:val="18"/>
                <w:szCs w:val="18"/>
              </w:rPr>
              <w:t>3</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选配，环网型选</w:t>
            </w:r>
            <w:r>
              <w:rPr>
                <w:rFonts w:ascii="宋体" w:hAnsi="宋体" w:cs="宋体"/>
                <w:kern w:val="0"/>
                <w:sz w:val="18"/>
                <w:szCs w:val="18"/>
              </w:rPr>
              <w:t>6</w:t>
            </w:r>
            <w:r>
              <w:rPr>
                <w:rFonts w:hint="eastAsia" w:ascii="宋体" w:hAnsi="宋体" w:cs="宋体"/>
                <w:kern w:val="0"/>
                <w:sz w:val="18"/>
                <w:szCs w:val="18"/>
              </w:rPr>
              <w:t>，终端型选</w:t>
            </w:r>
            <w:r>
              <w:rPr>
                <w:rFonts w:ascii="宋体" w:hAnsi="宋体" w:cs="宋体"/>
                <w:kern w:val="0"/>
                <w:sz w:val="18"/>
                <w:szCs w:val="18"/>
              </w:rPr>
              <w:t>3</w:t>
            </w:r>
          </w:p>
        </w:tc>
      </w:tr>
      <w:tr>
        <w:tblPrEx>
          <w:tblCellMar>
            <w:top w:w="0" w:type="dxa"/>
            <w:left w:w="108" w:type="dxa"/>
            <w:bottom w:w="0" w:type="dxa"/>
            <w:right w:w="108" w:type="dxa"/>
          </w:tblCellMar>
        </w:tblPrEx>
        <w:trPr>
          <w:trHeight w:val="285"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1.7</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故障指示器（光纤型）</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套</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能反应相间及单相接地故障，带开关量输出</w:t>
            </w: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2或1</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环网型选2，终端型选1</w:t>
            </w:r>
          </w:p>
        </w:tc>
      </w:tr>
      <w:tr>
        <w:tblPrEx>
          <w:tblCellMar>
            <w:top w:w="0" w:type="dxa"/>
            <w:left w:w="108" w:type="dxa"/>
            <w:bottom w:w="0" w:type="dxa"/>
            <w:right w:w="108" w:type="dxa"/>
          </w:tblCellMar>
        </w:tblPrEx>
        <w:trPr>
          <w:trHeight w:val="285"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1.8</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低压进线柜（采用框架断路器，含电流互感器等配件及母线等辅材）</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套</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三段过流保护+接地保护，Ics=65kA，整定电流可调（Ir=0.4In～1.0In），计量CT须检定</w:t>
            </w:r>
          </w:p>
          <w:p>
            <w:pPr>
              <w:widowControl/>
              <w:jc w:val="left"/>
              <w:rPr>
                <w:rFonts w:ascii="宋体" w:hAnsi="宋体" w:cs="宋体"/>
                <w:kern w:val="0"/>
                <w:sz w:val="18"/>
                <w:szCs w:val="18"/>
              </w:rPr>
            </w:pPr>
            <w:r>
              <w:rPr>
                <w:rFonts w:hint="eastAsia" w:ascii="宋体" w:hAnsi="宋体" w:cs="宋体"/>
                <w:kern w:val="0"/>
                <w:sz w:val="18"/>
                <w:szCs w:val="18"/>
              </w:rPr>
              <w:t>400kVA配置In=</w:t>
            </w:r>
            <w:r>
              <w:rPr>
                <w:rFonts w:ascii="宋体" w:hAnsi="宋体" w:cs="宋体"/>
                <w:kern w:val="0"/>
                <w:sz w:val="18"/>
                <w:szCs w:val="18"/>
              </w:rPr>
              <w:t>800</w:t>
            </w:r>
            <w:r>
              <w:rPr>
                <w:rFonts w:hint="eastAsia" w:ascii="宋体" w:hAnsi="宋体" w:cs="宋体"/>
                <w:kern w:val="0"/>
                <w:sz w:val="18"/>
                <w:szCs w:val="18"/>
              </w:rPr>
              <w:t>A,Ir=0.8In</w:t>
            </w:r>
          </w:p>
          <w:p>
            <w:pPr>
              <w:widowControl/>
              <w:jc w:val="left"/>
              <w:rPr>
                <w:rFonts w:ascii="宋体" w:hAnsi="宋体" w:cs="宋体"/>
                <w:kern w:val="0"/>
                <w:sz w:val="18"/>
                <w:szCs w:val="18"/>
              </w:rPr>
            </w:pPr>
            <w:r>
              <w:rPr>
                <w:rFonts w:hint="eastAsia" w:ascii="宋体" w:hAnsi="宋体" w:cs="宋体"/>
                <w:kern w:val="0"/>
                <w:sz w:val="18"/>
                <w:szCs w:val="18"/>
              </w:rPr>
              <w:t>630kVA配置In=1250A,Ir=0.8In</w:t>
            </w: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按变压器容量</w:t>
            </w:r>
          </w:p>
        </w:tc>
      </w:tr>
      <w:tr>
        <w:tblPrEx>
          <w:tblCellMar>
            <w:top w:w="0" w:type="dxa"/>
            <w:left w:w="108" w:type="dxa"/>
            <w:bottom w:w="0" w:type="dxa"/>
            <w:right w:w="108" w:type="dxa"/>
          </w:tblCellMar>
        </w:tblPrEx>
        <w:trPr>
          <w:trHeight w:val="480"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1.9</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低压出线回路4回（采用塑壳开关，含电流互感器等配件及母线等辅材）</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回</w:t>
            </w:r>
          </w:p>
        </w:tc>
        <w:tc>
          <w:tcPr>
            <w:tcW w:w="3297" w:type="dxa"/>
            <w:tcBorders>
              <w:top w:val="nil"/>
              <w:left w:val="nil"/>
              <w:bottom w:val="single" w:color="auto" w:sz="4" w:space="0"/>
              <w:right w:val="single" w:color="auto" w:sz="4" w:space="0"/>
            </w:tcBorders>
            <w:shd w:val="clear" w:color="auto" w:fill="auto"/>
            <w:vAlign w:val="center"/>
          </w:tcPr>
          <w:p>
            <w:pPr>
              <w:rPr>
                <w:rFonts w:ascii="宋体" w:hAnsi="宋体" w:cs="宋体"/>
                <w:sz w:val="18"/>
                <w:szCs w:val="18"/>
              </w:rPr>
            </w:pPr>
            <w:r>
              <w:rPr>
                <w:rFonts w:hint="eastAsia" w:ascii="宋体" w:hAnsi="宋体" w:cs="宋体"/>
                <w:kern w:val="0"/>
                <w:sz w:val="18"/>
                <w:szCs w:val="18"/>
              </w:rPr>
              <w:t>三段保护，电子脱扣，整定电流可调（Ir=0.4In～1.0In）</w:t>
            </w:r>
          </w:p>
          <w:p>
            <w:pPr>
              <w:rPr>
                <w:rFonts w:ascii="宋体" w:hAnsi="宋体" w:cs="宋体"/>
                <w:kern w:val="0"/>
                <w:sz w:val="18"/>
                <w:szCs w:val="18"/>
              </w:rPr>
            </w:pPr>
            <w:r>
              <w:rPr>
                <w:rFonts w:hint="eastAsia" w:ascii="宋体" w:hAnsi="宋体" w:cs="宋体"/>
                <w:sz w:val="18"/>
                <w:szCs w:val="18"/>
              </w:rPr>
              <w:t>额定电流250A以上，</w:t>
            </w:r>
            <w:r>
              <w:rPr>
                <w:rFonts w:hint="eastAsia" w:ascii="宋体" w:hAnsi="宋体" w:cs="宋体"/>
                <w:kern w:val="0"/>
                <w:sz w:val="18"/>
                <w:szCs w:val="18"/>
              </w:rPr>
              <w:t>Ics≥50 kA</w:t>
            </w:r>
          </w:p>
          <w:p>
            <w:pPr>
              <w:widowControl/>
              <w:jc w:val="left"/>
              <w:rPr>
                <w:rFonts w:ascii="宋体" w:hAnsi="宋体" w:cs="宋体"/>
                <w:kern w:val="0"/>
                <w:sz w:val="18"/>
                <w:szCs w:val="18"/>
              </w:rPr>
            </w:pPr>
            <w:r>
              <w:rPr>
                <w:rFonts w:hint="eastAsia" w:ascii="宋体" w:hAnsi="宋体" w:cs="宋体"/>
                <w:sz w:val="18"/>
                <w:szCs w:val="18"/>
              </w:rPr>
              <w:t>额定电流250A及以下，</w:t>
            </w:r>
            <w:r>
              <w:rPr>
                <w:rFonts w:hint="eastAsia" w:ascii="宋体" w:hAnsi="宋体" w:cs="宋体"/>
                <w:kern w:val="0"/>
                <w:sz w:val="18"/>
                <w:szCs w:val="18"/>
              </w:rPr>
              <w:t>Ics≥35 kA</w:t>
            </w: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4回</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85"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1.10</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低压测控终端</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套</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进线断路器、出线断路器、无功补偿柜</w:t>
            </w: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选配</w:t>
            </w:r>
          </w:p>
        </w:tc>
      </w:tr>
      <w:tr>
        <w:tblPrEx>
          <w:tblCellMar>
            <w:top w:w="0" w:type="dxa"/>
            <w:left w:w="108" w:type="dxa"/>
            <w:bottom w:w="0" w:type="dxa"/>
            <w:right w:w="108" w:type="dxa"/>
          </w:tblCellMar>
        </w:tblPrEx>
        <w:trPr>
          <w:trHeight w:val="285"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1.11</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无功补偿装置</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套</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智能电容器、补偿控制器的动态无功补偿，按30%补偿</w:t>
            </w: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285"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1.12</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应急发电车接口</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组</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每组为低压A、B、C、N相各一个5</w:t>
            </w:r>
            <w:r>
              <w:rPr>
                <w:rFonts w:ascii="宋体" w:hAnsi="宋体" w:cs="宋体"/>
                <w:kern w:val="0"/>
                <w:sz w:val="18"/>
                <w:szCs w:val="18"/>
              </w:rPr>
              <w:t>00</w:t>
            </w:r>
            <w:r>
              <w:rPr>
                <w:rFonts w:hint="eastAsia" w:ascii="宋体" w:hAnsi="宋体" w:cs="宋体"/>
                <w:kern w:val="0"/>
                <w:sz w:val="18"/>
                <w:szCs w:val="18"/>
              </w:rPr>
              <w:t>A插拔口/铜排，</w:t>
            </w:r>
          </w:p>
          <w:p>
            <w:pPr>
              <w:widowControl/>
              <w:jc w:val="left"/>
              <w:rPr>
                <w:rFonts w:ascii="宋体" w:hAnsi="宋体" w:cs="宋体"/>
                <w:kern w:val="0"/>
                <w:sz w:val="18"/>
                <w:szCs w:val="18"/>
              </w:rPr>
            </w:pPr>
            <w:r>
              <w:rPr>
                <w:rFonts w:ascii="宋体" w:hAnsi="宋体" w:cs="宋体"/>
                <w:kern w:val="0"/>
                <w:sz w:val="18"/>
                <w:szCs w:val="18"/>
              </w:rPr>
              <w:t>400kVA</w:t>
            </w:r>
            <w:r>
              <w:rPr>
                <w:rFonts w:hint="eastAsia" w:ascii="宋体" w:hAnsi="宋体"/>
                <w:sz w:val="18"/>
                <w:szCs w:val="18"/>
              </w:rPr>
              <w:t>配</w:t>
            </w:r>
            <w:r>
              <w:rPr>
                <w:rFonts w:ascii="宋体" w:hAnsi="宋体"/>
                <w:sz w:val="18"/>
                <w:szCs w:val="18"/>
              </w:rPr>
              <w:t>1</w:t>
            </w:r>
            <w:r>
              <w:rPr>
                <w:rFonts w:hint="eastAsia" w:ascii="宋体" w:hAnsi="宋体"/>
                <w:sz w:val="18"/>
                <w:szCs w:val="18"/>
              </w:rPr>
              <w:t>组应急发电车接口</w:t>
            </w:r>
          </w:p>
          <w:p>
            <w:pPr>
              <w:widowControl/>
              <w:jc w:val="left"/>
              <w:rPr>
                <w:rFonts w:ascii="宋体" w:hAnsi="宋体" w:cs="宋体"/>
                <w:kern w:val="0"/>
                <w:sz w:val="18"/>
                <w:szCs w:val="18"/>
              </w:rPr>
            </w:pPr>
            <w:r>
              <w:rPr>
                <w:rFonts w:ascii="宋体" w:hAnsi="宋体" w:cs="宋体"/>
                <w:kern w:val="0"/>
                <w:sz w:val="18"/>
                <w:szCs w:val="18"/>
              </w:rPr>
              <w:t>630kVA</w:t>
            </w:r>
            <w:r>
              <w:rPr>
                <w:rFonts w:hint="eastAsia" w:ascii="宋体" w:hAnsi="宋体"/>
                <w:sz w:val="18"/>
                <w:szCs w:val="18"/>
              </w:rPr>
              <w:t>配1组应急发电车接口</w:t>
            </w: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按变压器容量</w:t>
            </w:r>
          </w:p>
        </w:tc>
      </w:tr>
      <w:tr>
        <w:tblPrEx>
          <w:tblCellMar>
            <w:top w:w="0" w:type="dxa"/>
            <w:left w:w="108" w:type="dxa"/>
            <w:bottom w:w="0" w:type="dxa"/>
            <w:right w:w="108" w:type="dxa"/>
          </w:tblCellMar>
        </w:tblPrEx>
        <w:trPr>
          <w:trHeight w:val="285"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1.13</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DTU</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套</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ascii="宋体" w:hAnsi="宋体" w:cs="宋体"/>
                <w:kern w:val="0"/>
                <w:sz w:val="18"/>
                <w:szCs w:val="18"/>
              </w:rPr>
              <w:t>壁挂型</w:t>
            </w:r>
            <w:r>
              <w:rPr>
                <w:rFonts w:hint="eastAsia" w:ascii="宋体" w:hAnsi="宋体" w:cs="宋体"/>
                <w:kern w:val="0"/>
                <w:sz w:val="18"/>
                <w:szCs w:val="18"/>
              </w:rPr>
              <w:t>分布</w:t>
            </w:r>
            <w:r>
              <w:rPr>
                <w:rFonts w:ascii="宋体" w:hAnsi="宋体" w:cs="宋体"/>
                <w:kern w:val="0"/>
                <w:sz w:val="18"/>
                <w:szCs w:val="18"/>
              </w:rPr>
              <w:t>式</w:t>
            </w:r>
          </w:p>
          <w:p>
            <w:pPr>
              <w:widowControl/>
              <w:jc w:val="left"/>
              <w:rPr>
                <w:rFonts w:ascii="宋体" w:hAnsi="宋体" w:cs="宋体"/>
                <w:kern w:val="0"/>
                <w:sz w:val="18"/>
                <w:szCs w:val="18"/>
              </w:rPr>
            </w:pPr>
            <w:r>
              <w:rPr>
                <w:rFonts w:hint="eastAsia" w:ascii="宋体" w:hAnsi="宋体" w:cs="宋体"/>
                <w:kern w:val="0"/>
                <w:sz w:val="18"/>
                <w:szCs w:val="18"/>
              </w:rPr>
              <w:t>高宽深900mm*600mm*140mm</w:t>
            </w: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标配（仅针对环网型）</w:t>
            </w:r>
          </w:p>
        </w:tc>
      </w:tr>
      <w:tr>
        <w:tblPrEx>
          <w:tblCellMar>
            <w:top w:w="0" w:type="dxa"/>
            <w:left w:w="108" w:type="dxa"/>
            <w:bottom w:w="0" w:type="dxa"/>
            <w:right w:w="108" w:type="dxa"/>
          </w:tblCellMar>
        </w:tblPrEx>
        <w:trPr>
          <w:trHeight w:val="285"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1.14</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智能配电装置</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套</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含</w:t>
            </w:r>
            <w:r>
              <w:rPr>
                <w:sz w:val="18"/>
                <w:szCs w:val="18"/>
              </w:rPr>
              <w:t>温湿度传感器</w:t>
            </w:r>
            <w:r>
              <w:rPr>
                <w:rFonts w:hint="eastAsia"/>
                <w:sz w:val="18"/>
                <w:szCs w:val="18"/>
              </w:rPr>
              <w:t>、</w:t>
            </w:r>
            <w:r>
              <w:rPr>
                <w:sz w:val="18"/>
                <w:szCs w:val="18"/>
              </w:rPr>
              <w:t>水浸传感器</w:t>
            </w:r>
            <w:r>
              <w:rPr>
                <w:rFonts w:hint="eastAsia"/>
                <w:sz w:val="18"/>
                <w:szCs w:val="18"/>
              </w:rPr>
              <w:t>、</w:t>
            </w:r>
            <w:r>
              <w:rPr>
                <w:sz w:val="18"/>
                <w:szCs w:val="18"/>
              </w:rPr>
              <w:t>门状态传感器</w:t>
            </w:r>
            <w:r>
              <w:rPr>
                <w:rFonts w:hint="eastAsia"/>
                <w:sz w:val="18"/>
                <w:szCs w:val="18"/>
              </w:rPr>
              <w:t>等</w:t>
            </w: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选配</w:t>
            </w:r>
          </w:p>
        </w:tc>
      </w:tr>
      <w:tr>
        <w:tblPrEx>
          <w:tblCellMar>
            <w:top w:w="0" w:type="dxa"/>
            <w:left w:w="108" w:type="dxa"/>
            <w:bottom w:w="0" w:type="dxa"/>
            <w:right w:w="108" w:type="dxa"/>
          </w:tblCellMar>
        </w:tblPrEx>
        <w:trPr>
          <w:trHeight w:val="285" w:hRule="atLeast"/>
        </w:trPr>
        <w:tc>
          <w:tcPr>
            <w:tcW w:w="6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1.15</w:t>
            </w:r>
          </w:p>
        </w:tc>
        <w:tc>
          <w:tcPr>
            <w:tcW w:w="11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电缆插拔头</w:t>
            </w: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只</w:t>
            </w:r>
          </w:p>
        </w:tc>
        <w:tc>
          <w:tcPr>
            <w:tcW w:w="329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p>
        </w:tc>
        <w:tc>
          <w:tcPr>
            <w:tcW w:w="6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9或6</w:t>
            </w:r>
          </w:p>
        </w:tc>
        <w:tc>
          <w:tcPr>
            <w:tcW w:w="21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环网型9只，终端型6只</w:t>
            </w:r>
          </w:p>
        </w:tc>
      </w:tr>
    </w:tbl>
    <w:p>
      <w:pPr>
        <w:jc w:val="center"/>
      </w:pPr>
    </w:p>
    <w:p/>
    <w:sectPr>
      <w:pgSz w:w="11906" w:h="16838"/>
      <w:pgMar w:top="1440" w:right="1780" w:bottom="1440" w:left="178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auto"/>
    <w:pitch w:val="default"/>
    <w:sig w:usb0="00000000" w:usb1="00000000" w:usb2="00082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Trebuchet MS">
    <w:panose1 w:val="020B0603020202020204"/>
    <w:charset w:val="00"/>
    <w:family w:val="swiss"/>
    <w:pitch w:val="default"/>
    <w:sig w:usb0="00000687" w:usb1="00000000" w:usb2="00000000" w:usb3="00000000" w:csb0="2000009F" w:csb1="00000000"/>
  </w:font>
  <w:font w:name="ABCDEF+SimSun">
    <w:altName w:val="Cambria"/>
    <w:panose1 w:val="00000000000000000000"/>
    <w:charset w:val="00"/>
    <w:family w:val="roman"/>
    <w:pitch w:val="default"/>
    <w:sig w:usb0="00000000" w:usb1="00000000" w:usb2="00000000" w:usb3="00000000" w:csb0="00000000" w:csb1="00000000"/>
  </w:font>
  <w:font w:name="ABCDEF+TimesNewRomanPSMT">
    <w:altName w:val="Cambria"/>
    <w:panose1 w:val="00000000000000000000"/>
    <w:charset w:val="00"/>
    <w:family w:val="roman"/>
    <w:pitch w:val="default"/>
    <w:sig w:usb0="00000000" w:usb1="00000000" w:usb2="00000000" w:usb3="00000000" w:csb0="00000000" w:csb1="00000000"/>
  </w:font>
  <w:font w:name="宋体e眠副浡渀.">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rPr>
    </w:pPr>
  </w:p>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t>23</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南方电网公司物资采购标准                                           10kV干式配电变压器采购标准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eastAsia="黑体"/>
        <w:color w:val="000000"/>
      </w:rPr>
      <w:t>10kV预装式变电站（</w:t>
    </w:r>
    <w:r>
      <w:rPr>
        <w:rFonts w:hint="eastAsia" w:eastAsia="黑体"/>
        <w:color w:val="000000"/>
        <w:lang w:val="en-US"/>
      </w:rPr>
      <w:t>紧凑</w:t>
    </w:r>
    <w:r>
      <w:rPr>
        <w:rFonts w:hint="eastAsia" w:eastAsia="黑体"/>
        <w:color w:val="000000"/>
      </w:rPr>
      <w:t>式）(通用部分)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2082DC"/>
    <w:multiLevelType w:val="singleLevel"/>
    <w:tmpl w:val="1F2082DC"/>
    <w:lvl w:ilvl="0" w:tentative="0">
      <w:start w:val="3"/>
      <w:numFmt w:val="decimal"/>
      <w:suff w:val="nothing"/>
      <w:lvlText w:val="%1）"/>
      <w:lvlJc w:val="left"/>
    </w:lvl>
  </w:abstractNum>
  <w:abstractNum w:abstractNumId="1">
    <w:nsid w:val="2A7FAA53"/>
    <w:multiLevelType w:val="singleLevel"/>
    <w:tmpl w:val="2A7FAA53"/>
    <w:lvl w:ilvl="0" w:tentative="0">
      <w:start w:val="1"/>
      <w:numFmt w:val="decimal"/>
      <w:suff w:val="nothing"/>
      <w:lvlText w:val="%1）"/>
      <w:lvlJc w:val="left"/>
    </w:lvl>
  </w:abstractNum>
  <w:abstractNum w:abstractNumId="2">
    <w:nsid w:val="696211B4"/>
    <w:multiLevelType w:val="singleLevel"/>
    <w:tmpl w:val="696211B4"/>
    <w:lvl w:ilvl="0" w:tentative="0">
      <w:start w:val="2"/>
      <w:numFmt w:val="decimal"/>
      <w:suff w:val="nothing"/>
      <w:lvlText w:val="%1）"/>
      <w:lvlJc w:val="left"/>
    </w:lvl>
  </w:abstractNum>
  <w:abstractNum w:abstractNumId="3">
    <w:nsid w:val="6CEA2025"/>
    <w:multiLevelType w:val="multilevel"/>
    <w:tmpl w:val="6CEA2025"/>
    <w:lvl w:ilvl="0" w:tentative="0">
      <w:start w:val="7"/>
      <w:numFmt w:val="none"/>
      <w:suff w:val="nothing"/>
      <w:lvlText w:val="%1"/>
      <w:lvlJc w:val="left"/>
      <w:pPr>
        <w:ind w:left="0" w:firstLine="0"/>
      </w:pPr>
      <w:rPr>
        <w:rFonts w:hint="default" w:ascii="Times New Roman" w:hAnsi="Times New Roman"/>
        <w:b/>
        <w:i w:val="0"/>
        <w:sz w:val="21"/>
      </w:rPr>
    </w:lvl>
    <w:lvl w:ilvl="1" w:tentative="0">
      <w:start w:val="1"/>
      <w:numFmt w:val="decimal"/>
      <w:lvlText w:val="%2"/>
      <w:lvlJc w:val="left"/>
      <w:pPr>
        <w:ind w:left="0" w:firstLine="0"/>
      </w:pPr>
      <w:rPr>
        <w:rFonts w:hint="default" w:ascii="Times New Roman" w:hAnsi="Times New Roman" w:cs="Times New Roman"/>
        <w:b/>
        <w:i w:val="0"/>
        <w:sz w:val="21"/>
      </w:rPr>
    </w:lvl>
    <w:lvl w:ilvl="2" w:tentative="0">
      <w:start w:val="1"/>
      <w:numFmt w:val="decimal"/>
      <w:pStyle w:val="17"/>
      <w:suff w:val="nothing"/>
      <w:lvlText w:val="%1%2.%3　"/>
      <w:lvlJc w:val="left"/>
      <w:pPr>
        <w:ind w:left="822" w:hanging="113"/>
      </w:pPr>
      <w:rPr>
        <w:rFonts w:hint="default" w:ascii="Times New Roman" w:hAnsi="Times New Roman" w:eastAsia="黑体" w:cs="Times New Roman"/>
        <w:b/>
        <w:i w:val="0"/>
        <w:sz w:val="21"/>
      </w:rPr>
    </w:lvl>
    <w:lvl w:ilvl="3" w:tentative="0">
      <w:start w:val="1"/>
      <w:numFmt w:val="decimal"/>
      <w:pStyle w:val="18"/>
      <w:suff w:val="nothing"/>
      <w:lvlText w:val="%1%2.%3.%4　"/>
      <w:lvlJc w:val="left"/>
      <w:pPr>
        <w:ind w:left="2496" w:hanging="227"/>
      </w:pPr>
      <w:rPr>
        <w:rFonts w:hint="default" w:ascii="Times New Roman" w:hAnsi="Times New Roman" w:eastAsia="黑体" w:cs="Times New Roman"/>
        <w:b/>
        <w:i w:val="0"/>
        <w:color w:val="auto"/>
        <w:sz w:val="21"/>
      </w:rPr>
    </w:lvl>
    <w:lvl w:ilvl="4" w:tentative="0">
      <w:start w:val="1"/>
      <w:numFmt w:val="decimal"/>
      <w:pStyle w:val="21"/>
      <w:isLgl/>
      <w:suff w:val="nothing"/>
      <w:lvlText w:val="%1%2.%3.%4.%5　"/>
      <w:lvlJc w:val="left"/>
      <w:pPr>
        <w:ind w:left="113" w:hanging="113"/>
      </w:pPr>
      <w:rPr>
        <w:rFonts w:hint="default" w:ascii="Times New Roman" w:hAnsi="Times New Roman" w:eastAsia="宋体" w:cs="Times New Roman"/>
        <w:b/>
        <w:i w:val="0"/>
        <w:sz w:val="21"/>
        <w:szCs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DBF04F4"/>
    <w:multiLevelType w:val="multilevel"/>
    <w:tmpl w:val="6DBF04F4"/>
    <w:lvl w:ilvl="0" w:tentative="0">
      <w:start w:val="1"/>
      <w:numFmt w:val="decimal"/>
      <w:pStyle w:val="20"/>
      <w:lvlText w:val="%1）"/>
      <w:lvlJc w:val="left"/>
      <w:pPr>
        <w:tabs>
          <w:tab w:val="left" w:pos="567"/>
        </w:tabs>
        <w:ind w:left="794" w:hanging="624"/>
      </w:pPr>
      <w:rPr>
        <w:rFonts w:ascii="宋体" w:hAnsi="宋体" w:eastAsia="宋体" w:cs="Times New Roman"/>
        <w:b w:val="0"/>
        <w:i w:val="0"/>
        <w:color w:val="auto"/>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4"/>
  </w:num>
  <w:num w:numId="3">
    <w:abstractNumId w:val="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78516A"/>
    <w:rsid w:val="259C77F7"/>
    <w:rsid w:val="26133E87"/>
    <w:rsid w:val="43846B60"/>
    <w:rsid w:val="4B084CD2"/>
    <w:rsid w:val="535E556C"/>
    <w:rsid w:val="5A3C6C73"/>
    <w:rsid w:val="5FC907CD"/>
    <w:rsid w:val="73100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lang w:val="zh-CN"/>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szCs w:val="20"/>
      <w:lang w:val="zh-CN"/>
    </w:rPr>
  </w:style>
  <w:style w:type="paragraph" w:styleId="4">
    <w:name w:val="footer"/>
    <w:basedOn w:val="1"/>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style>
  <w:style w:type="paragraph" w:styleId="7">
    <w:name w:val="toc 2"/>
    <w:basedOn w:val="6"/>
    <w:next w:val="1"/>
    <w:qFormat/>
    <w:uiPriority w:val="39"/>
    <w:pPr>
      <w:widowControl/>
    </w:pPr>
    <w:rPr>
      <w:rFonts w:ascii="宋体"/>
      <w:kern w:val="0"/>
      <w:szCs w:val="20"/>
    </w:rPr>
  </w:style>
  <w:style w:type="paragraph" w:styleId="8">
    <w:name w:val="Title"/>
    <w:basedOn w:val="1"/>
    <w:qFormat/>
    <w:uiPriority w:val="0"/>
    <w:pPr>
      <w:spacing w:before="240" w:after="60"/>
      <w:jc w:val="center"/>
      <w:outlineLvl w:val="0"/>
    </w:pPr>
    <w:rPr>
      <w:rFonts w:ascii="Arial" w:hAnsi="Arial"/>
      <w:b/>
      <w:bCs/>
      <w:sz w:val="32"/>
      <w:szCs w:val="32"/>
      <w:lang w:val="zh-CN"/>
    </w:rPr>
  </w:style>
  <w:style w:type="character" w:styleId="11">
    <w:name w:val="Hyperlink"/>
    <w:qFormat/>
    <w:uiPriority w:val="99"/>
    <w:rPr>
      <w:rFonts w:ascii="Times New Roman" w:hAnsi="Times New Roman" w:eastAsia="宋体"/>
      <w:color w:val="auto"/>
      <w:spacing w:val="0"/>
      <w:w w:val="100"/>
      <w:position w:val="0"/>
      <w:sz w:val="21"/>
      <w:u w:val="none"/>
      <w:vertAlign w:val="baseline"/>
    </w:rPr>
  </w:style>
  <w:style w:type="paragraph" w:customStyle="1" w:styleId="1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
    <w:name w:val="标准2级标题"/>
    <w:basedOn w:val="1"/>
    <w:qFormat/>
    <w:uiPriority w:val="0"/>
    <w:pPr>
      <w:widowControl/>
      <w:spacing w:before="120" w:after="120"/>
      <w:jc w:val="left"/>
      <w:outlineLvl w:val="1"/>
    </w:pPr>
    <w:rPr>
      <w:rFonts w:ascii="黑体" w:eastAsia="黑体"/>
      <w:kern w:val="0"/>
      <w:szCs w:val="20"/>
      <w:lang w:val="zh-CN"/>
    </w:rPr>
  </w:style>
  <w:style w:type="paragraph" w:customStyle="1" w:styleId="14">
    <w:name w:val="章标题"/>
    <w:next w:val="15"/>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
    <w:name w:val="标准正文"/>
    <w:basedOn w:val="1"/>
    <w:qFormat/>
    <w:uiPriority w:val="0"/>
    <w:pPr>
      <w:spacing w:line="320" w:lineRule="exact"/>
      <w:ind w:firstLine="420" w:firstLineChars="200"/>
    </w:pPr>
  </w:style>
  <w:style w:type="paragraph" w:customStyle="1" w:styleId="17">
    <w:name w:val="一级条标题"/>
    <w:basedOn w:val="14"/>
    <w:next w:val="15"/>
    <w:qFormat/>
    <w:uiPriority w:val="0"/>
    <w:pPr>
      <w:numPr>
        <w:ilvl w:val="2"/>
        <w:numId w:val="1"/>
      </w:numPr>
      <w:spacing w:beforeLines="0" w:afterLines="0"/>
      <w:outlineLvl w:val="2"/>
    </w:pPr>
    <w:rPr>
      <w:lang w:val="zh-CN"/>
    </w:rPr>
  </w:style>
  <w:style w:type="paragraph" w:customStyle="1" w:styleId="18">
    <w:name w:val="二级条标题"/>
    <w:basedOn w:val="17"/>
    <w:next w:val="15"/>
    <w:qFormat/>
    <w:uiPriority w:val="0"/>
    <w:pPr>
      <w:numPr>
        <w:ilvl w:val="3"/>
      </w:numPr>
      <w:outlineLvl w:val="3"/>
    </w:pPr>
  </w:style>
  <w:style w:type="paragraph" w:customStyle="1" w:styleId="19">
    <w:name w:val="表格名称"/>
    <w:basedOn w:val="1"/>
    <w:qFormat/>
    <w:uiPriority w:val="0"/>
    <w:pPr>
      <w:widowControl/>
      <w:jc w:val="center"/>
    </w:pPr>
    <w:rPr>
      <w:rFonts w:eastAsia="黑体"/>
      <w:kern w:val="0"/>
      <w:sz w:val="18"/>
      <w:szCs w:val="20"/>
      <w:lang w:val="zh-CN"/>
    </w:rPr>
  </w:style>
  <w:style w:type="paragraph" w:customStyle="1" w:styleId="20">
    <w:name w:val="注："/>
    <w:next w:val="15"/>
    <w:qFormat/>
    <w:uiPriority w:val="0"/>
    <w:pPr>
      <w:widowControl w:val="0"/>
      <w:numPr>
        <w:ilvl w:val="0"/>
        <w:numId w:val="2"/>
      </w:numPr>
      <w:autoSpaceDE w:val="0"/>
      <w:autoSpaceDN w:val="0"/>
      <w:jc w:val="both"/>
    </w:pPr>
    <w:rPr>
      <w:rFonts w:ascii="宋体" w:hAnsi="Times New Roman" w:eastAsia="宋体" w:cs="Times New Roman"/>
      <w:sz w:val="18"/>
      <w:lang w:val="en-US" w:eastAsia="zh-CN" w:bidi="ar-SA"/>
    </w:rPr>
  </w:style>
  <w:style w:type="paragraph" w:customStyle="1" w:styleId="21">
    <w:name w:val="三级条标题"/>
    <w:basedOn w:val="18"/>
    <w:next w:val="15"/>
    <w:qFormat/>
    <w:uiPriority w:val="0"/>
    <w:pPr>
      <w:numPr>
        <w:ilvl w:val="4"/>
      </w:numPr>
      <w:outlineLvl w:val="4"/>
    </w:pPr>
  </w:style>
  <w:style w:type="paragraph" w:customStyle="1" w:styleId="22">
    <w:name w:val="首行缩进"/>
    <w:basedOn w:val="1"/>
    <w:qFormat/>
    <w:uiPriority w:val="99"/>
    <w:pPr>
      <w:spacing w:line="300" w:lineRule="auto"/>
      <w:ind w:firstLine="420" w:firstLineChars="200"/>
    </w:pPr>
    <w:rPr>
      <w:rFonts w:eastAsia="方正书宋简体"/>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2025-07-31T05:32:00Z</dcterms:created>
  <dc:creator>ZhuoZ</dc:creator>
  <cp:lastModifiedBy>Lenovo</cp:lastModifiedBy>
  <dcterms:modified xsi:type="dcterms:W3CDTF">2025-09-19T02:03:35Z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BE5919C3A2B94013B5682F9062762A9E</vt:lpwstr>
  </property>
</Properties>
</file>