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ind w:firstLine="0" w:firstLineChars="0"/>
        <w:jc w:val="center"/>
        <w:rPr>
          <w:rFonts w:eastAsia="黑体"/>
          <w:color w:val="auto"/>
          <w:sz w:val="36"/>
        </w:rPr>
      </w:pPr>
      <w:bookmarkStart w:id="0" w:name="_Toc402534916"/>
      <w:r>
        <w:rPr>
          <w:rFonts w:hint="eastAsia" w:eastAsia="黑体"/>
          <w:color w:val="auto"/>
          <w:sz w:val="36"/>
        </w:rPr>
        <w:t xml:space="preserve">《10kV </w:t>
      </w:r>
      <w:r>
        <w:rPr>
          <w:rFonts w:hint="eastAsia" w:eastAsia="黑体"/>
          <w:color w:val="auto"/>
          <w:sz w:val="36"/>
          <w:lang w:val="en-US" w:eastAsia="zh-CN"/>
        </w:rPr>
        <w:t>配网避雷器</w:t>
      </w:r>
      <w:r>
        <w:rPr>
          <w:rFonts w:hint="eastAsia" w:eastAsia="黑体"/>
          <w:color w:val="auto"/>
          <w:sz w:val="36"/>
        </w:rPr>
        <w:t>标准化技术规范书》编制说明</w:t>
      </w:r>
    </w:p>
    <w:p>
      <w:pPr>
        <w:topLinePunct/>
        <w:spacing w:line="360" w:lineRule="auto"/>
        <w:ind w:firstLine="0" w:firstLineChars="0"/>
        <w:rPr>
          <w:b/>
          <w:color w:val="auto"/>
          <w:szCs w:val="21"/>
        </w:rPr>
      </w:pPr>
      <w:r>
        <w:rPr>
          <w:b/>
          <w:color w:val="auto"/>
          <w:szCs w:val="21"/>
        </w:rPr>
        <w:t>1</w:t>
      </w:r>
      <w:r>
        <w:rPr>
          <w:rFonts w:hAnsi="宋体"/>
          <w:b/>
          <w:color w:val="auto"/>
          <w:szCs w:val="21"/>
        </w:rPr>
        <w:t>．任务来源与工作过程</w:t>
      </w:r>
    </w:p>
    <w:p>
      <w:pPr>
        <w:spacing w:line="360" w:lineRule="auto"/>
        <w:ind w:firstLine="0" w:firstLineChars="0"/>
        <w:rPr>
          <w:color w:val="auto"/>
          <w:szCs w:val="21"/>
        </w:rPr>
      </w:pPr>
      <w:r>
        <w:rPr>
          <w:color w:val="auto"/>
          <w:szCs w:val="21"/>
        </w:rPr>
        <w:t xml:space="preserve">1.1  </w:t>
      </w:r>
      <w:r>
        <w:rPr>
          <w:rFonts w:hAnsi="宋体"/>
          <w:color w:val="auto"/>
          <w:szCs w:val="21"/>
        </w:rPr>
        <w:t>任务来源</w:t>
      </w:r>
    </w:p>
    <w:p>
      <w:pPr>
        <w:pStyle w:val="9"/>
        <w:ind w:firstLine="420"/>
        <w:rPr>
          <w:rFonts w:cs="Times New Roman"/>
          <w:color w:val="auto"/>
          <w:highlight w:val="none"/>
        </w:rPr>
      </w:pPr>
      <w:r>
        <w:rPr>
          <w:rFonts w:hint="eastAsia" w:cs="Times New Roman"/>
          <w:color w:val="auto"/>
          <w:highlight w:val="none"/>
        </w:rPr>
        <w:t>本技术规范书修订任务来源于《南方电网公司2023年5月配网设备标准化优化提升工作会议纪要》</w:t>
      </w:r>
      <w:r>
        <w:rPr>
          <w:rFonts w:hint="eastAsia"/>
          <w:color w:val="auto"/>
          <w:highlight w:val="none"/>
        </w:rPr>
        <w:t>（</w:t>
      </w:r>
      <w:r>
        <w:rPr>
          <w:rFonts w:hint="eastAsia" w:cs="Times New Roman"/>
          <w:color w:val="auto"/>
          <w:highlight w:val="none"/>
        </w:rPr>
        <w:t>输配电〔2023〕第51 期</w:t>
      </w:r>
      <w:r>
        <w:rPr>
          <w:rFonts w:hint="eastAsia"/>
          <w:color w:val="auto"/>
          <w:highlight w:val="none"/>
        </w:rPr>
        <w:t>）</w:t>
      </w:r>
      <w:r>
        <w:rPr>
          <w:rFonts w:hint="eastAsia" w:cs="Times New Roman"/>
          <w:color w:val="auto"/>
          <w:highlight w:val="none"/>
        </w:rPr>
        <w:t>。</w:t>
      </w:r>
    </w:p>
    <w:p>
      <w:pPr>
        <w:spacing w:line="360" w:lineRule="auto"/>
        <w:ind w:firstLine="0" w:firstLineChars="0"/>
        <w:rPr>
          <w:color w:val="auto"/>
          <w:szCs w:val="21"/>
        </w:rPr>
      </w:pPr>
      <w:r>
        <w:rPr>
          <w:color w:val="auto"/>
          <w:szCs w:val="21"/>
        </w:rPr>
        <w:t xml:space="preserve">1.2  </w:t>
      </w:r>
      <w:r>
        <w:rPr>
          <w:rFonts w:hint="eastAsia" w:hAnsi="宋体"/>
          <w:color w:val="auto"/>
          <w:szCs w:val="21"/>
        </w:rPr>
        <w:t>技术规范书</w:t>
      </w:r>
      <w:r>
        <w:rPr>
          <w:rFonts w:hAnsi="宋体"/>
          <w:color w:val="auto"/>
          <w:szCs w:val="21"/>
        </w:rPr>
        <w:t>编制</w:t>
      </w:r>
      <w:r>
        <w:rPr>
          <w:rFonts w:hint="eastAsia" w:hAnsi="宋体"/>
          <w:color w:val="auto"/>
          <w:szCs w:val="21"/>
        </w:rPr>
        <w:t>工作</w:t>
      </w:r>
      <w:r>
        <w:rPr>
          <w:rFonts w:hAnsi="宋体"/>
          <w:color w:val="auto"/>
          <w:szCs w:val="21"/>
        </w:rPr>
        <w:t>过程</w:t>
      </w:r>
    </w:p>
    <w:p>
      <w:pPr>
        <w:pStyle w:val="9"/>
        <w:ind w:firstLine="420"/>
        <w:rPr>
          <w:rFonts w:cs="Times New Roman"/>
          <w:color w:val="auto"/>
        </w:rPr>
      </w:pPr>
      <w:r>
        <w:rPr>
          <w:rFonts w:hint="eastAsia" w:cs="Times New Roman"/>
          <w:color w:val="auto"/>
        </w:rPr>
        <w:t>202</w:t>
      </w:r>
      <w:r>
        <w:rPr>
          <w:rFonts w:hint="eastAsia" w:cs="Times New Roman"/>
          <w:color w:val="auto"/>
          <w:lang w:val="en-US" w:eastAsia="zh-CN"/>
        </w:rPr>
        <w:t>3</w:t>
      </w:r>
      <w:r>
        <w:rPr>
          <w:rFonts w:hint="eastAsia" w:cs="Times New Roman"/>
          <w:color w:val="auto"/>
        </w:rPr>
        <w:t>年</w:t>
      </w:r>
      <w:r>
        <w:rPr>
          <w:rFonts w:hint="eastAsia" w:cs="Times New Roman"/>
          <w:color w:val="auto"/>
          <w:lang w:val="en-US" w:eastAsia="zh-CN"/>
        </w:rPr>
        <w:t>2</w:t>
      </w:r>
      <w:r>
        <w:rPr>
          <w:rFonts w:hint="eastAsia" w:cs="Times New Roman"/>
          <w:color w:val="auto"/>
        </w:rPr>
        <w:t>月，公司正式印发《公司2023年度生产运行重点工作布置暨第一季度工作推进会议纪要》，</w:t>
      </w:r>
      <w:r>
        <w:rPr>
          <w:rFonts w:hint="eastAsia" w:cs="Times New Roman"/>
          <w:color w:val="auto"/>
          <w:lang w:val="en-US" w:eastAsia="zh-CN"/>
        </w:rPr>
        <w:t>明确提出统筹立项和修编一批设备标准化技术规范书，其中因电力行业发布了最新的《交流输电线路用复合外套金属氧化物避雷器》（DL/T815-2021），</w:t>
      </w:r>
      <w:r>
        <w:rPr>
          <w:rFonts w:hint="eastAsia" w:cs="Times New Roman"/>
          <w:color w:val="auto"/>
        </w:rPr>
        <w:t>10kV</w:t>
      </w:r>
      <w:r>
        <w:rPr>
          <w:rFonts w:hint="eastAsia" w:cs="Times New Roman"/>
          <w:color w:val="auto"/>
          <w:lang w:val="en-US" w:eastAsia="zh-CN"/>
        </w:rPr>
        <w:t>配网避雷器需结合最新标准和生产运行需求对</w:t>
      </w:r>
      <w:r>
        <w:rPr>
          <w:rFonts w:hint="eastAsia" w:cs="Times New Roman"/>
          <w:color w:val="auto"/>
        </w:rPr>
        <w:t>技术规范书</w:t>
      </w:r>
      <w:r>
        <w:rPr>
          <w:rFonts w:hint="eastAsia" w:cs="Times New Roman"/>
          <w:color w:val="auto"/>
          <w:lang w:val="en-US" w:eastAsia="zh-CN"/>
        </w:rPr>
        <w:t>进行修订</w:t>
      </w:r>
      <w:r>
        <w:rPr>
          <w:rFonts w:hint="eastAsia" w:cs="Times New Roman"/>
          <w:color w:val="auto"/>
        </w:rPr>
        <w:t>。</w:t>
      </w:r>
    </w:p>
    <w:p>
      <w:pPr>
        <w:pStyle w:val="9"/>
        <w:ind w:firstLine="420"/>
        <w:rPr>
          <w:rFonts w:cs="Times New Roman"/>
          <w:color w:val="auto"/>
        </w:rPr>
      </w:pPr>
      <w:r>
        <w:rPr>
          <w:rFonts w:hint="eastAsia" w:cs="Times New Roman"/>
          <w:color w:val="auto"/>
        </w:rPr>
        <w:t>2</w:t>
      </w:r>
      <w:r>
        <w:rPr>
          <w:rFonts w:cs="Times New Roman"/>
          <w:color w:val="auto"/>
        </w:rPr>
        <w:t>0</w:t>
      </w:r>
      <w:r>
        <w:rPr>
          <w:rFonts w:hint="eastAsia" w:cs="Times New Roman"/>
          <w:color w:val="auto"/>
        </w:rPr>
        <w:t>2</w:t>
      </w:r>
      <w:r>
        <w:rPr>
          <w:rFonts w:hint="eastAsia" w:cs="Times New Roman"/>
          <w:color w:val="auto"/>
          <w:lang w:val="en-US" w:eastAsia="zh-CN"/>
        </w:rPr>
        <w:t>3</w:t>
      </w:r>
      <w:r>
        <w:rPr>
          <w:rFonts w:hint="eastAsia" w:cs="Times New Roman"/>
          <w:color w:val="auto"/>
        </w:rPr>
        <w:t>年</w:t>
      </w:r>
      <w:r>
        <w:rPr>
          <w:rFonts w:hint="eastAsia" w:cs="Times New Roman"/>
          <w:color w:val="auto"/>
          <w:lang w:val="en-US" w:eastAsia="zh-CN"/>
        </w:rPr>
        <w:t>3</w:t>
      </w:r>
      <w:r>
        <w:rPr>
          <w:rFonts w:hint="eastAsia" w:cs="Times New Roman"/>
          <w:color w:val="auto"/>
        </w:rPr>
        <w:t>月，由</w:t>
      </w:r>
      <w:r>
        <w:rPr>
          <w:rFonts w:hint="eastAsia" w:cs="Times New Roman"/>
          <w:color w:val="auto"/>
          <w:lang w:val="en-US" w:eastAsia="zh-CN"/>
        </w:rPr>
        <w:t>南网科研院、广东电网公司、广西电网公司、云南电网公司、贵州电网公司、海南电网公司、</w:t>
      </w:r>
      <w:r>
        <w:rPr>
          <w:rFonts w:hint="eastAsia" w:cs="Times New Roman"/>
          <w:color w:val="auto"/>
        </w:rPr>
        <w:t>深圳供电局派技术专家成立编写小组，并召开10kV</w:t>
      </w:r>
      <w:r>
        <w:rPr>
          <w:rFonts w:hint="eastAsia" w:cs="Times New Roman"/>
          <w:color w:val="auto"/>
          <w:lang w:val="en-US" w:eastAsia="zh-CN"/>
        </w:rPr>
        <w:t>配网避雷器</w:t>
      </w:r>
      <w:r>
        <w:rPr>
          <w:rFonts w:hint="eastAsia" w:cs="Times New Roman"/>
          <w:color w:val="auto"/>
        </w:rPr>
        <w:t>技术规范书编写小组成立视频会议，明确了小组工作进度安排。</w:t>
      </w:r>
    </w:p>
    <w:p>
      <w:pPr>
        <w:pStyle w:val="9"/>
        <w:ind w:firstLine="420"/>
        <w:rPr>
          <w:rFonts w:hint="eastAsia" w:cs="Times New Roman"/>
          <w:color w:val="auto"/>
          <w:lang w:eastAsia="zh-CN"/>
        </w:rPr>
      </w:pPr>
      <w:r>
        <w:rPr>
          <w:rFonts w:hint="eastAsia" w:cs="Times New Roman"/>
          <w:color w:val="auto"/>
        </w:rPr>
        <w:t>2</w:t>
      </w:r>
      <w:r>
        <w:rPr>
          <w:rFonts w:cs="Times New Roman"/>
          <w:color w:val="auto"/>
        </w:rPr>
        <w:t>0</w:t>
      </w:r>
      <w:r>
        <w:rPr>
          <w:rFonts w:hint="eastAsia" w:cs="Times New Roman"/>
          <w:color w:val="auto"/>
        </w:rPr>
        <w:t>2</w:t>
      </w:r>
      <w:r>
        <w:rPr>
          <w:rFonts w:hint="eastAsia" w:cs="Times New Roman"/>
          <w:color w:val="auto"/>
          <w:lang w:val="en-US" w:eastAsia="zh-CN"/>
        </w:rPr>
        <w:t>3</w:t>
      </w:r>
      <w:r>
        <w:rPr>
          <w:rFonts w:hint="eastAsia" w:cs="Times New Roman"/>
          <w:color w:val="auto"/>
        </w:rPr>
        <w:t>年</w:t>
      </w:r>
      <w:r>
        <w:rPr>
          <w:rFonts w:hint="eastAsia" w:cs="Times New Roman"/>
          <w:color w:val="auto"/>
          <w:lang w:val="en-US" w:eastAsia="zh-CN"/>
        </w:rPr>
        <w:t>4</w:t>
      </w:r>
      <w:r>
        <w:rPr>
          <w:rFonts w:hint="eastAsia" w:cs="Times New Roman"/>
          <w:color w:val="auto"/>
        </w:rPr>
        <w:t>月，组织开展生产运维管理及基建安装及施工调研，对南网五省及深圳供电局开展调研收资</w:t>
      </w:r>
      <w:r>
        <w:rPr>
          <w:rFonts w:hint="eastAsia" w:cs="Times New Roman"/>
          <w:color w:val="auto"/>
          <w:lang w:eastAsia="zh-CN"/>
        </w:rPr>
        <w:t>。</w:t>
      </w:r>
    </w:p>
    <w:p>
      <w:pPr>
        <w:pStyle w:val="9"/>
        <w:ind w:firstLine="420"/>
        <w:rPr>
          <w:rFonts w:cs="Times New Roman"/>
          <w:color w:val="auto"/>
        </w:rPr>
      </w:pPr>
      <w:r>
        <w:rPr>
          <w:rFonts w:hint="eastAsia" w:cs="Times New Roman"/>
          <w:color w:val="auto"/>
          <w:lang w:val="en-US" w:eastAsia="zh-CN"/>
        </w:rPr>
        <w:t>2023年5月，公司印发《南方电网公司2023年5月配网设备标准化优化提升工作会议纪要》（输配电〔2023〕第51 期），明确了的配网绝缘子和避雷器等设备技术规范书的修编要求</w:t>
      </w:r>
      <w:r>
        <w:rPr>
          <w:rFonts w:hint="eastAsia" w:cs="Times New Roman"/>
          <w:color w:val="auto"/>
        </w:rPr>
        <w:t>。</w:t>
      </w:r>
    </w:p>
    <w:p>
      <w:pPr>
        <w:pStyle w:val="9"/>
        <w:ind w:firstLine="420"/>
        <w:rPr>
          <w:rFonts w:cs="Times New Roman"/>
          <w:color w:val="auto"/>
        </w:rPr>
      </w:pPr>
      <w:r>
        <w:rPr>
          <w:rFonts w:hint="eastAsia" w:cs="Times New Roman"/>
          <w:color w:val="auto"/>
        </w:rPr>
        <w:t>2</w:t>
      </w:r>
      <w:r>
        <w:rPr>
          <w:rFonts w:cs="Times New Roman"/>
          <w:color w:val="auto"/>
        </w:rPr>
        <w:t>0</w:t>
      </w:r>
      <w:r>
        <w:rPr>
          <w:rFonts w:hint="eastAsia" w:cs="Times New Roman"/>
          <w:color w:val="auto"/>
        </w:rPr>
        <w:t>2</w:t>
      </w:r>
      <w:r>
        <w:rPr>
          <w:rFonts w:hint="eastAsia" w:cs="Times New Roman"/>
          <w:color w:val="auto"/>
          <w:lang w:val="en-US" w:eastAsia="zh-CN"/>
        </w:rPr>
        <w:t>3</w:t>
      </w:r>
      <w:r>
        <w:rPr>
          <w:rFonts w:hint="eastAsia" w:cs="Times New Roman"/>
          <w:color w:val="auto"/>
        </w:rPr>
        <w:t>年</w:t>
      </w:r>
      <w:r>
        <w:rPr>
          <w:rFonts w:hint="eastAsia" w:cs="Times New Roman"/>
          <w:color w:val="auto"/>
          <w:lang w:val="en-US" w:eastAsia="zh-CN"/>
        </w:rPr>
        <w:t>6</w:t>
      </w:r>
      <w:r>
        <w:rPr>
          <w:rFonts w:hint="eastAsia" w:cs="Times New Roman"/>
          <w:color w:val="auto"/>
        </w:rPr>
        <w:t>月，根据《关于印发南方电网公司深化设备标准化工作行动方案的通知》</w:t>
      </w:r>
      <w:r>
        <w:rPr>
          <w:rFonts w:hint="eastAsia" w:cs="Times New Roman"/>
          <w:color w:val="auto"/>
          <w:lang w:eastAsia="zh-CN"/>
        </w:rPr>
        <w:t>、</w:t>
      </w:r>
      <w:r>
        <w:rPr>
          <w:rFonts w:hint="eastAsia" w:cs="Times New Roman"/>
          <w:color w:val="auto"/>
        </w:rPr>
        <w:t>《招标采购技术澄清》反馈意见，开展《10kV</w:t>
      </w:r>
      <w:r>
        <w:rPr>
          <w:rFonts w:hint="eastAsia" w:cs="Times New Roman"/>
          <w:color w:val="auto"/>
          <w:lang w:val="en-US" w:eastAsia="zh-CN"/>
        </w:rPr>
        <w:t>配网避雷器</w:t>
      </w:r>
      <w:r>
        <w:rPr>
          <w:rFonts w:hint="eastAsia" w:cs="Times New Roman"/>
          <w:color w:val="auto"/>
        </w:rPr>
        <w:t>技术规范书》修订工作，</w:t>
      </w:r>
    </w:p>
    <w:p>
      <w:pPr>
        <w:pStyle w:val="9"/>
        <w:ind w:firstLine="420"/>
        <w:rPr>
          <w:rFonts w:cs="Times New Roman"/>
          <w:color w:val="auto"/>
        </w:rPr>
      </w:pPr>
      <w:r>
        <w:rPr>
          <w:rFonts w:hint="eastAsia" w:cs="Times New Roman"/>
          <w:color w:val="auto"/>
        </w:rPr>
        <w:t>2</w:t>
      </w:r>
      <w:r>
        <w:rPr>
          <w:rFonts w:cs="Times New Roman"/>
          <w:color w:val="auto"/>
        </w:rPr>
        <w:t>0</w:t>
      </w:r>
      <w:r>
        <w:rPr>
          <w:rFonts w:hint="eastAsia" w:cs="Times New Roman"/>
          <w:color w:val="auto"/>
        </w:rPr>
        <w:t>2</w:t>
      </w:r>
      <w:r>
        <w:rPr>
          <w:rFonts w:hint="eastAsia" w:cs="Times New Roman"/>
          <w:color w:val="auto"/>
          <w:lang w:val="en-US" w:eastAsia="zh-CN"/>
        </w:rPr>
        <w:t>3</w:t>
      </w:r>
      <w:r>
        <w:rPr>
          <w:rFonts w:hint="eastAsia" w:cs="Times New Roman"/>
          <w:color w:val="auto"/>
        </w:rPr>
        <w:t>年</w:t>
      </w:r>
      <w:r>
        <w:rPr>
          <w:rFonts w:hint="eastAsia" w:cs="Times New Roman"/>
          <w:color w:val="auto"/>
          <w:lang w:val="en-US" w:eastAsia="zh-CN"/>
        </w:rPr>
        <w:t>7</w:t>
      </w:r>
      <w:r>
        <w:rPr>
          <w:rFonts w:hint="eastAsia" w:cs="Times New Roman"/>
          <w:color w:val="auto"/>
        </w:rPr>
        <w:t>月</w:t>
      </w:r>
      <w:r>
        <w:rPr>
          <w:rFonts w:hint="eastAsia" w:cs="Times New Roman"/>
          <w:color w:val="auto"/>
          <w:lang w:val="en-US" w:eastAsia="zh-CN"/>
        </w:rPr>
        <w:t>-8月</w:t>
      </w:r>
      <w:r>
        <w:rPr>
          <w:rFonts w:hint="eastAsia" w:cs="Times New Roman"/>
          <w:color w:val="auto"/>
        </w:rPr>
        <w:t>，组织召开了《10kV</w:t>
      </w:r>
      <w:r>
        <w:rPr>
          <w:rFonts w:hint="eastAsia" w:cs="Times New Roman"/>
          <w:color w:val="auto"/>
          <w:lang w:val="en-US" w:eastAsia="zh-CN"/>
        </w:rPr>
        <w:t>配网避雷器</w:t>
      </w:r>
      <w:r>
        <w:rPr>
          <w:rFonts w:hint="eastAsia" w:cs="Times New Roman"/>
          <w:color w:val="auto"/>
        </w:rPr>
        <w:t>技术规范书》编写组内讨论会，由</w:t>
      </w:r>
      <w:r>
        <w:rPr>
          <w:rFonts w:hint="eastAsia" w:cs="Times New Roman"/>
          <w:color w:val="auto"/>
          <w:lang w:val="en-US" w:eastAsia="zh-CN"/>
        </w:rPr>
        <w:t>南网科研院、广东电网公司、广西电网公司、云南电网公司、贵州电网公司、海南电网公司、</w:t>
      </w:r>
      <w:r>
        <w:rPr>
          <w:rFonts w:hint="eastAsia" w:cs="Times New Roman"/>
          <w:color w:val="auto"/>
        </w:rPr>
        <w:t>深圳供电局对技术规范书进行了审查，并对征求意见稿进行了研讨，提出了修改意见。并提交《</w:t>
      </w:r>
      <w:r>
        <w:rPr>
          <w:rFonts w:hint="eastAsia" w:cs="Times New Roman"/>
          <w:color w:val="auto"/>
          <w:lang w:val="en-US" w:eastAsia="zh-CN"/>
        </w:rPr>
        <w:t>10kV配网避雷器</w:t>
      </w:r>
      <w:r>
        <w:rPr>
          <w:rFonts w:hint="eastAsia" w:cs="Times New Roman"/>
          <w:color w:val="auto"/>
        </w:rPr>
        <w:t>技术规范</w:t>
      </w:r>
      <w:r>
        <w:rPr>
          <w:rFonts w:hint="eastAsia" w:cs="Times New Roman"/>
          <w:color w:val="auto"/>
          <w:lang w:val="en-US" w:eastAsia="zh-CN"/>
        </w:rPr>
        <w:t>书（</w:t>
      </w:r>
      <w:r>
        <w:rPr>
          <w:rFonts w:hint="eastAsia" w:cs="Times New Roman"/>
          <w:color w:val="auto"/>
        </w:rPr>
        <w:t>征求意见稿）》等</w:t>
      </w:r>
      <w:r>
        <w:rPr>
          <w:rFonts w:hint="eastAsia" w:cs="Times New Roman"/>
          <w:color w:val="auto"/>
          <w:lang w:val="en-US" w:eastAsia="zh-CN"/>
        </w:rPr>
        <w:t>4</w:t>
      </w:r>
      <w:r>
        <w:rPr>
          <w:rFonts w:hint="eastAsia" w:cs="Times New Roman"/>
          <w:color w:val="auto"/>
        </w:rPr>
        <w:t>本技术规范书。</w:t>
      </w:r>
    </w:p>
    <w:p>
      <w:pPr>
        <w:spacing w:line="360" w:lineRule="auto"/>
        <w:ind w:firstLine="0" w:firstLineChars="0"/>
        <w:rPr>
          <w:rFonts w:hAnsi="宋体"/>
          <w:color w:val="auto"/>
          <w:szCs w:val="21"/>
        </w:rPr>
      </w:pPr>
      <w:r>
        <w:rPr>
          <w:color w:val="auto"/>
          <w:szCs w:val="21"/>
        </w:rPr>
        <w:t xml:space="preserve">1.3  </w:t>
      </w:r>
      <w:r>
        <w:rPr>
          <w:rFonts w:hAnsi="宋体"/>
          <w:color w:val="auto"/>
          <w:szCs w:val="21"/>
        </w:rPr>
        <w:t>参编单位及工作组成员</w:t>
      </w:r>
    </w:p>
    <w:p>
      <w:pPr>
        <w:spacing w:line="360" w:lineRule="auto"/>
        <w:ind w:firstLine="420"/>
        <w:rPr>
          <w:rFonts w:ascii="宋体" w:hAnsi="宋体"/>
          <w:color w:val="auto"/>
        </w:rPr>
      </w:pPr>
      <w:r>
        <w:rPr>
          <w:rFonts w:ascii="宋体" w:hAnsi="宋体"/>
          <w:color w:val="auto"/>
        </w:rPr>
        <w:t>本标准主编单位：</w:t>
      </w:r>
      <w:r>
        <w:rPr>
          <w:rFonts w:hint="eastAsia" w:cs="Times New Roman"/>
          <w:color w:val="auto"/>
          <w:lang w:val="en-US" w:eastAsia="zh-CN"/>
        </w:rPr>
        <w:t>南网科研院、广东电网公司、广西电网公司、云南电网公司、贵州电网公司、海南电网公司、</w:t>
      </w:r>
      <w:r>
        <w:rPr>
          <w:rFonts w:hint="eastAsia" w:cs="Times New Roman"/>
          <w:color w:val="auto"/>
        </w:rPr>
        <w:t>深圳供电局</w:t>
      </w:r>
      <w:r>
        <w:rPr>
          <w:rFonts w:hint="eastAsia" w:ascii="宋体" w:hAnsi="宋体"/>
          <w:color w:val="auto"/>
        </w:rPr>
        <w:t>。</w:t>
      </w:r>
    </w:p>
    <w:p>
      <w:pPr>
        <w:spacing w:line="360" w:lineRule="auto"/>
        <w:ind w:firstLine="420"/>
        <w:rPr>
          <w:rFonts w:hint="eastAsia" w:ascii="宋体" w:hAnsi="宋体" w:eastAsia="宋体"/>
          <w:color w:val="auto"/>
          <w:lang w:eastAsia="zh-CN"/>
        </w:rPr>
      </w:pPr>
      <w:r>
        <w:rPr>
          <w:rFonts w:hint="eastAsia" w:ascii="宋体" w:hAnsi="宋体"/>
          <w:color w:val="auto"/>
        </w:rPr>
        <w:t>本标准主要起草人：</w:t>
      </w:r>
      <w:r>
        <w:rPr>
          <w:rFonts w:hint="eastAsia" w:ascii="宋体" w:hAnsi="宋体"/>
          <w:color w:val="auto"/>
          <w:lang w:val="en-US" w:eastAsia="zh-CN"/>
        </w:rPr>
        <w:t>廖民传</w:t>
      </w:r>
      <w:r>
        <w:rPr>
          <w:rFonts w:hint="eastAsia" w:ascii="宋体" w:hAnsi="宋体"/>
          <w:color w:val="auto"/>
        </w:rPr>
        <w:t>、</w:t>
      </w:r>
      <w:r>
        <w:rPr>
          <w:rFonts w:hint="eastAsia" w:ascii="宋体" w:hAnsi="宋体"/>
          <w:color w:val="auto"/>
          <w:lang w:val="en-US" w:eastAsia="zh-CN"/>
        </w:rPr>
        <w:t>屈路</w:t>
      </w:r>
      <w:r>
        <w:rPr>
          <w:rFonts w:hint="eastAsia" w:ascii="宋体" w:hAnsi="宋体"/>
          <w:color w:val="auto"/>
        </w:rPr>
        <w:t>、阳浩</w:t>
      </w:r>
      <w:r>
        <w:rPr>
          <w:rFonts w:hint="eastAsia" w:ascii="宋体" w:hAnsi="宋体"/>
          <w:color w:val="auto"/>
          <w:lang w:val="en-US" w:eastAsia="zh-CN"/>
        </w:rPr>
        <w:t>、胡上茂、汪进锋、奉斌</w:t>
      </w:r>
      <w:r>
        <w:rPr>
          <w:rFonts w:hint="eastAsia" w:ascii="宋体" w:hAnsi="宋体"/>
          <w:color w:val="auto"/>
        </w:rPr>
        <w:t>、</w:t>
      </w:r>
      <w:r>
        <w:rPr>
          <w:rFonts w:hint="eastAsia" w:ascii="宋体" w:hAnsi="宋体"/>
          <w:color w:val="auto"/>
          <w:lang w:val="en-US" w:eastAsia="zh-CN"/>
        </w:rPr>
        <w:t>刘安茳</w:t>
      </w:r>
      <w:r>
        <w:rPr>
          <w:rFonts w:hint="eastAsia" w:ascii="宋体" w:hAnsi="宋体"/>
          <w:color w:val="auto"/>
        </w:rPr>
        <w:t>、</w:t>
      </w:r>
      <w:r>
        <w:rPr>
          <w:rFonts w:hint="eastAsia" w:ascii="宋体" w:hAnsi="宋体"/>
          <w:color w:val="auto"/>
          <w:lang w:val="en-US" w:eastAsia="zh-CN"/>
        </w:rPr>
        <w:t>严玉婷、雷一勇、陈亮亮</w:t>
      </w:r>
      <w:r>
        <w:rPr>
          <w:rFonts w:hint="eastAsia" w:ascii="宋体" w:hAnsi="宋体"/>
          <w:color w:val="auto"/>
        </w:rPr>
        <w:t>、</w:t>
      </w:r>
      <w:r>
        <w:rPr>
          <w:rFonts w:hint="eastAsia" w:ascii="宋体" w:hAnsi="宋体"/>
          <w:color w:val="auto"/>
          <w:lang w:val="en-US" w:eastAsia="zh-CN"/>
        </w:rPr>
        <w:t>王科</w:t>
      </w:r>
      <w:r>
        <w:rPr>
          <w:rFonts w:hint="eastAsia" w:ascii="宋体" w:hAnsi="宋体"/>
          <w:color w:val="auto"/>
        </w:rPr>
        <w:t>、肖小兵、</w:t>
      </w:r>
      <w:r>
        <w:rPr>
          <w:rFonts w:hint="eastAsia" w:ascii="宋体" w:hAnsi="宋体"/>
          <w:color w:val="auto"/>
          <w:lang w:val="en-US" w:eastAsia="zh-CN"/>
        </w:rPr>
        <w:t>邹宇</w:t>
      </w:r>
      <w:r>
        <w:rPr>
          <w:rFonts w:hint="eastAsia" w:ascii="宋体" w:hAnsi="宋体"/>
          <w:color w:val="auto"/>
        </w:rPr>
        <w:t>、</w:t>
      </w:r>
      <w:r>
        <w:rPr>
          <w:rFonts w:hint="eastAsia" w:ascii="宋体" w:hAnsi="宋体"/>
          <w:color w:val="auto"/>
          <w:lang w:val="en-US" w:eastAsia="zh-CN"/>
        </w:rPr>
        <w:t>史训涛、柯清派、</w:t>
      </w:r>
      <w:bookmarkStart w:id="1" w:name="_GoBack"/>
      <w:bookmarkEnd w:id="1"/>
      <w:r>
        <w:rPr>
          <w:rFonts w:hint="eastAsia" w:ascii="宋体" w:hAnsi="宋体"/>
          <w:color w:val="auto"/>
          <w:lang w:val="en-US" w:eastAsia="zh-CN"/>
        </w:rPr>
        <w:t>鲍小锋、周原</w:t>
      </w:r>
      <w:r>
        <w:rPr>
          <w:rFonts w:hint="eastAsia" w:ascii="宋体" w:hAnsi="宋体"/>
          <w:color w:val="auto"/>
        </w:rPr>
        <w:t>、</w:t>
      </w:r>
      <w:r>
        <w:rPr>
          <w:rFonts w:hint="eastAsia" w:ascii="宋体" w:hAnsi="宋体"/>
          <w:color w:val="auto"/>
          <w:lang w:val="en-US" w:eastAsia="zh-CN"/>
        </w:rPr>
        <w:t>张彬、陈春、秦忠</w:t>
      </w:r>
      <w:r>
        <w:rPr>
          <w:rFonts w:hint="eastAsia" w:ascii="宋体" w:hAnsi="宋体"/>
          <w:color w:val="auto"/>
        </w:rPr>
        <w:t>、</w:t>
      </w:r>
      <w:r>
        <w:rPr>
          <w:rFonts w:hint="eastAsia" w:ascii="宋体" w:hAnsi="宋体"/>
          <w:color w:val="auto"/>
          <w:lang w:val="en-US" w:eastAsia="zh-CN"/>
        </w:rPr>
        <w:t>陈怀飞、胡冉</w:t>
      </w:r>
      <w:r>
        <w:rPr>
          <w:rFonts w:hint="eastAsia" w:ascii="宋体" w:hAnsi="宋体"/>
          <w:color w:val="auto"/>
        </w:rPr>
        <w:t>、项恩新、</w:t>
      </w:r>
      <w:r>
        <w:rPr>
          <w:rFonts w:hint="eastAsia" w:ascii="宋体" w:hAnsi="宋体"/>
          <w:color w:val="auto"/>
          <w:lang w:val="en-US" w:eastAsia="zh-CN"/>
        </w:rPr>
        <w:t>王学峰、余子彬、李跃、黄辉、陈政、冯焱冲、刘龙洋、陈鹏</w:t>
      </w:r>
      <w:r>
        <w:rPr>
          <w:rFonts w:hint="eastAsia" w:ascii="宋体" w:hAnsi="宋体"/>
          <w:color w:val="auto"/>
        </w:rPr>
        <w:t>、崔文俊、孙万里、</w:t>
      </w:r>
      <w:r>
        <w:rPr>
          <w:rFonts w:hint="eastAsia" w:ascii="宋体" w:hAnsi="宋体"/>
          <w:color w:val="auto"/>
          <w:lang w:val="en-US" w:eastAsia="zh-CN"/>
        </w:rPr>
        <w:t>李志</w:t>
      </w:r>
      <w:r>
        <w:rPr>
          <w:rFonts w:hint="eastAsia" w:ascii="宋体" w:hAnsi="宋体"/>
          <w:color w:val="auto"/>
        </w:rPr>
        <w:t>、聂书群</w:t>
      </w:r>
      <w:r>
        <w:rPr>
          <w:rFonts w:hint="eastAsia" w:ascii="宋体" w:hAnsi="宋体"/>
          <w:color w:val="auto"/>
          <w:lang w:eastAsia="zh-CN"/>
        </w:rPr>
        <w:t>。</w:t>
      </w:r>
    </w:p>
    <w:p>
      <w:pPr>
        <w:spacing w:line="360" w:lineRule="auto"/>
        <w:ind w:firstLine="0" w:firstLineChars="0"/>
        <w:rPr>
          <w:b/>
          <w:color w:val="auto"/>
          <w:szCs w:val="21"/>
        </w:rPr>
      </w:pPr>
      <w:r>
        <w:rPr>
          <w:b/>
          <w:color w:val="auto"/>
          <w:szCs w:val="21"/>
        </w:rPr>
        <w:t>2</w:t>
      </w:r>
      <w:r>
        <w:rPr>
          <w:rFonts w:hAnsi="宋体"/>
          <w:b/>
          <w:color w:val="auto"/>
          <w:szCs w:val="21"/>
        </w:rPr>
        <w:t>．主要</w:t>
      </w:r>
      <w:r>
        <w:rPr>
          <w:rFonts w:hint="eastAsia" w:hAnsi="宋体"/>
          <w:b/>
          <w:color w:val="auto"/>
          <w:szCs w:val="21"/>
        </w:rPr>
        <w:t>编制</w:t>
      </w:r>
      <w:r>
        <w:rPr>
          <w:rFonts w:hAnsi="宋体"/>
          <w:b/>
          <w:color w:val="auto"/>
          <w:szCs w:val="21"/>
        </w:rPr>
        <w:t>内容</w:t>
      </w:r>
    </w:p>
    <w:p>
      <w:pPr>
        <w:spacing w:line="360" w:lineRule="auto"/>
        <w:ind w:firstLine="0" w:firstLineChars="0"/>
        <w:rPr>
          <w:color w:val="auto"/>
          <w:szCs w:val="21"/>
        </w:rPr>
      </w:pPr>
      <w:r>
        <w:rPr>
          <w:rFonts w:hint="eastAsia"/>
          <w:color w:val="auto"/>
          <w:szCs w:val="21"/>
        </w:rPr>
        <w:t>2.1  技术要求</w:t>
      </w:r>
    </w:p>
    <w:p>
      <w:pPr>
        <w:pStyle w:val="9"/>
        <w:numPr>
          <w:ilvl w:val="0"/>
          <w:numId w:val="2"/>
        </w:numPr>
        <w:ind w:left="0" w:firstLine="420" w:firstLineChars="0"/>
        <w:rPr>
          <w:rFonts w:cs="Times New Roman"/>
          <w:color w:val="auto"/>
        </w:rPr>
      </w:pPr>
      <w:r>
        <w:rPr>
          <w:rFonts w:hint="eastAsia" w:cs="Times New Roman"/>
          <w:color w:val="auto"/>
        </w:rPr>
        <w:t>修订了应遵循的主要标准</w:t>
      </w:r>
    </w:p>
    <w:p>
      <w:pPr>
        <w:pStyle w:val="9"/>
        <w:ind w:firstLine="420" w:firstLineChars="0"/>
        <w:rPr>
          <w:rFonts w:hint="eastAsia" w:eastAsia="宋体" w:cs="Times New Roman"/>
          <w:color w:val="auto"/>
          <w:lang w:eastAsia="zh-CN"/>
        </w:rPr>
      </w:pPr>
      <w:r>
        <w:rPr>
          <w:rFonts w:hint="eastAsia" w:cs="Times New Roman"/>
          <w:color w:val="auto"/>
        </w:rPr>
        <w:t>原因：</w:t>
      </w:r>
      <w:r>
        <w:rPr>
          <w:rFonts w:hint="eastAsia" w:cs="Times New Roman"/>
          <w:color w:val="auto"/>
          <w:lang w:val="en-US" w:eastAsia="zh-CN"/>
        </w:rPr>
        <w:t>补充了</w:t>
      </w:r>
      <w:r>
        <w:rPr>
          <w:rFonts w:hint="eastAsia" w:cs="Times New Roman"/>
          <w:color w:val="auto"/>
        </w:rPr>
        <w:t>引用标准凡是注日期的引用文件，其随后所有的修改单（不包括勘误的内容）或修订版均不适用于本规范。凡是不注日期的引用文件，其最新版本适用于本规范</w:t>
      </w:r>
      <w:r>
        <w:rPr>
          <w:rFonts w:hint="eastAsia" w:cs="Times New Roman"/>
          <w:color w:val="auto"/>
          <w:lang w:eastAsia="zh-CN"/>
        </w:rPr>
        <w:t>。</w:t>
      </w:r>
    </w:p>
    <w:p>
      <w:pPr>
        <w:pStyle w:val="9"/>
        <w:numPr>
          <w:ilvl w:val="0"/>
          <w:numId w:val="2"/>
        </w:numPr>
        <w:ind w:left="0" w:firstLine="420" w:firstLineChars="0"/>
        <w:rPr>
          <w:rFonts w:cs="Times New Roman"/>
          <w:color w:val="auto"/>
        </w:rPr>
      </w:pPr>
      <w:r>
        <w:rPr>
          <w:rFonts w:cs="Times New Roman"/>
          <w:color w:val="auto"/>
        </w:rPr>
        <w:t>.</w:t>
      </w:r>
      <w:r>
        <w:rPr>
          <w:rFonts w:hint="eastAsia" w:cs="Times New Roman"/>
          <w:color w:val="auto"/>
        </w:rPr>
        <w:t>表1</w:t>
      </w:r>
      <w:r>
        <w:rPr>
          <w:rFonts w:hint="eastAsia" w:cs="Times New Roman"/>
          <w:color w:val="auto"/>
          <w:lang w:val="en-US" w:eastAsia="zh-CN"/>
        </w:rPr>
        <w:t>修订了脱离器的</w:t>
      </w:r>
      <w:r>
        <w:rPr>
          <w:rFonts w:hint="eastAsia" w:cs="Times New Roman"/>
          <w:color w:val="auto"/>
        </w:rPr>
        <w:t>要求</w:t>
      </w:r>
    </w:p>
    <w:p>
      <w:pPr>
        <w:pStyle w:val="9"/>
        <w:ind w:firstLine="420" w:firstLineChars="0"/>
        <w:rPr>
          <w:rFonts w:cs="Times New Roman"/>
          <w:color w:val="auto"/>
        </w:rPr>
      </w:pPr>
      <w:r>
        <w:rPr>
          <w:rFonts w:hint="eastAsia" w:cs="Times New Roman"/>
          <w:color w:val="auto"/>
        </w:rPr>
        <w:t>原因：</w:t>
      </w:r>
      <w:r>
        <w:rPr>
          <w:rFonts w:hint="eastAsia" w:cs="Times New Roman"/>
          <w:color w:val="auto"/>
          <w:lang w:val="en-US" w:eastAsia="zh-CN"/>
        </w:rPr>
        <w:t>根据《招标物资信息表》、</w:t>
      </w:r>
      <w:r>
        <w:rPr>
          <w:rFonts w:hint="eastAsia" w:cs="Times New Roman"/>
          <w:color w:val="auto"/>
        </w:rPr>
        <w:t>《招标采购技术澄清》脱离器为选配部件</w:t>
      </w:r>
      <w:r>
        <w:rPr>
          <w:rFonts w:hint="eastAsia" w:cs="Times New Roman"/>
          <w:color w:val="auto"/>
          <w:lang w:eastAsia="zh-CN"/>
        </w:rPr>
        <w:t>，</w:t>
      </w:r>
      <w:r>
        <w:rPr>
          <w:rFonts w:hint="eastAsia" w:cs="Times New Roman"/>
          <w:color w:val="auto"/>
          <w:lang w:val="en-US" w:eastAsia="zh-CN"/>
        </w:rPr>
        <w:t>补充说明</w:t>
      </w:r>
      <w:r>
        <w:rPr>
          <w:rFonts w:hint="eastAsia" w:cs="Times New Roman"/>
          <w:color w:val="auto"/>
        </w:rPr>
        <w:t>如招标方要求供应脱离器，则投标方提供的脱离器及附属件（连接线、绝缘托架等）应能与供应的避雷器匹配使用，确保避雷器和脱离器正常工作。</w:t>
      </w:r>
    </w:p>
    <w:p>
      <w:pPr>
        <w:pStyle w:val="9"/>
        <w:numPr>
          <w:ilvl w:val="0"/>
          <w:numId w:val="2"/>
        </w:numPr>
        <w:ind w:left="0" w:firstLine="420" w:firstLineChars="0"/>
        <w:rPr>
          <w:rFonts w:cs="Times New Roman"/>
          <w:color w:val="auto"/>
        </w:rPr>
      </w:pPr>
      <w:r>
        <w:rPr>
          <w:rFonts w:hint="eastAsia" w:cs="Times New Roman"/>
          <w:color w:val="auto"/>
          <w:lang w:val="en-US" w:eastAsia="zh-CN"/>
        </w:rPr>
        <w:t>《交流无间隙金属氧化物避雷器技术规范书（通用部分）》增加了</w:t>
      </w:r>
      <w:r>
        <w:rPr>
          <w:rFonts w:hint="eastAsia"/>
          <w:color w:val="auto"/>
        </w:rPr>
        <w:t>摘挂式</w:t>
      </w:r>
      <w:r>
        <w:rPr>
          <w:rFonts w:hint="eastAsia"/>
          <w:color w:val="auto"/>
          <w:lang w:val="en-US" w:eastAsia="zh-CN"/>
        </w:rPr>
        <w:t>支架</w:t>
      </w:r>
      <w:r>
        <w:rPr>
          <w:rFonts w:hint="eastAsia"/>
          <w:color w:val="auto"/>
        </w:rPr>
        <w:t>要求</w:t>
      </w:r>
      <w:r>
        <w:rPr>
          <w:rFonts w:hint="eastAsia" w:cs="Times New Roman"/>
          <w:color w:val="auto"/>
        </w:rPr>
        <w:t>。</w:t>
      </w:r>
    </w:p>
    <w:p>
      <w:pPr>
        <w:pStyle w:val="9"/>
        <w:ind w:firstLine="420"/>
        <w:rPr>
          <w:rFonts w:cs="Times New Roman"/>
          <w:color w:val="auto"/>
        </w:rPr>
      </w:pPr>
      <w:r>
        <w:rPr>
          <w:rFonts w:hint="eastAsia" w:cs="Times New Roman"/>
          <w:color w:val="auto"/>
        </w:rPr>
        <w:t>原因：</w:t>
      </w:r>
      <w:r>
        <w:rPr>
          <w:rFonts w:hint="eastAsia" w:cs="Times New Roman"/>
          <w:color w:val="auto"/>
          <w:lang w:val="en-US" w:eastAsia="zh-CN"/>
        </w:rPr>
        <w:t>原2021版技术规范书中只给出了摘挂式支架的尺寸要求，近两年运维单位发现摘挂支架还需补充防污等级、材质、受力能力等技术要求</w:t>
      </w:r>
      <w:r>
        <w:rPr>
          <w:rFonts w:hint="eastAsia" w:cs="Times New Roman"/>
          <w:color w:val="auto"/>
        </w:rPr>
        <w:t>。</w:t>
      </w:r>
    </w:p>
    <w:p>
      <w:pPr>
        <w:pStyle w:val="9"/>
        <w:numPr>
          <w:ilvl w:val="0"/>
          <w:numId w:val="2"/>
        </w:numPr>
        <w:ind w:left="0" w:firstLine="420" w:firstLineChars="0"/>
        <w:rPr>
          <w:rFonts w:cs="Times New Roman"/>
          <w:color w:val="auto"/>
        </w:rPr>
      </w:pPr>
      <w:r>
        <w:rPr>
          <w:rFonts w:hint="eastAsia" w:cs="Times New Roman"/>
          <w:color w:val="auto"/>
          <w:lang w:val="en-US" w:eastAsia="zh-CN"/>
        </w:rPr>
        <w:t>《交流无间隙金属氧化物避雷器技术规范书（通用部分）》补充了其它配件的技术要求</w:t>
      </w:r>
      <w:r>
        <w:rPr>
          <w:rFonts w:hint="eastAsia" w:cs="Times New Roman"/>
          <w:color w:val="auto"/>
        </w:rPr>
        <w:t>。</w:t>
      </w:r>
    </w:p>
    <w:p>
      <w:pPr>
        <w:pStyle w:val="9"/>
        <w:ind w:firstLine="420"/>
        <w:rPr>
          <w:rFonts w:cs="Times New Roman"/>
          <w:color w:val="auto"/>
        </w:rPr>
      </w:pPr>
      <w:r>
        <w:rPr>
          <w:rFonts w:hint="eastAsia" w:cs="Times New Roman"/>
          <w:color w:val="auto"/>
        </w:rPr>
        <w:t>原因：</w:t>
      </w:r>
      <w:r>
        <w:rPr>
          <w:rFonts w:hint="eastAsia" w:cs="Times New Roman"/>
          <w:color w:val="auto"/>
          <w:lang w:val="en-US" w:eastAsia="zh-CN"/>
        </w:rPr>
        <w:t>近两年运行单位反馈，部分供应商未提供</w:t>
      </w:r>
      <w:r>
        <w:rPr>
          <w:rFonts w:hint="eastAsia"/>
          <w:color w:val="auto"/>
          <w:highlight w:val="none"/>
        </w:rPr>
        <w:t>避雷器高压端的连接导线（即高压连接线）</w:t>
      </w:r>
      <w:r>
        <w:rPr>
          <w:rFonts w:hint="eastAsia"/>
          <w:color w:val="auto"/>
          <w:highlight w:val="none"/>
          <w:lang w:eastAsia="zh-CN"/>
        </w:rPr>
        <w:t>，</w:t>
      </w:r>
      <w:r>
        <w:rPr>
          <w:rFonts w:hint="eastAsia"/>
          <w:color w:val="auto"/>
          <w:highlight w:val="none"/>
          <w:lang w:val="en-US" w:eastAsia="zh-CN"/>
        </w:rPr>
        <w:t>不便于现场安装施工，因此增加了该项要求</w:t>
      </w:r>
      <w:r>
        <w:rPr>
          <w:rFonts w:hint="eastAsia" w:cs="Times New Roman"/>
          <w:color w:val="auto"/>
        </w:rPr>
        <w:t>。</w:t>
      </w:r>
    </w:p>
    <w:p>
      <w:pPr>
        <w:pStyle w:val="9"/>
        <w:numPr>
          <w:ilvl w:val="0"/>
          <w:numId w:val="2"/>
        </w:numPr>
        <w:ind w:left="0" w:firstLine="420" w:firstLineChars="0"/>
        <w:rPr>
          <w:rFonts w:ascii="宋体" w:hAnsi="宋体" w:cs="Times New Roman"/>
          <w:color w:val="auto"/>
        </w:rPr>
      </w:pPr>
      <w:r>
        <w:rPr>
          <w:rFonts w:hint="eastAsia" w:ascii="宋体" w:hAnsi="宋体" w:cs="Times New Roman"/>
          <w:color w:val="auto"/>
          <w:lang w:eastAsia="zh-CN"/>
        </w:rPr>
        <w:t>“</w:t>
      </w:r>
      <w:r>
        <w:rPr>
          <w:rFonts w:hint="eastAsia" w:ascii="宋体" w:hAnsi="宋体" w:cs="Times New Roman"/>
          <w:color w:val="auto"/>
        </w:rPr>
        <w:t>6.1试验项目</w:t>
      </w:r>
      <w:r>
        <w:rPr>
          <w:rFonts w:hint="eastAsia" w:ascii="宋体" w:hAnsi="宋体" w:cs="Times New Roman"/>
          <w:color w:val="auto"/>
          <w:lang w:eastAsia="zh-CN"/>
        </w:rPr>
        <w:t>”</w:t>
      </w:r>
      <w:r>
        <w:rPr>
          <w:rFonts w:hint="eastAsia" w:ascii="宋体" w:hAnsi="宋体" w:cs="Times New Roman"/>
          <w:color w:val="auto"/>
          <w:lang w:val="en-US" w:eastAsia="zh-CN"/>
        </w:rPr>
        <w:t>进行了部分更新</w:t>
      </w:r>
      <w:r>
        <w:rPr>
          <w:rFonts w:hint="eastAsia" w:ascii="宋体" w:hAnsi="宋体" w:cs="Times New Roman"/>
          <w:color w:val="auto"/>
        </w:rPr>
        <w:t>。</w:t>
      </w:r>
    </w:p>
    <w:p>
      <w:pPr>
        <w:spacing w:line="360" w:lineRule="auto"/>
        <w:ind w:firstLine="420"/>
        <w:rPr>
          <w:rFonts w:ascii="宋体" w:hAnsi="宋体"/>
          <w:color w:val="auto"/>
        </w:rPr>
      </w:pPr>
      <w:r>
        <w:rPr>
          <w:rFonts w:hint="eastAsia" w:ascii="宋体" w:hAnsi="宋体"/>
          <w:color w:val="auto"/>
        </w:rPr>
        <w:t>原因：</w:t>
      </w:r>
      <w:r>
        <w:rPr>
          <w:rFonts w:hint="eastAsia" w:ascii="宋体" w:hAnsi="宋体"/>
          <w:color w:val="auto"/>
          <w:lang w:val="en-US" w:eastAsia="zh-CN"/>
        </w:rPr>
        <w:t>南方电网公司发布了10kV交流避雷器送样检测公告、组织编制了10kV配网避雷器型号审查细则并通过了公司供应链统一服务平台的征求意见，其中均结合最新GB/T11032-2020《交流无间隙金属氧化物避雷器》和DL/T815-2021《交流输电线路用复合外套金属氧化物避雷器》对避雷器的试验项目进行更新，为此本次技术规范书进行同步更新，确保和送样检测、型号审查等保持一致</w:t>
      </w:r>
      <w:r>
        <w:rPr>
          <w:rFonts w:hint="eastAsia" w:ascii="宋体" w:hAnsi="宋体"/>
          <w:color w:val="auto"/>
        </w:rPr>
        <w:t>。</w:t>
      </w:r>
    </w:p>
    <w:p>
      <w:pPr>
        <w:pStyle w:val="9"/>
        <w:numPr>
          <w:ilvl w:val="0"/>
          <w:numId w:val="2"/>
        </w:numPr>
        <w:ind w:left="0" w:firstLine="420" w:firstLineChars="0"/>
        <w:rPr>
          <w:rFonts w:ascii="宋体" w:hAnsi="宋体" w:cs="Times New Roman"/>
          <w:color w:val="auto"/>
        </w:rPr>
      </w:pPr>
      <w:r>
        <w:rPr>
          <w:rFonts w:hint="eastAsia" w:ascii="宋体" w:hAnsi="宋体"/>
          <w:color w:val="auto"/>
          <w:lang w:val="en-US" w:eastAsia="zh-CN"/>
        </w:rPr>
        <w:t>对</w:t>
      </w:r>
      <w:r>
        <w:rPr>
          <w:rFonts w:hint="eastAsia" w:ascii="宋体" w:hAnsi="宋体"/>
          <w:color w:val="auto"/>
        </w:rPr>
        <w:t>重复转移电荷试验</w:t>
      </w:r>
      <w:r>
        <w:rPr>
          <w:rFonts w:hint="eastAsia" w:ascii="宋体" w:hAnsi="宋体"/>
          <w:color w:val="auto"/>
          <w:lang w:eastAsia="zh-CN"/>
        </w:rPr>
        <w:t>、</w:t>
      </w:r>
      <w:r>
        <w:rPr>
          <w:rFonts w:hint="eastAsia" w:ascii="宋体" w:hAnsi="宋体"/>
          <w:color w:val="auto"/>
        </w:rPr>
        <w:t>大电流冲击耐受试验</w:t>
      </w:r>
      <w:r>
        <w:rPr>
          <w:rFonts w:hint="eastAsia" w:ascii="宋体" w:hAnsi="宋体"/>
          <w:color w:val="auto"/>
          <w:lang w:val="en-US" w:eastAsia="zh-CN"/>
        </w:rPr>
        <w:t>等项目的样品对象进行了明确</w:t>
      </w:r>
      <w:r>
        <w:rPr>
          <w:rFonts w:hint="eastAsia" w:ascii="宋体" w:hAnsi="宋体" w:cs="Times New Roman"/>
          <w:color w:val="auto"/>
        </w:rPr>
        <w:t>。</w:t>
      </w:r>
    </w:p>
    <w:p>
      <w:pPr>
        <w:spacing w:line="360" w:lineRule="auto"/>
        <w:ind w:firstLine="420"/>
        <w:rPr>
          <w:rFonts w:ascii="宋体" w:hAnsi="宋体"/>
          <w:color w:val="auto"/>
        </w:rPr>
      </w:pPr>
      <w:r>
        <w:rPr>
          <w:rFonts w:hint="eastAsia" w:ascii="宋体" w:hAnsi="宋体"/>
          <w:color w:val="auto"/>
        </w:rPr>
        <w:t>原因：</w:t>
      </w:r>
      <w:r>
        <w:rPr>
          <w:rFonts w:hint="eastAsia" w:ascii="宋体" w:hAnsi="宋体"/>
          <w:color w:val="auto"/>
          <w:lang w:val="en-US" w:eastAsia="zh-CN"/>
        </w:rPr>
        <w:t>原2021版技术规范书根据GB/T11032-2020《交流无间隙金属氧化物避雷器》提出了</w:t>
      </w:r>
      <w:r>
        <w:rPr>
          <w:rFonts w:hint="eastAsia" w:ascii="宋体" w:hAnsi="宋体"/>
          <w:color w:val="auto"/>
        </w:rPr>
        <w:t>重复转移电荷试验</w:t>
      </w:r>
      <w:r>
        <w:rPr>
          <w:rFonts w:hint="eastAsia" w:ascii="宋体" w:hAnsi="宋体"/>
          <w:color w:val="auto"/>
          <w:lang w:eastAsia="zh-CN"/>
        </w:rPr>
        <w:t>、</w:t>
      </w:r>
      <w:r>
        <w:rPr>
          <w:rFonts w:hint="eastAsia" w:ascii="宋体" w:hAnsi="宋体"/>
          <w:color w:val="auto"/>
        </w:rPr>
        <w:t>大电流冲击耐受试验</w:t>
      </w:r>
      <w:r>
        <w:rPr>
          <w:rFonts w:hint="eastAsia" w:ascii="宋体" w:hAnsi="宋体"/>
          <w:color w:val="auto"/>
          <w:lang w:val="en-US" w:eastAsia="zh-CN"/>
        </w:rPr>
        <w:t>宜在整只避雷器上开展，为了避免歧义，进一步明确</w:t>
      </w:r>
      <w:r>
        <w:rPr>
          <w:rFonts w:hint="eastAsia" w:ascii="宋体" w:hAnsi="宋体"/>
          <w:color w:val="auto"/>
        </w:rPr>
        <w:t>对于专项抽检和送样检测试验，雷电冲击残压试验、重复转移电荷试验和大电流冲击耐受试验应在整只避雷器上开展，残压试验仅开展雷电冲击残压试验；对于到货抽检试验，雷电冲击残压试验、重复转移电荷试验和大电流冲击耐受试验宜在整只避雷器上开展。</w:t>
      </w:r>
    </w:p>
    <w:p>
      <w:pPr>
        <w:pStyle w:val="9"/>
        <w:numPr>
          <w:ilvl w:val="0"/>
          <w:numId w:val="2"/>
        </w:numPr>
        <w:ind w:left="0" w:firstLine="420" w:firstLineChars="0"/>
        <w:rPr>
          <w:rFonts w:ascii="宋体" w:hAnsi="宋体" w:cs="Times New Roman"/>
          <w:color w:val="auto"/>
        </w:rPr>
      </w:pPr>
      <w:r>
        <w:rPr>
          <w:rFonts w:hint="eastAsia" w:ascii="宋体" w:hAnsi="宋体" w:cs="Times New Roman"/>
          <w:color w:val="auto"/>
        </w:rPr>
        <w:t>带脱离器固定安装式的10kV复合外套无间隙避雷器（含DM级和DH级）的接口尺寸</w:t>
      </w:r>
      <w:r>
        <w:rPr>
          <w:rFonts w:hint="eastAsia" w:ascii="宋体" w:hAnsi="宋体" w:cs="Times New Roman"/>
          <w:color w:val="auto"/>
          <w:lang w:val="en-US" w:eastAsia="zh-CN"/>
        </w:rPr>
        <w:t>图中增加了脱离器和螺栓安装位置的软铜连接线</w:t>
      </w:r>
      <w:r>
        <w:rPr>
          <w:rFonts w:hint="eastAsia" w:ascii="宋体" w:hAnsi="宋体" w:cs="Times New Roman"/>
          <w:color w:val="auto"/>
        </w:rPr>
        <w:t>。</w:t>
      </w:r>
    </w:p>
    <w:p>
      <w:pPr>
        <w:spacing w:line="360" w:lineRule="auto"/>
        <w:ind w:firstLine="420"/>
        <w:rPr>
          <w:rFonts w:ascii="宋体" w:hAnsi="宋体"/>
          <w:color w:val="auto"/>
        </w:rPr>
      </w:pPr>
      <w:r>
        <w:rPr>
          <w:rFonts w:hint="eastAsia" w:ascii="宋体" w:hAnsi="宋体"/>
          <w:color w:val="auto"/>
        </w:rPr>
        <w:t>原因：原2021版技术规范书</w:t>
      </w:r>
      <w:r>
        <w:rPr>
          <w:rFonts w:hint="eastAsia" w:ascii="宋体" w:hAnsi="宋体"/>
          <w:color w:val="auto"/>
          <w:lang w:val="en-US" w:eastAsia="zh-CN"/>
        </w:rPr>
        <w:t>未画该软铜连接线，部分供应商未按要求供应，影响避雷器使用</w:t>
      </w:r>
      <w:r>
        <w:rPr>
          <w:rFonts w:hint="eastAsia" w:ascii="宋体" w:hAnsi="宋体"/>
          <w:color w:val="auto"/>
        </w:rPr>
        <w:t>。</w:t>
      </w:r>
    </w:p>
    <w:p>
      <w:pPr>
        <w:pStyle w:val="9"/>
        <w:numPr>
          <w:ilvl w:val="0"/>
          <w:numId w:val="2"/>
        </w:numPr>
        <w:ind w:left="0" w:firstLine="420" w:firstLineChars="0"/>
        <w:rPr>
          <w:rFonts w:ascii="宋体" w:hAnsi="宋体" w:cs="Times New Roman"/>
          <w:color w:val="auto"/>
        </w:rPr>
      </w:pPr>
      <w:r>
        <w:rPr>
          <w:rFonts w:hint="eastAsia"/>
          <w:color w:val="auto"/>
          <w:lang w:eastAsia="zh-CN"/>
        </w:rPr>
        <w:t>《</w:t>
      </w:r>
      <w:r>
        <w:rPr>
          <w:rFonts w:hint="eastAsia"/>
          <w:color w:val="auto"/>
        </w:rPr>
        <w:t>10kV交流无间隙金属氧化物避雷器技术规范书（专用部分）</w:t>
      </w:r>
      <w:r>
        <w:rPr>
          <w:rFonts w:hint="eastAsia"/>
          <w:color w:val="auto"/>
          <w:lang w:eastAsia="zh-CN"/>
        </w:rPr>
        <w:t>》</w:t>
      </w:r>
      <w:r>
        <w:rPr>
          <w:rFonts w:hint="eastAsia"/>
          <w:color w:val="auto"/>
          <w:lang w:val="en-US" w:eastAsia="zh-CN"/>
        </w:rPr>
        <w:t>中的“</w:t>
      </w:r>
      <w:r>
        <w:rPr>
          <w:rFonts w:hint="eastAsia"/>
          <w:color w:val="auto"/>
          <w:szCs w:val="21"/>
        </w:rPr>
        <w:t>额定重复转移电荷（整只避雷器）</w:t>
      </w:r>
      <w:r>
        <w:rPr>
          <w:rFonts w:hint="eastAsia"/>
          <w:color w:val="auto"/>
          <w:lang w:val="en-US" w:eastAsia="zh-CN"/>
        </w:rPr>
        <w:t>”的证明材料增加“送样检测报告”</w:t>
      </w:r>
      <w:r>
        <w:rPr>
          <w:rFonts w:hint="eastAsia" w:ascii="宋体" w:hAnsi="宋体" w:cs="Times New Roman"/>
          <w:color w:val="auto"/>
        </w:rPr>
        <w:t>。</w:t>
      </w:r>
    </w:p>
    <w:p>
      <w:pPr>
        <w:spacing w:line="360" w:lineRule="auto"/>
        <w:ind w:firstLine="420"/>
        <w:rPr>
          <w:rFonts w:ascii="宋体" w:hAnsi="宋体"/>
          <w:color w:val="auto"/>
        </w:rPr>
      </w:pPr>
      <w:r>
        <w:rPr>
          <w:rFonts w:hint="eastAsia" w:ascii="宋体" w:hAnsi="宋体"/>
          <w:color w:val="auto"/>
        </w:rPr>
        <w:t>原因：</w:t>
      </w:r>
      <w:r>
        <w:rPr>
          <w:rFonts w:hint="eastAsia" w:ascii="宋体" w:hAnsi="宋体"/>
          <w:color w:val="auto"/>
          <w:lang w:val="en-US" w:eastAsia="zh-CN"/>
        </w:rPr>
        <w:t>根据南方电网公司发布的10kV交流避雷器送样检测公告，送样检测报告中具有整只避雷器的</w:t>
      </w:r>
      <w:r>
        <w:rPr>
          <w:rFonts w:hint="eastAsia"/>
          <w:color w:val="auto"/>
          <w:szCs w:val="21"/>
        </w:rPr>
        <w:t>额定重复转移电荷</w:t>
      </w:r>
      <w:r>
        <w:rPr>
          <w:rFonts w:hint="eastAsia"/>
          <w:color w:val="auto"/>
          <w:szCs w:val="21"/>
          <w:lang w:val="en-US" w:eastAsia="zh-CN"/>
        </w:rPr>
        <w:t>试验项目，同样具有效力</w:t>
      </w:r>
      <w:r>
        <w:rPr>
          <w:rFonts w:hint="eastAsia" w:ascii="宋体" w:hAnsi="宋体"/>
          <w:color w:val="auto"/>
        </w:rPr>
        <w:t>。</w:t>
      </w:r>
    </w:p>
    <w:p>
      <w:pPr>
        <w:pStyle w:val="9"/>
        <w:numPr>
          <w:ilvl w:val="0"/>
          <w:numId w:val="2"/>
        </w:numPr>
        <w:ind w:left="0" w:firstLine="420" w:firstLineChars="0"/>
        <w:rPr>
          <w:rFonts w:ascii="宋体" w:hAnsi="宋体" w:cs="Times New Roman"/>
          <w:color w:val="auto"/>
        </w:rPr>
      </w:pPr>
      <w:r>
        <w:rPr>
          <w:rFonts w:hint="eastAsia"/>
          <w:color w:val="auto"/>
          <w:lang w:eastAsia="zh-CN"/>
        </w:rPr>
        <w:t>《</w:t>
      </w:r>
      <w:r>
        <w:rPr>
          <w:rFonts w:hint="eastAsia"/>
          <w:color w:val="auto"/>
        </w:rPr>
        <w:t>10kV交流无间隙金属氧化物避雷器技术规范书（专用部分）</w:t>
      </w:r>
      <w:r>
        <w:rPr>
          <w:rFonts w:hint="eastAsia"/>
          <w:color w:val="auto"/>
          <w:lang w:eastAsia="zh-CN"/>
        </w:rPr>
        <w:t>》</w:t>
      </w:r>
      <w:r>
        <w:rPr>
          <w:rFonts w:hint="eastAsia"/>
          <w:color w:val="auto"/>
          <w:lang w:val="en-US" w:eastAsia="zh-CN"/>
        </w:rPr>
        <w:t>中的“</w:t>
      </w:r>
      <w:r>
        <w:rPr>
          <w:rFonts w:hint="eastAsia"/>
          <w:color w:val="auto"/>
          <w:szCs w:val="22"/>
        </w:rPr>
        <w:t>大电流冲击耐受电流峰值</w:t>
      </w:r>
      <w:r>
        <w:rPr>
          <w:rFonts w:hint="eastAsia"/>
          <w:color w:val="auto"/>
          <w:lang w:val="en-US" w:eastAsia="zh-CN"/>
        </w:rPr>
        <w:t>”区分整只避雷器和电阻片两种参数</w:t>
      </w:r>
    </w:p>
    <w:p>
      <w:pPr>
        <w:pStyle w:val="9"/>
        <w:rPr>
          <w:rFonts w:ascii="宋体" w:hAnsi="宋体" w:cs="Times New Roman"/>
          <w:color w:val="auto"/>
        </w:rPr>
      </w:pPr>
      <w:r>
        <w:rPr>
          <w:rFonts w:hint="eastAsia" w:ascii="宋体" w:hAnsi="宋体" w:cs="Times New Roman"/>
          <w:color w:val="auto"/>
        </w:rPr>
        <w:t>原因：</w:t>
      </w:r>
      <w:r>
        <w:rPr>
          <w:rFonts w:hint="eastAsia" w:ascii="宋体" w:hAnsi="宋体" w:cs="Times New Roman"/>
          <w:color w:val="auto"/>
          <w:lang w:val="en-US" w:eastAsia="zh-CN"/>
        </w:rPr>
        <w:t>按照</w:t>
      </w:r>
      <w:r>
        <w:rPr>
          <w:rFonts w:hint="eastAsia" w:ascii="宋体" w:hAnsi="宋体"/>
          <w:color w:val="auto"/>
          <w:lang w:val="en-US" w:eastAsia="zh-CN"/>
        </w:rPr>
        <w:t>GB/T11032-2020《交流无间隙金属氧化物避雷器》</w:t>
      </w:r>
      <w:r>
        <w:rPr>
          <w:rFonts w:hint="eastAsia"/>
          <w:color w:val="auto"/>
          <w:szCs w:val="22"/>
        </w:rPr>
        <w:t>大电流冲击耐受电流</w:t>
      </w:r>
      <w:r>
        <w:rPr>
          <w:rFonts w:hint="eastAsia"/>
          <w:color w:val="auto"/>
          <w:szCs w:val="22"/>
          <w:lang w:val="en-US" w:eastAsia="zh-CN"/>
        </w:rPr>
        <w:t>试验</w:t>
      </w:r>
      <w:r>
        <w:rPr>
          <w:rFonts w:hint="eastAsia" w:ascii="宋体" w:hAnsi="宋体"/>
          <w:color w:val="auto"/>
          <w:lang w:val="en-US" w:eastAsia="zh-CN"/>
        </w:rPr>
        <w:t>可开在整只避雷器或电阻片实施，按照南方电网公司发布的10kV交流避雷器送样检测公告，大电流冲击耐受应在整只避雷器试验，更有利于检测避雷器的整体防雷性能</w:t>
      </w:r>
      <w:r>
        <w:rPr>
          <w:rFonts w:hint="eastAsia" w:ascii="宋体" w:hAnsi="宋体" w:cs="Times New Roman"/>
          <w:color w:val="auto"/>
        </w:rPr>
        <w:t>。</w:t>
      </w:r>
    </w:p>
    <w:p>
      <w:pPr>
        <w:pStyle w:val="9"/>
        <w:numPr>
          <w:ilvl w:val="0"/>
          <w:numId w:val="2"/>
        </w:numPr>
        <w:ind w:left="0" w:firstLine="420" w:firstLineChars="0"/>
        <w:rPr>
          <w:rFonts w:ascii="宋体" w:hAnsi="宋体" w:cs="Times New Roman"/>
          <w:color w:val="auto"/>
        </w:rPr>
      </w:pPr>
      <w:r>
        <w:rPr>
          <w:rFonts w:hint="eastAsia" w:ascii="宋体" w:hAnsi="宋体" w:cs="Times New Roman"/>
          <w:color w:val="auto"/>
          <w:lang w:eastAsia="zh-CN"/>
        </w:rPr>
        <w:t>《</w:t>
      </w:r>
      <w:r>
        <w:rPr>
          <w:rFonts w:hint="eastAsia" w:ascii="宋体" w:hAnsi="宋体" w:cs="Times New Roman"/>
          <w:color w:val="auto"/>
        </w:rPr>
        <w:t>10kV交流外串联间隙金属氧化物避雷器技术规范书（通用部分）</w:t>
      </w:r>
      <w:r>
        <w:rPr>
          <w:rFonts w:hint="eastAsia" w:ascii="宋体" w:hAnsi="宋体" w:cs="Times New Roman"/>
          <w:color w:val="auto"/>
          <w:lang w:eastAsia="zh-CN"/>
        </w:rPr>
        <w:t>》</w:t>
      </w:r>
      <w:r>
        <w:rPr>
          <w:rFonts w:hint="eastAsia" w:ascii="宋体" w:hAnsi="宋体" w:cs="Times New Roman"/>
          <w:color w:val="auto"/>
          <w:lang w:val="en-US" w:eastAsia="zh-CN"/>
        </w:rPr>
        <w:t>修改完善了“</w:t>
      </w:r>
      <w:r>
        <w:rPr>
          <w:rFonts w:hint="eastAsia"/>
          <w:color w:val="auto"/>
        </w:rPr>
        <w:t>高压连接线及线夹</w:t>
      </w:r>
      <w:r>
        <w:rPr>
          <w:rFonts w:hint="eastAsia" w:ascii="宋体" w:hAnsi="宋体" w:cs="Times New Roman"/>
          <w:color w:val="auto"/>
          <w:lang w:val="en-US" w:eastAsia="zh-CN"/>
        </w:rPr>
        <w:t>”的技术要求</w:t>
      </w:r>
      <w:r>
        <w:rPr>
          <w:rFonts w:hint="eastAsia" w:ascii="宋体" w:hAnsi="宋体" w:cs="Times New Roman"/>
          <w:color w:val="auto"/>
        </w:rPr>
        <w:t>。</w:t>
      </w:r>
    </w:p>
    <w:p>
      <w:pPr>
        <w:spacing w:line="360" w:lineRule="auto"/>
        <w:ind w:firstLine="420"/>
        <w:rPr>
          <w:rFonts w:hint="eastAsia" w:ascii="宋体" w:hAnsi="宋体" w:eastAsia="宋体"/>
          <w:color w:val="auto"/>
          <w:lang w:eastAsia="zh-CN"/>
        </w:rPr>
      </w:pPr>
      <w:r>
        <w:rPr>
          <w:rFonts w:hint="eastAsia" w:ascii="宋体" w:hAnsi="宋体"/>
          <w:color w:val="auto"/>
        </w:rPr>
        <w:t>原因：</w:t>
      </w:r>
      <w:r>
        <w:rPr>
          <w:rFonts w:hint="eastAsia" w:ascii="宋体" w:hAnsi="宋体"/>
          <w:color w:val="auto"/>
          <w:lang w:val="en-US" w:eastAsia="zh-CN"/>
        </w:rPr>
        <w:t>根据生产运行需求和</w:t>
      </w:r>
      <w:r>
        <w:rPr>
          <w:rFonts w:hint="eastAsia" w:ascii="宋体" w:hAnsi="宋体"/>
          <w:color w:val="auto"/>
        </w:rPr>
        <w:t>招标采购技术澄清，</w:t>
      </w:r>
      <w:r>
        <w:rPr>
          <w:rFonts w:hint="eastAsia"/>
          <w:color w:val="auto"/>
        </w:rPr>
        <w:t>投标方应提供避雷器高压端的连接导线（即高压连接线）及用于安装至10kV导线的配套线夹。高压连接线可与避雷器一体成型生产提供（见图1），也可单独提供（见图2</w:t>
      </w:r>
      <w:r>
        <w:rPr>
          <w:rFonts w:hint="eastAsia"/>
          <w:color w:val="auto"/>
          <w:lang w:val="en-US" w:eastAsia="zh-CN"/>
        </w:rPr>
        <w:t>并同时提供配套高压连接线</w:t>
      </w:r>
      <w:r>
        <w:rPr>
          <w:rFonts w:hint="eastAsia"/>
          <w:color w:val="auto"/>
        </w:rPr>
        <w:t>），具体根据招标方的要求确定</w:t>
      </w:r>
      <w:r>
        <w:rPr>
          <w:rFonts w:hint="eastAsia" w:ascii="宋体" w:hAnsi="宋体"/>
          <w:color w:val="auto"/>
        </w:rPr>
        <w:t>。</w:t>
      </w:r>
      <w:r>
        <w:rPr>
          <w:rFonts w:hint="eastAsia"/>
          <w:color w:val="auto"/>
        </w:rPr>
        <w:t>高压连接线应采用导电截面≥16mm</w:t>
      </w:r>
      <w:r>
        <w:rPr>
          <w:rFonts w:hint="eastAsia"/>
          <w:color w:val="auto"/>
          <w:vertAlign w:val="superscript"/>
        </w:rPr>
        <w:t>2</w:t>
      </w:r>
      <w:r>
        <w:rPr>
          <w:rFonts w:hint="eastAsia"/>
          <w:color w:val="auto"/>
        </w:rPr>
        <w:t>软铜线</w:t>
      </w:r>
      <w:r>
        <w:rPr>
          <w:rFonts w:hint="eastAsia"/>
          <w:color w:val="auto"/>
          <w:highlight w:val="none"/>
          <w:lang w:val="en-US" w:eastAsia="zh-CN"/>
        </w:rPr>
        <w:t>或</w:t>
      </w:r>
      <w:r>
        <w:rPr>
          <w:rFonts w:hint="eastAsia"/>
          <w:color w:val="auto"/>
          <w:highlight w:val="none"/>
        </w:rPr>
        <w:t>导电截面≥</w:t>
      </w:r>
      <w:r>
        <w:rPr>
          <w:rFonts w:hint="eastAsia"/>
          <w:color w:val="auto"/>
          <w:highlight w:val="none"/>
          <w:lang w:val="en-US" w:eastAsia="zh-CN"/>
        </w:rPr>
        <w:t>35</w:t>
      </w:r>
      <w:r>
        <w:rPr>
          <w:rFonts w:hint="eastAsia"/>
          <w:color w:val="auto"/>
          <w:highlight w:val="none"/>
        </w:rPr>
        <w:t>mm</w:t>
      </w:r>
      <w:r>
        <w:rPr>
          <w:rFonts w:hint="eastAsia"/>
          <w:color w:val="auto"/>
          <w:highlight w:val="none"/>
          <w:vertAlign w:val="superscript"/>
        </w:rPr>
        <w:t>2</w:t>
      </w:r>
      <w:r>
        <w:rPr>
          <w:rFonts w:hint="eastAsia"/>
          <w:color w:val="auto"/>
          <w:highlight w:val="none"/>
        </w:rPr>
        <w:t>软</w:t>
      </w:r>
      <w:r>
        <w:rPr>
          <w:rFonts w:hint="eastAsia"/>
          <w:color w:val="auto"/>
          <w:highlight w:val="none"/>
          <w:lang w:val="en-US" w:eastAsia="zh-CN"/>
        </w:rPr>
        <w:t>铝</w:t>
      </w:r>
      <w:r>
        <w:rPr>
          <w:rFonts w:hint="eastAsia"/>
          <w:color w:val="auto"/>
          <w:highlight w:val="none"/>
        </w:rPr>
        <w:t>线</w:t>
      </w:r>
      <w:r>
        <w:rPr>
          <w:rFonts w:hint="eastAsia"/>
          <w:color w:val="auto"/>
          <w:highlight w:val="none"/>
          <w:lang w:eastAsia="zh-CN"/>
        </w:rPr>
        <w:t>。</w:t>
      </w:r>
    </w:p>
    <w:p>
      <w:pPr>
        <w:pStyle w:val="9"/>
        <w:numPr>
          <w:ilvl w:val="0"/>
          <w:numId w:val="2"/>
        </w:numPr>
        <w:ind w:left="0" w:firstLine="420" w:firstLineChars="0"/>
        <w:rPr>
          <w:rFonts w:ascii="宋体" w:hAnsi="宋体" w:cs="Times New Roman"/>
          <w:color w:val="auto"/>
        </w:rPr>
      </w:pPr>
      <w:r>
        <w:rPr>
          <w:rFonts w:hint="eastAsia"/>
          <w:color w:val="auto"/>
          <w:lang w:eastAsia="zh-CN"/>
        </w:rPr>
        <w:t>《</w:t>
      </w:r>
      <w:r>
        <w:rPr>
          <w:rFonts w:hint="eastAsia"/>
          <w:color w:val="auto"/>
        </w:rPr>
        <w:t>10kV交流外串联间隙金属氧化物避雷器技术规范书（通用部分）</w:t>
      </w:r>
      <w:r>
        <w:rPr>
          <w:rFonts w:hint="eastAsia"/>
          <w:color w:val="auto"/>
          <w:lang w:eastAsia="zh-CN"/>
        </w:rPr>
        <w:t>》</w:t>
      </w:r>
      <w:r>
        <w:rPr>
          <w:rFonts w:hint="eastAsia"/>
          <w:color w:val="auto"/>
          <w:lang w:val="en-US" w:eastAsia="zh-CN"/>
        </w:rPr>
        <w:t>中修改完善了专项抽检、送样抽检、到货抽检的部分试验要求</w:t>
      </w:r>
      <w:r>
        <w:rPr>
          <w:rFonts w:hint="eastAsia" w:ascii="宋体" w:hAnsi="宋体" w:cs="Times New Roman"/>
          <w:color w:val="auto"/>
        </w:rPr>
        <w:t>。</w:t>
      </w:r>
    </w:p>
    <w:p>
      <w:pPr>
        <w:spacing w:line="360" w:lineRule="auto"/>
        <w:ind w:firstLine="420"/>
        <w:rPr>
          <w:rFonts w:ascii="宋体" w:hAnsi="宋体"/>
          <w:color w:val="auto"/>
        </w:rPr>
      </w:pPr>
      <w:r>
        <w:rPr>
          <w:rFonts w:hint="eastAsia" w:ascii="宋体" w:hAnsi="宋体"/>
          <w:color w:val="auto"/>
        </w:rPr>
        <w:t>原因：</w:t>
      </w:r>
      <w:r>
        <w:rPr>
          <w:rFonts w:hint="eastAsia" w:ascii="宋体" w:hAnsi="宋体"/>
          <w:color w:val="auto"/>
          <w:lang w:val="en-US" w:eastAsia="zh-CN"/>
        </w:rPr>
        <w:t>根据南方电网公司发布的10kV交流避雷器送样检测公告，</w:t>
      </w:r>
      <w:r>
        <w:rPr>
          <w:rFonts w:hint="eastAsia" w:ascii="宋体" w:hAnsi="宋体"/>
          <w:color w:val="auto"/>
        </w:rPr>
        <w:t>对于专项抽检、送样检测试验，残压试验、雷电放电能力试验（或重复转移电荷试验）和大电流冲击耐受试验应在整只避雷器上开展，残压试验仅开展雷电冲击残压试验，间隙距离测量可在外观检查中一并开展；对于到货抽检试验，雷电冲击残压试验、雷电放电能力试验（或重复转移电荷试验）和大电流冲击耐受试验宜在整只避雷器上开展。</w:t>
      </w:r>
    </w:p>
    <w:p>
      <w:pPr>
        <w:pStyle w:val="9"/>
        <w:numPr>
          <w:ilvl w:val="0"/>
          <w:numId w:val="2"/>
        </w:numPr>
        <w:ind w:left="0" w:firstLine="420" w:firstLineChars="0"/>
        <w:rPr>
          <w:rFonts w:ascii="宋体" w:hAnsi="宋体" w:cs="Times New Roman"/>
          <w:color w:val="auto"/>
        </w:rPr>
      </w:pPr>
      <w:r>
        <w:rPr>
          <w:rFonts w:hint="eastAsia" w:ascii="宋体" w:hAnsi="宋体" w:cs="Times New Roman"/>
          <w:color w:val="auto"/>
          <w:lang w:val="en-US" w:eastAsia="zh-CN"/>
        </w:rPr>
        <w:t>《10kV交流外串联间隙金属氧化物避雷器技术规范书（专用部分）》中的整只</w:t>
      </w:r>
      <w:r>
        <w:rPr>
          <w:rFonts w:hint="eastAsia" w:ascii="宋体" w:hAnsi="宋体" w:cs="Times New Roman"/>
          <w:color w:val="auto"/>
        </w:rPr>
        <w:t>雷电放电能力（或重复转移电荷）</w:t>
      </w:r>
      <w:r>
        <w:rPr>
          <w:rFonts w:hint="eastAsia" w:ascii="宋体" w:hAnsi="宋体" w:cs="Times New Roman"/>
          <w:color w:val="auto"/>
          <w:lang w:val="en-US" w:eastAsia="zh-CN"/>
        </w:rPr>
        <w:t>试验项目证明材料增加送样检测报告</w:t>
      </w:r>
    </w:p>
    <w:p>
      <w:pPr>
        <w:pStyle w:val="9"/>
        <w:ind w:left="420" w:firstLine="0" w:firstLineChars="0"/>
        <w:rPr>
          <w:color w:val="auto"/>
        </w:rPr>
      </w:pPr>
      <w:r>
        <w:rPr>
          <w:rFonts w:hint="eastAsia" w:ascii="宋体" w:hAnsi="宋体" w:cs="Times New Roman"/>
          <w:color w:val="auto"/>
        </w:rPr>
        <w:t>原因：</w:t>
      </w:r>
      <w:r>
        <w:rPr>
          <w:rFonts w:hint="eastAsia" w:ascii="宋体" w:hAnsi="宋体"/>
          <w:color w:val="auto"/>
          <w:lang w:val="en-US" w:eastAsia="zh-CN"/>
        </w:rPr>
        <w:t>根据南方电网公司发布的10kV交流避雷器送样检测公告，送样检测报告中具有整只避雷器的</w:t>
      </w:r>
      <w:r>
        <w:rPr>
          <w:rFonts w:hint="eastAsia"/>
          <w:color w:val="auto"/>
          <w:szCs w:val="21"/>
        </w:rPr>
        <w:t>额定重复转移电荷</w:t>
      </w:r>
      <w:r>
        <w:rPr>
          <w:rFonts w:hint="eastAsia"/>
          <w:color w:val="auto"/>
          <w:szCs w:val="21"/>
          <w:lang w:val="en-US" w:eastAsia="zh-CN"/>
        </w:rPr>
        <w:t>试验项目，同样具有效力</w:t>
      </w:r>
      <w:r>
        <w:rPr>
          <w:rFonts w:hint="eastAsia" w:ascii="宋体" w:hAnsi="宋体" w:cs="Times New Roman"/>
          <w:color w:val="auto"/>
        </w:rPr>
        <w:t>。</w:t>
      </w:r>
    </w:p>
    <w:p>
      <w:pPr>
        <w:numPr>
          <w:ilvl w:val="0"/>
          <w:numId w:val="3"/>
        </w:numPr>
        <w:spacing w:line="360" w:lineRule="auto"/>
        <w:ind w:firstLine="0" w:firstLineChars="0"/>
        <w:rPr>
          <w:b/>
          <w:color w:val="auto"/>
          <w:szCs w:val="21"/>
        </w:rPr>
      </w:pPr>
      <w:r>
        <w:rPr>
          <w:b/>
          <w:color w:val="auto"/>
          <w:szCs w:val="21"/>
        </w:rPr>
        <w:t>代替或废止现行</w:t>
      </w:r>
      <w:r>
        <w:rPr>
          <w:rFonts w:hint="eastAsia"/>
          <w:b/>
          <w:color w:val="auto"/>
          <w:szCs w:val="21"/>
        </w:rPr>
        <w:t>企业</w:t>
      </w:r>
      <w:r>
        <w:rPr>
          <w:b/>
          <w:color w:val="auto"/>
          <w:szCs w:val="21"/>
        </w:rPr>
        <w:t>标准的建议</w:t>
      </w:r>
    </w:p>
    <w:p>
      <w:pPr>
        <w:spacing w:line="360" w:lineRule="auto"/>
        <w:ind w:firstLine="420"/>
        <w:rPr>
          <w:color w:val="auto"/>
        </w:rPr>
      </w:pPr>
      <w:r>
        <w:rPr>
          <w:rFonts w:hint="eastAsia"/>
          <w:color w:val="auto"/>
        </w:rPr>
        <w:t>无。</w:t>
      </w:r>
      <w:bookmarkEnd w:id="0"/>
    </w:p>
    <w:p>
      <w:pPr>
        <w:spacing w:line="360" w:lineRule="auto"/>
        <w:ind w:firstLine="0" w:firstLineChars="0"/>
        <w:rPr>
          <w:b/>
          <w:color w:val="auto"/>
        </w:rPr>
      </w:pPr>
      <w:r>
        <w:rPr>
          <w:rFonts w:hint="eastAsia"/>
          <w:b/>
          <w:color w:val="auto"/>
        </w:rPr>
        <w:t>4 其他需重点说明的方面</w:t>
      </w:r>
    </w:p>
    <w:p>
      <w:pPr>
        <w:spacing w:line="360" w:lineRule="auto"/>
        <w:ind w:firstLine="420"/>
        <w:rPr>
          <w:color w:val="auto"/>
        </w:rPr>
      </w:pPr>
      <w:r>
        <w:rPr>
          <w:rFonts w:hint="eastAsia"/>
          <w:color w:val="auto"/>
        </w:rPr>
        <w:t>无。</w:t>
      </w:r>
    </w:p>
    <w:p>
      <w:pPr>
        <w:ind w:firstLine="420"/>
        <w:rPr>
          <w:color w:val="auto"/>
        </w:rPr>
      </w:pPr>
    </w:p>
    <w:p>
      <w:pPr>
        <w:ind w:firstLine="420"/>
        <w:rPr>
          <w:color w:val="auto"/>
        </w:rPr>
      </w:pPr>
    </w:p>
    <w:sectPr>
      <w:headerReference r:id="rId7" w:type="first"/>
      <w:footerReference r:id="rId10" w:type="first"/>
      <w:headerReference r:id="rId5" w:type="default"/>
      <w:footerReference r:id="rId8" w:type="default"/>
      <w:headerReference r:id="rId6" w:type="even"/>
      <w:footerReference r:id="rId9" w:type="even"/>
      <w:pgSz w:w="11907" w:h="16839"/>
      <w:pgMar w:top="1418" w:right="1134" w:bottom="1134" w:left="1418" w:header="851" w:footer="669" w:gutter="0"/>
      <w:pgNumType w:start="1"/>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right"/>
    </w:pPr>
    <w:r>
      <w:fldChar w:fldCharType="begin"/>
    </w:r>
    <w:r>
      <w:instrText xml:space="preserve">PAGE   \* MERGEFORMAT</w:instrText>
    </w:r>
    <w:r>
      <w:fldChar w:fldCharType="separate"/>
    </w:r>
    <w:r>
      <w:rPr>
        <w:lang w:val="zh-CN"/>
      </w:rPr>
      <w:t>2</w:t>
    </w:r>
    <w:r>
      <w:fldChar w:fldCharType="end"/>
    </w:r>
  </w:p>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0" w:firstLineChars="0"/>
    </w:pPr>
    <w:r>
      <w:fldChar w:fldCharType="begin"/>
    </w:r>
    <w:r>
      <w:instrText xml:space="preserve">PAGE   \* MERGEFORMAT</w:instrText>
    </w:r>
    <w:r>
      <w:fldChar w:fldCharType="separate"/>
    </w:r>
    <w:r>
      <w:rPr>
        <w:lang w:val="zh-CN"/>
      </w:rPr>
      <w:t>4</w:t>
    </w:r>
    <w:r>
      <w:fldChar w:fldCharType="end"/>
    </w:r>
  </w:p>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6"/>
    <w:multiLevelType w:val="multilevel"/>
    <w:tmpl w:val="00000016"/>
    <w:lvl w:ilvl="0" w:tentative="0">
      <w:start w:val="1"/>
      <w:numFmt w:val="none"/>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1">
    <w:nsid w:val="43804A4C"/>
    <w:multiLevelType w:val="multilevel"/>
    <w:tmpl w:val="43804A4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A557F4F"/>
    <w:multiLevelType w:val="singleLevel"/>
    <w:tmpl w:val="5A557F4F"/>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0YmY4YmY3OGFkYTRhNGY3Y2M4Zjc5MWFiMGEzYzYifQ=="/>
  </w:docVars>
  <w:rsids>
    <w:rsidRoot w:val="258317D0"/>
    <w:rsid w:val="001D6AD4"/>
    <w:rsid w:val="0024678C"/>
    <w:rsid w:val="00262D6B"/>
    <w:rsid w:val="00286A1C"/>
    <w:rsid w:val="0029504E"/>
    <w:rsid w:val="003351B1"/>
    <w:rsid w:val="004A3189"/>
    <w:rsid w:val="006D44BB"/>
    <w:rsid w:val="00716709"/>
    <w:rsid w:val="007D60FB"/>
    <w:rsid w:val="007E09F2"/>
    <w:rsid w:val="00996105"/>
    <w:rsid w:val="009F036F"/>
    <w:rsid w:val="00A4748C"/>
    <w:rsid w:val="00C964C9"/>
    <w:rsid w:val="00DC72AA"/>
    <w:rsid w:val="00EE01E3"/>
    <w:rsid w:val="012A4D39"/>
    <w:rsid w:val="012C0AEA"/>
    <w:rsid w:val="01634B17"/>
    <w:rsid w:val="01BA6397"/>
    <w:rsid w:val="02084025"/>
    <w:rsid w:val="021F4303"/>
    <w:rsid w:val="02205815"/>
    <w:rsid w:val="023B51DB"/>
    <w:rsid w:val="02765DA8"/>
    <w:rsid w:val="02E55110"/>
    <w:rsid w:val="03024C78"/>
    <w:rsid w:val="03033989"/>
    <w:rsid w:val="04012535"/>
    <w:rsid w:val="044F2F2C"/>
    <w:rsid w:val="050F32E7"/>
    <w:rsid w:val="05BD01E0"/>
    <w:rsid w:val="0631198B"/>
    <w:rsid w:val="06674305"/>
    <w:rsid w:val="06D941A6"/>
    <w:rsid w:val="06E63846"/>
    <w:rsid w:val="0746585D"/>
    <w:rsid w:val="07870C60"/>
    <w:rsid w:val="08233D01"/>
    <w:rsid w:val="0836725D"/>
    <w:rsid w:val="087C665C"/>
    <w:rsid w:val="089C469B"/>
    <w:rsid w:val="08B00DDB"/>
    <w:rsid w:val="08D5443F"/>
    <w:rsid w:val="08E02C20"/>
    <w:rsid w:val="099C61ED"/>
    <w:rsid w:val="09C808FE"/>
    <w:rsid w:val="09E2098A"/>
    <w:rsid w:val="09E916EC"/>
    <w:rsid w:val="0A516DEA"/>
    <w:rsid w:val="0A975A1C"/>
    <w:rsid w:val="0AAD1A84"/>
    <w:rsid w:val="0B4168AF"/>
    <w:rsid w:val="0B55243A"/>
    <w:rsid w:val="0B60241C"/>
    <w:rsid w:val="0C3D6129"/>
    <w:rsid w:val="0CAE404D"/>
    <w:rsid w:val="0CE04B22"/>
    <w:rsid w:val="0D64718B"/>
    <w:rsid w:val="0D7041D3"/>
    <w:rsid w:val="0D8F00CA"/>
    <w:rsid w:val="0D9558AA"/>
    <w:rsid w:val="0DDB541C"/>
    <w:rsid w:val="0DDC4BBD"/>
    <w:rsid w:val="0E5F04EA"/>
    <w:rsid w:val="0E75436D"/>
    <w:rsid w:val="0ED8611C"/>
    <w:rsid w:val="0F5F68BF"/>
    <w:rsid w:val="0FA54170"/>
    <w:rsid w:val="0FB36FB9"/>
    <w:rsid w:val="10724518"/>
    <w:rsid w:val="1075447A"/>
    <w:rsid w:val="10ED006D"/>
    <w:rsid w:val="113D6A27"/>
    <w:rsid w:val="1142723E"/>
    <w:rsid w:val="11AD485D"/>
    <w:rsid w:val="11AE0BC7"/>
    <w:rsid w:val="11B46333"/>
    <w:rsid w:val="121D7B90"/>
    <w:rsid w:val="123B27A3"/>
    <w:rsid w:val="12653229"/>
    <w:rsid w:val="127F7236"/>
    <w:rsid w:val="12C837E8"/>
    <w:rsid w:val="13702D2A"/>
    <w:rsid w:val="137502E3"/>
    <w:rsid w:val="1387658E"/>
    <w:rsid w:val="13C35056"/>
    <w:rsid w:val="13F20486"/>
    <w:rsid w:val="14140A5F"/>
    <w:rsid w:val="141E78D5"/>
    <w:rsid w:val="14355F23"/>
    <w:rsid w:val="144A5E22"/>
    <w:rsid w:val="15070F72"/>
    <w:rsid w:val="15432668"/>
    <w:rsid w:val="155A3BF3"/>
    <w:rsid w:val="15D8440B"/>
    <w:rsid w:val="162B152B"/>
    <w:rsid w:val="163D3D4C"/>
    <w:rsid w:val="16441505"/>
    <w:rsid w:val="168E706D"/>
    <w:rsid w:val="17221EF9"/>
    <w:rsid w:val="174D59BE"/>
    <w:rsid w:val="180E0014"/>
    <w:rsid w:val="18297073"/>
    <w:rsid w:val="193F5642"/>
    <w:rsid w:val="19CB06E4"/>
    <w:rsid w:val="19CF3F9A"/>
    <w:rsid w:val="19EB481A"/>
    <w:rsid w:val="19FB63FF"/>
    <w:rsid w:val="1A1547E3"/>
    <w:rsid w:val="1A2C1711"/>
    <w:rsid w:val="1AA536D7"/>
    <w:rsid w:val="1AE1333A"/>
    <w:rsid w:val="1B4340A0"/>
    <w:rsid w:val="1B677B6F"/>
    <w:rsid w:val="1B8C0A3B"/>
    <w:rsid w:val="1BC32365"/>
    <w:rsid w:val="1BEA7407"/>
    <w:rsid w:val="1CFB504F"/>
    <w:rsid w:val="1D7C7B5D"/>
    <w:rsid w:val="1DAB611E"/>
    <w:rsid w:val="1DAF0C1E"/>
    <w:rsid w:val="1EBE3C26"/>
    <w:rsid w:val="1EBE5BFF"/>
    <w:rsid w:val="1F301394"/>
    <w:rsid w:val="1F3D05CC"/>
    <w:rsid w:val="1F4C737C"/>
    <w:rsid w:val="1FC451A7"/>
    <w:rsid w:val="1FEE7E3B"/>
    <w:rsid w:val="1FF21151"/>
    <w:rsid w:val="20640B81"/>
    <w:rsid w:val="207433A9"/>
    <w:rsid w:val="21553EC9"/>
    <w:rsid w:val="21EE029F"/>
    <w:rsid w:val="224C4767"/>
    <w:rsid w:val="22E766FD"/>
    <w:rsid w:val="23B26899"/>
    <w:rsid w:val="23B61777"/>
    <w:rsid w:val="23CF26DB"/>
    <w:rsid w:val="24252153"/>
    <w:rsid w:val="243646BB"/>
    <w:rsid w:val="24867E05"/>
    <w:rsid w:val="24BF7B4E"/>
    <w:rsid w:val="25625961"/>
    <w:rsid w:val="258317D0"/>
    <w:rsid w:val="25B82C4B"/>
    <w:rsid w:val="25CA5792"/>
    <w:rsid w:val="260E2BC0"/>
    <w:rsid w:val="265240F5"/>
    <w:rsid w:val="26837780"/>
    <w:rsid w:val="26915111"/>
    <w:rsid w:val="26CD73EC"/>
    <w:rsid w:val="27193909"/>
    <w:rsid w:val="273057DD"/>
    <w:rsid w:val="275A01D2"/>
    <w:rsid w:val="27C35CBC"/>
    <w:rsid w:val="280C56AF"/>
    <w:rsid w:val="285930A4"/>
    <w:rsid w:val="29240110"/>
    <w:rsid w:val="29591BC3"/>
    <w:rsid w:val="29BE5550"/>
    <w:rsid w:val="2A330E62"/>
    <w:rsid w:val="2A43391A"/>
    <w:rsid w:val="2AC630C4"/>
    <w:rsid w:val="2ACB004F"/>
    <w:rsid w:val="2B5476DA"/>
    <w:rsid w:val="2BFC38C3"/>
    <w:rsid w:val="2C6D026F"/>
    <w:rsid w:val="2CAF6005"/>
    <w:rsid w:val="2CF4656F"/>
    <w:rsid w:val="2D853893"/>
    <w:rsid w:val="2D957F56"/>
    <w:rsid w:val="2DD17EAA"/>
    <w:rsid w:val="2DFE24BC"/>
    <w:rsid w:val="2E5934CE"/>
    <w:rsid w:val="2E650EDE"/>
    <w:rsid w:val="2E6D45E8"/>
    <w:rsid w:val="2EB91531"/>
    <w:rsid w:val="308D6E8F"/>
    <w:rsid w:val="30B432C9"/>
    <w:rsid w:val="31103DBF"/>
    <w:rsid w:val="31446405"/>
    <w:rsid w:val="316D6FAC"/>
    <w:rsid w:val="31813EAF"/>
    <w:rsid w:val="318B5A31"/>
    <w:rsid w:val="31DE5264"/>
    <w:rsid w:val="32275C57"/>
    <w:rsid w:val="32794BBA"/>
    <w:rsid w:val="32A464A4"/>
    <w:rsid w:val="32A97C7C"/>
    <w:rsid w:val="32DA7EC4"/>
    <w:rsid w:val="33257BC5"/>
    <w:rsid w:val="33491A5C"/>
    <w:rsid w:val="337958DF"/>
    <w:rsid w:val="33CA66E5"/>
    <w:rsid w:val="342A1CB2"/>
    <w:rsid w:val="3450597F"/>
    <w:rsid w:val="345862D2"/>
    <w:rsid w:val="346F1CD3"/>
    <w:rsid w:val="34A303CF"/>
    <w:rsid w:val="34CD2032"/>
    <w:rsid w:val="34D43397"/>
    <w:rsid w:val="34D83C40"/>
    <w:rsid w:val="34E130E8"/>
    <w:rsid w:val="3506768B"/>
    <w:rsid w:val="35106C33"/>
    <w:rsid w:val="35857CBF"/>
    <w:rsid w:val="35986F0D"/>
    <w:rsid w:val="36234928"/>
    <w:rsid w:val="3698351C"/>
    <w:rsid w:val="36BD4F7F"/>
    <w:rsid w:val="36D318D8"/>
    <w:rsid w:val="37032CD9"/>
    <w:rsid w:val="37AE7EB5"/>
    <w:rsid w:val="37C60D26"/>
    <w:rsid w:val="37DF4FAE"/>
    <w:rsid w:val="385F59A5"/>
    <w:rsid w:val="38DC6D1C"/>
    <w:rsid w:val="391A1B5B"/>
    <w:rsid w:val="394D661B"/>
    <w:rsid w:val="39745892"/>
    <w:rsid w:val="398678ED"/>
    <w:rsid w:val="39CB1222"/>
    <w:rsid w:val="3A182F21"/>
    <w:rsid w:val="3AD30399"/>
    <w:rsid w:val="3B2D2BDB"/>
    <w:rsid w:val="3BD63CDE"/>
    <w:rsid w:val="3C0242F8"/>
    <w:rsid w:val="3C9A4560"/>
    <w:rsid w:val="3C9E54DC"/>
    <w:rsid w:val="3CE309B4"/>
    <w:rsid w:val="3D2F6E28"/>
    <w:rsid w:val="3DB946EF"/>
    <w:rsid w:val="3E032619"/>
    <w:rsid w:val="3F6C3FBE"/>
    <w:rsid w:val="3F9A0F1E"/>
    <w:rsid w:val="40AA5C8B"/>
    <w:rsid w:val="40CB6C01"/>
    <w:rsid w:val="40EB6145"/>
    <w:rsid w:val="40FD1334"/>
    <w:rsid w:val="410975CA"/>
    <w:rsid w:val="416C6B92"/>
    <w:rsid w:val="41793540"/>
    <w:rsid w:val="41896674"/>
    <w:rsid w:val="41A110EA"/>
    <w:rsid w:val="423E70F3"/>
    <w:rsid w:val="425008E0"/>
    <w:rsid w:val="426A3C23"/>
    <w:rsid w:val="42AE5A26"/>
    <w:rsid w:val="42EB3149"/>
    <w:rsid w:val="434F5617"/>
    <w:rsid w:val="4360465C"/>
    <w:rsid w:val="439D0EE6"/>
    <w:rsid w:val="43A641EA"/>
    <w:rsid w:val="43EB729A"/>
    <w:rsid w:val="441E39A7"/>
    <w:rsid w:val="442B127B"/>
    <w:rsid w:val="4469767E"/>
    <w:rsid w:val="447E7C51"/>
    <w:rsid w:val="44E3110D"/>
    <w:rsid w:val="4513128E"/>
    <w:rsid w:val="451E659B"/>
    <w:rsid w:val="45280FC8"/>
    <w:rsid w:val="454607D5"/>
    <w:rsid w:val="45643D8E"/>
    <w:rsid w:val="4581367E"/>
    <w:rsid w:val="459127A6"/>
    <w:rsid w:val="459E6704"/>
    <w:rsid w:val="45A915D9"/>
    <w:rsid w:val="46110154"/>
    <w:rsid w:val="46225FC0"/>
    <w:rsid w:val="466A67EC"/>
    <w:rsid w:val="46F7673B"/>
    <w:rsid w:val="474617C4"/>
    <w:rsid w:val="47845205"/>
    <w:rsid w:val="47BB23A8"/>
    <w:rsid w:val="47D65886"/>
    <w:rsid w:val="47FE04EF"/>
    <w:rsid w:val="48820112"/>
    <w:rsid w:val="4897082F"/>
    <w:rsid w:val="48A54B25"/>
    <w:rsid w:val="49CB4037"/>
    <w:rsid w:val="4A063F6C"/>
    <w:rsid w:val="4A3F02C2"/>
    <w:rsid w:val="4A744322"/>
    <w:rsid w:val="4B2802FF"/>
    <w:rsid w:val="4B307E83"/>
    <w:rsid w:val="4CCB382C"/>
    <w:rsid w:val="4D886455"/>
    <w:rsid w:val="4DA15366"/>
    <w:rsid w:val="4DAA20D8"/>
    <w:rsid w:val="4E191604"/>
    <w:rsid w:val="4E5629D3"/>
    <w:rsid w:val="4EA65DFD"/>
    <w:rsid w:val="4EBD26A8"/>
    <w:rsid w:val="4F61420B"/>
    <w:rsid w:val="4F78673A"/>
    <w:rsid w:val="4FDC4C53"/>
    <w:rsid w:val="4FF329BE"/>
    <w:rsid w:val="4FFA783F"/>
    <w:rsid w:val="50465342"/>
    <w:rsid w:val="506B1A4F"/>
    <w:rsid w:val="50D5164D"/>
    <w:rsid w:val="51555B1B"/>
    <w:rsid w:val="5157577D"/>
    <w:rsid w:val="519F5399"/>
    <w:rsid w:val="51E3446A"/>
    <w:rsid w:val="52073CE1"/>
    <w:rsid w:val="520D13BE"/>
    <w:rsid w:val="52143E07"/>
    <w:rsid w:val="524E3A12"/>
    <w:rsid w:val="52500222"/>
    <w:rsid w:val="52F26BD5"/>
    <w:rsid w:val="53992C64"/>
    <w:rsid w:val="53A43CAE"/>
    <w:rsid w:val="543712DB"/>
    <w:rsid w:val="543D7BD0"/>
    <w:rsid w:val="546E236D"/>
    <w:rsid w:val="54B035EE"/>
    <w:rsid w:val="550304FC"/>
    <w:rsid w:val="55044B53"/>
    <w:rsid w:val="55D247F1"/>
    <w:rsid w:val="560F0C03"/>
    <w:rsid w:val="561A2B6A"/>
    <w:rsid w:val="566F3FBC"/>
    <w:rsid w:val="568F3EC3"/>
    <w:rsid w:val="569B4B63"/>
    <w:rsid w:val="571F6AD2"/>
    <w:rsid w:val="579C5D05"/>
    <w:rsid w:val="57BA0F70"/>
    <w:rsid w:val="58087ED4"/>
    <w:rsid w:val="58C713F4"/>
    <w:rsid w:val="58E6248C"/>
    <w:rsid w:val="59516B89"/>
    <w:rsid w:val="595D7FCF"/>
    <w:rsid w:val="59615722"/>
    <w:rsid w:val="596F6307"/>
    <w:rsid w:val="59832343"/>
    <w:rsid w:val="59925FC4"/>
    <w:rsid w:val="599D79C2"/>
    <w:rsid w:val="59B5528F"/>
    <w:rsid w:val="5A0B25DA"/>
    <w:rsid w:val="5A921D0A"/>
    <w:rsid w:val="5A971A9F"/>
    <w:rsid w:val="5AB86DC9"/>
    <w:rsid w:val="5AE1431E"/>
    <w:rsid w:val="5B846F4D"/>
    <w:rsid w:val="5BBC6FBB"/>
    <w:rsid w:val="5BEA640D"/>
    <w:rsid w:val="5C363B64"/>
    <w:rsid w:val="5C7E7AFB"/>
    <w:rsid w:val="5CA3424C"/>
    <w:rsid w:val="5CAD6312"/>
    <w:rsid w:val="5CB218E8"/>
    <w:rsid w:val="5D551898"/>
    <w:rsid w:val="5DB1062D"/>
    <w:rsid w:val="5E020B02"/>
    <w:rsid w:val="5E10461E"/>
    <w:rsid w:val="5E237A5F"/>
    <w:rsid w:val="5EAE190E"/>
    <w:rsid w:val="5EBB7A0A"/>
    <w:rsid w:val="5ECF4A5D"/>
    <w:rsid w:val="5F0C4715"/>
    <w:rsid w:val="5F1F1647"/>
    <w:rsid w:val="5F423495"/>
    <w:rsid w:val="5F9C4293"/>
    <w:rsid w:val="5FB66C90"/>
    <w:rsid w:val="5FBA0B54"/>
    <w:rsid w:val="5FD379AA"/>
    <w:rsid w:val="6017787D"/>
    <w:rsid w:val="602A1DD5"/>
    <w:rsid w:val="6077541F"/>
    <w:rsid w:val="60935398"/>
    <w:rsid w:val="60A6261E"/>
    <w:rsid w:val="60C57EDF"/>
    <w:rsid w:val="60D4271C"/>
    <w:rsid w:val="60E20A60"/>
    <w:rsid w:val="610775F2"/>
    <w:rsid w:val="61140639"/>
    <w:rsid w:val="61CA557C"/>
    <w:rsid w:val="62150A53"/>
    <w:rsid w:val="62B11DE0"/>
    <w:rsid w:val="62C3389C"/>
    <w:rsid w:val="62C823D8"/>
    <w:rsid w:val="62DB0FA2"/>
    <w:rsid w:val="62EB07E8"/>
    <w:rsid w:val="634728FF"/>
    <w:rsid w:val="639D020F"/>
    <w:rsid w:val="6406497D"/>
    <w:rsid w:val="64811357"/>
    <w:rsid w:val="64994651"/>
    <w:rsid w:val="64C30F60"/>
    <w:rsid w:val="6518539A"/>
    <w:rsid w:val="651A04F6"/>
    <w:rsid w:val="651A0603"/>
    <w:rsid w:val="654F5641"/>
    <w:rsid w:val="65526EBC"/>
    <w:rsid w:val="660677E1"/>
    <w:rsid w:val="660F512C"/>
    <w:rsid w:val="665A0F10"/>
    <w:rsid w:val="666F37B1"/>
    <w:rsid w:val="66775ADA"/>
    <w:rsid w:val="667F189E"/>
    <w:rsid w:val="66892288"/>
    <w:rsid w:val="6689473B"/>
    <w:rsid w:val="66A85022"/>
    <w:rsid w:val="67067FC1"/>
    <w:rsid w:val="670A4B06"/>
    <w:rsid w:val="672C5394"/>
    <w:rsid w:val="67522A11"/>
    <w:rsid w:val="67931AF4"/>
    <w:rsid w:val="67AD2D13"/>
    <w:rsid w:val="68897099"/>
    <w:rsid w:val="68953095"/>
    <w:rsid w:val="68DE41F7"/>
    <w:rsid w:val="69461410"/>
    <w:rsid w:val="698A1524"/>
    <w:rsid w:val="69B76E48"/>
    <w:rsid w:val="69CD52A8"/>
    <w:rsid w:val="69DF57F7"/>
    <w:rsid w:val="69F82EE2"/>
    <w:rsid w:val="6A042D46"/>
    <w:rsid w:val="6A055DD9"/>
    <w:rsid w:val="6A511514"/>
    <w:rsid w:val="6AE2215A"/>
    <w:rsid w:val="6B0B7014"/>
    <w:rsid w:val="6B1861D3"/>
    <w:rsid w:val="6B4B776D"/>
    <w:rsid w:val="6C442EF4"/>
    <w:rsid w:val="6C9B5577"/>
    <w:rsid w:val="6CC027FD"/>
    <w:rsid w:val="6D78182A"/>
    <w:rsid w:val="6DA92CA5"/>
    <w:rsid w:val="6E1543C4"/>
    <w:rsid w:val="6E607075"/>
    <w:rsid w:val="6E6A62C2"/>
    <w:rsid w:val="6E811540"/>
    <w:rsid w:val="6EAB6425"/>
    <w:rsid w:val="6F0B0EA4"/>
    <w:rsid w:val="6F6025A2"/>
    <w:rsid w:val="6F715DDF"/>
    <w:rsid w:val="6FD40B3F"/>
    <w:rsid w:val="6FDB526F"/>
    <w:rsid w:val="6FE354CB"/>
    <w:rsid w:val="705041B8"/>
    <w:rsid w:val="70CB4F4E"/>
    <w:rsid w:val="71572478"/>
    <w:rsid w:val="71AA5276"/>
    <w:rsid w:val="71B90537"/>
    <w:rsid w:val="71F51FD5"/>
    <w:rsid w:val="726C6F01"/>
    <w:rsid w:val="72AE17E8"/>
    <w:rsid w:val="737403A5"/>
    <w:rsid w:val="739D39DE"/>
    <w:rsid w:val="742B701E"/>
    <w:rsid w:val="74472D7B"/>
    <w:rsid w:val="748A5675"/>
    <w:rsid w:val="74E054F2"/>
    <w:rsid w:val="75857953"/>
    <w:rsid w:val="75AD1018"/>
    <w:rsid w:val="75B451B2"/>
    <w:rsid w:val="75EB0546"/>
    <w:rsid w:val="761C4235"/>
    <w:rsid w:val="7642728C"/>
    <w:rsid w:val="76617D1E"/>
    <w:rsid w:val="76621BB9"/>
    <w:rsid w:val="778378D5"/>
    <w:rsid w:val="77953F19"/>
    <w:rsid w:val="77971D4B"/>
    <w:rsid w:val="77D35F9B"/>
    <w:rsid w:val="77D44425"/>
    <w:rsid w:val="78252106"/>
    <w:rsid w:val="7829521A"/>
    <w:rsid w:val="784D418F"/>
    <w:rsid w:val="78927A5F"/>
    <w:rsid w:val="78AB0283"/>
    <w:rsid w:val="78DD4B2E"/>
    <w:rsid w:val="78FA5B8B"/>
    <w:rsid w:val="791C1875"/>
    <w:rsid w:val="7A4F3A26"/>
    <w:rsid w:val="7A7C705E"/>
    <w:rsid w:val="7A971359"/>
    <w:rsid w:val="7AD26961"/>
    <w:rsid w:val="7AD65C4F"/>
    <w:rsid w:val="7AE14A39"/>
    <w:rsid w:val="7B083F1F"/>
    <w:rsid w:val="7B1D3588"/>
    <w:rsid w:val="7B3D4EC4"/>
    <w:rsid w:val="7B3F4954"/>
    <w:rsid w:val="7B823D6E"/>
    <w:rsid w:val="7BF05EFD"/>
    <w:rsid w:val="7C1E4245"/>
    <w:rsid w:val="7C7A50CC"/>
    <w:rsid w:val="7CA63651"/>
    <w:rsid w:val="7CD416B0"/>
    <w:rsid w:val="7CF83C6C"/>
    <w:rsid w:val="7CFB79F8"/>
    <w:rsid w:val="7D0A3980"/>
    <w:rsid w:val="7D3910C2"/>
    <w:rsid w:val="7D6941FF"/>
    <w:rsid w:val="7D92299F"/>
    <w:rsid w:val="7E0751EF"/>
    <w:rsid w:val="7E5F600A"/>
    <w:rsid w:val="7E751C80"/>
    <w:rsid w:val="7EF70640"/>
    <w:rsid w:val="7FB45BCB"/>
    <w:rsid w:val="7FBD4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2"/>
      <w:lang w:val="en-US" w:eastAsia="zh-CN" w:bidi="ar-SA"/>
    </w:rPr>
  </w:style>
  <w:style w:type="paragraph" w:styleId="3">
    <w:name w:val="heading 2"/>
    <w:basedOn w:val="1"/>
    <w:next w:val="1"/>
    <w:qFormat/>
    <w:uiPriority w:val="99"/>
    <w:pPr>
      <w:keepNext/>
      <w:keepLines/>
      <w:numPr>
        <w:ilvl w:val="1"/>
        <w:numId w:val="1"/>
      </w:numPr>
      <w:topLinePunct/>
      <w:outlineLvl w:val="1"/>
    </w:pPr>
    <w:rPr>
      <w:rFonts w:eastAsia="黑体"/>
      <w:bCs/>
      <w:szCs w:val="21"/>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center"/>
    </w:pPr>
    <w:rPr>
      <w:kern w:val="0"/>
      <w:sz w:val="44"/>
      <w:szCs w:val="24"/>
    </w:rPr>
  </w:style>
  <w:style w:type="paragraph" w:styleId="4">
    <w:name w:val="footer"/>
    <w:basedOn w:val="1"/>
    <w:unhideWhenUsed/>
    <w:qFormat/>
    <w:uiPriority w:val="99"/>
    <w:pPr>
      <w:tabs>
        <w:tab w:val="center" w:pos="4153"/>
        <w:tab w:val="right" w:pos="8306"/>
      </w:tabs>
      <w:snapToGrid w:val="0"/>
      <w:jc w:val="left"/>
    </w:pPr>
    <w:rPr>
      <w:kern w:val="0"/>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6">
    <w:name w:val="Title"/>
    <w:basedOn w:val="1"/>
    <w:next w:val="1"/>
    <w:qFormat/>
    <w:uiPriority w:val="10"/>
    <w:pPr>
      <w:spacing w:before="240" w:after="60"/>
      <w:jc w:val="center"/>
      <w:outlineLvl w:val="0"/>
    </w:pPr>
    <w:rPr>
      <w:rFonts w:ascii="Arial" w:hAnsi="Arial"/>
      <w:b/>
      <w:bCs/>
      <w:sz w:val="32"/>
      <w:szCs w:val="32"/>
    </w:rPr>
  </w:style>
  <w:style w:type="paragraph" w:customStyle="1" w:styleId="9">
    <w:name w:val="样式 正文 样式 四号 行距: 1.5 倍行距 首行缩进:  2 字符 + 小四 首行缩进:  2 字符"/>
    <w:basedOn w:val="1"/>
    <w:qFormat/>
    <w:uiPriority w:val="0"/>
    <w:pPr>
      <w:spacing w:line="360" w:lineRule="auto"/>
      <w:ind w:firstLine="480"/>
    </w:pPr>
    <w:rPr>
      <w:rFonts w:cs="宋体"/>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2657</Words>
  <Characters>2840</Characters>
  <Lines>34</Lines>
  <Paragraphs>9</Paragraphs>
  <TotalTime>0</TotalTime>
  <ScaleCrop>false</ScaleCrop>
  <LinksUpToDate>false</LinksUpToDate>
  <CharactersWithSpaces>2852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2022-08-08T02:31:00Z</dcterms:created>
  <dc:creator>伍炜卫</dc:creator>
  <cp:lastModifiedBy>派大星</cp:lastModifiedBy>
  <dcterms:modified xsi:type="dcterms:W3CDTF">2023-11-03T07:56:33Z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5958806A07904D05813AC07A7ECBCEC8</vt:lpwstr>
  </property>
</Properties>
</file>