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52"/>
        </w:rPr>
      </w:pPr>
      <w:bookmarkStart w:id="180" w:name="_GoBack"/>
      <w:r>
        <w:rPr>
          <w:rFonts w:ascii="宋体" w:hAnsi="宋体"/>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-914400</wp:posOffset>
            </wp:positionV>
            <wp:extent cx="7555865" cy="2319020"/>
            <wp:effectExtent l="0" t="0" r="6985" b="5080"/>
            <wp:wrapTight wrapText="bothSides">
              <wp:wrapPolygon>
                <wp:start x="0" y="0"/>
                <wp:lineTo x="0" y="21470"/>
                <wp:lineTo x="21566" y="21470"/>
                <wp:lineTo x="21566" y="0"/>
                <wp:lineTo x="0" y="0"/>
              </wp:wrapPolygon>
            </wp:wrapTight>
            <wp:docPr id="1"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模板-3"/>
                    <pic:cNvPicPr>
                      <a:picLocks noChangeAspect="1"/>
                    </pic:cNvPicPr>
                  </pic:nvPicPr>
                  <pic:blipFill>
                    <a:blip r:embed="rId7"/>
                    <a:stretch>
                      <a:fillRect/>
                    </a:stretch>
                  </pic:blipFill>
                  <pic:spPr>
                    <a:xfrm>
                      <a:off x="0" y="0"/>
                      <a:ext cx="7555865" cy="2319020"/>
                    </a:xfrm>
                    <a:prstGeom prst="rect">
                      <a:avLst/>
                    </a:prstGeom>
                    <a:noFill/>
                    <a:ln>
                      <a:noFill/>
                    </a:ln>
                  </pic:spPr>
                </pic:pic>
              </a:graphicData>
            </a:graphic>
          </wp:anchor>
        </w:drawing>
      </w:r>
      <w:bookmarkEnd w:id="180"/>
      <w:r>
        <w:rPr>
          <w:rFonts w:ascii="宋体" w:hAnsi="宋体"/>
          <w:b/>
          <w:sz w:val="52"/>
        </w:rPr>
        <w:t xml:space="preserve"> </w:t>
      </w:r>
      <w:r>
        <w:rPr>
          <w:rFonts w:hint="eastAsia" w:ascii="宋体" w:hAnsi="宋体"/>
          <w:b/>
          <w:sz w:val="52"/>
        </w:rPr>
        <w:t>视频处理单元</w:t>
      </w:r>
    </w:p>
    <w:p>
      <w:pPr>
        <w:jc w:val="center"/>
        <w:rPr>
          <w:rFonts w:ascii="宋体" w:hAnsi="宋体"/>
          <w:b/>
          <w:sz w:val="52"/>
        </w:rPr>
      </w:pPr>
      <w:r>
        <w:rPr>
          <w:rFonts w:ascii="宋体" w:hAnsi="宋体"/>
          <w:b/>
          <w:sz w:val="52"/>
        </w:rPr>
        <w:t>技术规范书</w:t>
      </w:r>
    </w:p>
    <w:p>
      <w:pPr>
        <w:jc w:val="center"/>
        <w:rPr>
          <w:rFonts w:ascii="宋体" w:hAnsi="宋体"/>
          <w:b/>
          <w:sz w:val="52"/>
        </w:rPr>
      </w:pPr>
      <w:r>
        <w:rPr>
          <w:rFonts w:ascii="宋体" w:hAnsi="宋体"/>
          <w:b/>
          <w:sz w:val="52"/>
        </w:rPr>
        <w:t>（通用部分）</w:t>
      </w:r>
    </w:p>
    <w:p>
      <w:pPr>
        <w:jc w:val="center"/>
        <w:rPr>
          <w:rFonts w:ascii="宋体" w:hAnsi="宋体"/>
          <w:b/>
          <w:sz w:val="52"/>
        </w:rPr>
      </w:pPr>
    </w:p>
    <w:p>
      <w:pPr>
        <w:jc w:val="center"/>
        <w:rPr>
          <w:rFonts w:ascii="宋体" w:hAnsi="宋体"/>
          <w:b/>
          <w:sz w:val="52"/>
        </w:rPr>
      </w:pPr>
    </w:p>
    <w:p>
      <w:pPr>
        <w:jc w:val="center"/>
        <w:rPr>
          <w:rFonts w:ascii="宋体" w:hAnsi="宋体"/>
          <w:b/>
          <w:sz w:val="52"/>
        </w:rPr>
      </w:pPr>
    </w:p>
    <w:p>
      <w:pPr>
        <w:spacing w:before="624" w:beforeLines="200"/>
        <w:ind w:firstLine="1970" w:firstLineChars="545"/>
        <w:jc w:val="left"/>
        <w:rPr>
          <w:rFonts w:ascii="宋体" w:hAnsi="宋体"/>
          <w:b/>
          <w:sz w:val="36"/>
        </w:rPr>
      </w:pPr>
      <w:r>
        <w:rPr>
          <w:rFonts w:ascii="宋体" w:hAnsi="宋体"/>
          <w:b/>
          <w:sz w:val="36"/>
        </w:rPr>
        <w:t>版本号：20</w:t>
      </w:r>
      <w:r>
        <w:rPr>
          <w:rFonts w:hint="eastAsia" w:ascii="宋体" w:hAnsi="宋体"/>
          <w:b/>
          <w:sz w:val="36"/>
        </w:rPr>
        <w:t>24</w:t>
      </w:r>
      <w:r>
        <w:rPr>
          <w:rFonts w:ascii="宋体" w:hAnsi="宋体"/>
          <w:b/>
          <w:sz w:val="36"/>
        </w:rPr>
        <w:t>版V1.0</w:t>
      </w:r>
    </w:p>
    <w:p>
      <w:pPr>
        <w:spacing w:before="624" w:beforeLines="200"/>
        <w:ind w:firstLine="1970" w:firstLineChars="545"/>
        <w:jc w:val="left"/>
        <w:rPr>
          <w:rFonts w:ascii="宋体" w:hAnsi="宋体"/>
          <w:b/>
          <w:sz w:val="36"/>
        </w:rPr>
      </w:pPr>
      <w:r>
        <w:rPr>
          <w:rFonts w:ascii="宋体" w:hAnsi="宋体"/>
          <w:b/>
          <w:sz w:val="36"/>
        </w:rPr>
        <w:t xml:space="preserve">编号： </w:t>
      </w:r>
    </w:p>
    <w:p>
      <w:pPr>
        <w:spacing w:before="624" w:beforeLines="200"/>
        <w:ind w:firstLine="1977" w:firstLineChars="443"/>
        <w:rPr>
          <w:rFonts w:eastAsia="黑体"/>
          <w:b/>
          <w:spacing w:val="20"/>
          <w:w w:val="135"/>
          <w:sz w:val="30"/>
        </w:rPr>
      </w:pPr>
      <w:r>
        <w:rPr>
          <w:rFonts w:hint="eastAsia" w:eastAsia="黑体"/>
          <w:b/>
          <w:spacing w:val="20"/>
          <w:w w:val="135"/>
          <w:sz w:val="30"/>
        </w:rPr>
        <w:t>深圳供电局有限</w:t>
      </w:r>
      <w:r>
        <w:rPr>
          <w:rFonts w:eastAsia="黑体"/>
          <w:b/>
          <w:spacing w:val="20"/>
          <w:w w:val="135"/>
          <w:sz w:val="30"/>
        </w:rPr>
        <w:t>公司</w:t>
      </w:r>
    </w:p>
    <w:p>
      <w:pPr>
        <w:spacing w:before="624" w:beforeLines="200"/>
        <w:jc w:val="center"/>
        <w:rPr>
          <w:rFonts w:ascii="宋体" w:hAnsi="宋体"/>
          <w:b/>
          <w:spacing w:val="20"/>
          <w:w w:val="135"/>
          <w:sz w:val="30"/>
        </w:rPr>
      </w:pPr>
      <w:r>
        <w:rPr>
          <w:rFonts w:ascii="宋体" w:hAnsi="宋体"/>
          <w:b/>
          <w:spacing w:val="20"/>
          <w:w w:val="135"/>
          <w:sz w:val="30"/>
        </w:rPr>
        <w:t>20</w:t>
      </w:r>
      <w:r>
        <w:rPr>
          <w:rFonts w:hint="eastAsia" w:ascii="宋体" w:hAnsi="宋体"/>
          <w:b/>
          <w:spacing w:val="20"/>
          <w:w w:val="135"/>
          <w:sz w:val="30"/>
        </w:rPr>
        <w:t>24</w:t>
      </w:r>
      <w:r>
        <w:rPr>
          <w:rFonts w:ascii="宋体" w:hAnsi="宋体"/>
          <w:b/>
          <w:spacing w:val="20"/>
          <w:w w:val="135"/>
          <w:sz w:val="30"/>
        </w:rPr>
        <w:t>年</w:t>
      </w:r>
      <w:r>
        <w:rPr>
          <w:rFonts w:hint="eastAsia" w:ascii="宋体" w:hAnsi="宋体"/>
          <w:b/>
          <w:spacing w:val="20"/>
          <w:w w:val="135"/>
          <w:sz w:val="30"/>
        </w:rPr>
        <w:t>3</w:t>
      </w:r>
      <w:r>
        <w:rPr>
          <w:rFonts w:ascii="宋体" w:hAnsi="宋体"/>
          <w:b/>
          <w:spacing w:val="20"/>
          <w:w w:val="135"/>
          <w:sz w:val="30"/>
        </w:rPr>
        <w:t>月</w:t>
      </w:r>
    </w:p>
    <w:p>
      <w:pPr>
        <w:spacing w:before="624" w:beforeLines="200"/>
        <w:jc w:val="center"/>
        <w:rPr>
          <w:rFonts w:ascii="Arial" w:hAnsi="Arial"/>
          <w:bCs/>
          <w:sz w:val="44"/>
          <w:szCs w:val="44"/>
        </w:rPr>
      </w:pPr>
      <w:r>
        <w:rPr>
          <w:rFonts w:ascii="宋体" w:hAnsi="宋体"/>
          <w:bCs/>
          <w:sz w:val="44"/>
          <w:szCs w:val="44"/>
        </w:rPr>
        <w:br w:type="page"/>
      </w:r>
      <w:r>
        <w:rPr>
          <w:rFonts w:hint="eastAsia" w:ascii="方正小标宋_GBK" w:hAnsi="方正小标宋_GBK" w:eastAsia="方正小标宋_GBK" w:cs="方正小标宋_GBK"/>
          <w:bCs/>
          <w:sz w:val="44"/>
          <w:szCs w:val="44"/>
        </w:rPr>
        <w:t>知识产权声明</w:t>
      </w:r>
    </w:p>
    <w:p>
      <w:pPr>
        <w:spacing w:line="560" w:lineRule="exact"/>
        <w:ind w:left="851"/>
        <w:jc w:val="center"/>
        <w:rPr>
          <w:rFonts w:ascii="Arial" w:hAnsi="Arial"/>
          <w:b/>
          <w:sz w:val="32"/>
          <w:szCs w:val="32"/>
        </w:rPr>
      </w:pPr>
    </w:p>
    <w:p>
      <w:pPr>
        <w:tabs>
          <w:tab w:val="left" w:pos="0"/>
          <w:tab w:val="left" w:pos="1050"/>
        </w:tabs>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深圳供电局有限公司拥有本作品的知识产权，未经深圳供电局有限公司书面许可，任何单位和个人不得擅自使用（包括但不限于复制、发行、转载、通过信息网络传播等），否则，深圳供电局有限公司将依法追究法律责任。</w:t>
      </w:r>
    </w:p>
    <w:p>
      <w:pPr>
        <w:spacing w:line="560" w:lineRule="exact"/>
        <w:ind w:left="850"/>
        <w:rPr>
          <w:rFonts w:ascii="Arial" w:hAnsi="Arial"/>
          <w:sz w:val="28"/>
          <w:szCs w:val="28"/>
        </w:rPr>
      </w:pPr>
    </w:p>
    <w:p>
      <w:pPr>
        <w:spacing w:line="560" w:lineRule="exact"/>
        <w:ind w:left="851" w:firstLine="560"/>
        <w:rPr>
          <w:rFonts w:ascii="Arial" w:hAnsi="Arial"/>
          <w:sz w:val="28"/>
          <w:szCs w:val="28"/>
        </w:rPr>
      </w:pPr>
    </w:p>
    <w:p>
      <w:pPr>
        <w:spacing w:line="560" w:lineRule="exact"/>
        <w:ind w:left="11" w:hanging="11"/>
        <w:jc w:val="center"/>
        <w:rPr>
          <w:rFonts w:ascii="Trebuchet MS" w:hAnsi="Trebuchet MS" w:cs="Trebuchet MS"/>
          <w:sz w:val="44"/>
          <w:szCs w:val="44"/>
        </w:rPr>
      </w:pPr>
      <w:r>
        <w:rPr>
          <w:rFonts w:ascii="Trebuchet MS" w:hAnsi="Trebuchet MS" w:cs="Trebuchet MS"/>
          <w:sz w:val="44"/>
          <w:szCs w:val="44"/>
        </w:rPr>
        <w:t xml:space="preserve">Intellectual Property Rights </w:t>
      </w:r>
    </w:p>
    <w:p>
      <w:pPr>
        <w:spacing w:line="560" w:lineRule="exact"/>
        <w:ind w:left="11" w:hanging="11"/>
        <w:jc w:val="center"/>
        <w:rPr>
          <w:rFonts w:ascii="Trebuchet MS" w:hAnsi="Trebuchet MS" w:cs="Trebuchet MS"/>
          <w:sz w:val="44"/>
          <w:szCs w:val="44"/>
        </w:rPr>
      </w:pPr>
      <w:r>
        <w:rPr>
          <w:rFonts w:ascii="Trebuchet MS" w:hAnsi="Trebuchet MS" w:cs="Trebuchet MS"/>
          <w:sz w:val="44"/>
          <w:szCs w:val="44"/>
        </w:rPr>
        <w:t>Statement</w:t>
      </w:r>
    </w:p>
    <w:p>
      <w:pPr>
        <w:spacing w:line="560" w:lineRule="exact"/>
        <w:ind w:left="851" w:firstLine="640"/>
        <w:rPr>
          <w:rFonts w:ascii="Arial" w:hAnsi="Arial"/>
          <w:sz w:val="32"/>
          <w:szCs w:val="32"/>
        </w:rPr>
      </w:pPr>
    </w:p>
    <w:p>
      <w:pPr>
        <w:spacing w:line="560" w:lineRule="exact"/>
        <w:ind w:firstLine="640" w:firstLineChars="200"/>
        <w:rPr>
          <w:sz w:val="32"/>
          <w:szCs w:val="32"/>
        </w:rPr>
      </w:pPr>
      <w:r>
        <w:rPr>
          <w:sz w:val="32"/>
          <w:szCs w:val="32"/>
        </w:rPr>
        <w:t xml:space="preserve">Shenzhen Power Supply Bureau Co.,Ltd.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Shenzhen Power Supply Bureau Co.,Ltd. </w:t>
      </w:r>
    </w:p>
    <w:p>
      <w:pPr>
        <w:spacing w:line="560" w:lineRule="exact"/>
        <w:ind w:left="851" w:firstLine="640"/>
        <w:rPr>
          <w:rFonts w:ascii="宋体" w:hAnsi="宋体"/>
          <w:sz w:val="32"/>
          <w:szCs w:val="32"/>
        </w:rPr>
      </w:pPr>
    </w:p>
    <w:p>
      <w:pPr>
        <w:spacing w:line="360" w:lineRule="auto"/>
        <w:jc w:val="center"/>
        <w:rPr>
          <w:rFonts w:ascii="宋体" w:hAnsi="宋体"/>
          <w:sz w:val="32"/>
        </w:rPr>
      </w:pPr>
    </w:p>
    <w:p>
      <w:pPr>
        <w:spacing w:line="360" w:lineRule="auto"/>
        <w:jc w:val="center"/>
        <w:rPr>
          <w:rFonts w:ascii="宋体" w:hAnsi="宋体"/>
          <w:sz w:val="32"/>
          <w:szCs w:val="28"/>
        </w:rPr>
      </w:pPr>
    </w:p>
    <w:p>
      <w:pPr>
        <w:spacing w:line="360" w:lineRule="auto"/>
        <w:jc w:val="center"/>
        <w:rPr>
          <w:rFonts w:ascii="宋体" w:hAnsi="宋体"/>
          <w:sz w:val="32"/>
          <w:szCs w:val="28"/>
        </w:rPr>
      </w:pPr>
      <w:r>
        <w:rPr>
          <w:rFonts w:ascii="宋体" w:hAnsi="宋体"/>
          <w:sz w:val="32"/>
          <w:szCs w:val="28"/>
        </w:rPr>
        <w:br w:type="page"/>
      </w:r>
      <w:r>
        <w:rPr>
          <w:rFonts w:ascii="宋体" w:hAnsi="宋体"/>
          <w:sz w:val="32"/>
          <w:szCs w:val="28"/>
        </w:rPr>
        <w:t>本规范对应的专用技术规范目录</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9"/>
        <w:gridCol w:w="4723"/>
        <w:gridCol w:w="28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59" w:type="dxa"/>
          </w:tcPr>
          <w:p>
            <w:pPr>
              <w:pStyle w:val="13"/>
              <w:rPr>
                <w:rFonts w:ascii="宋体" w:hAnsi="宋体"/>
              </w:rPr>
            </w:pPr>
            <w:r>
              <w:rPr>
                <w:rFonts w:ascii="宋体" w:hAnsi="宋体"/>
              </w:rPr>
              <w:t>序号</w:t>
            </w:r>
          </w:p>
        </w:tc>
        <w:tc>
          <w:tcPr>
            <w:tcW w:w="4723" w:type="dxa"/>
          </w:tcPr>
          <w:p>
            <w:pPr>
              <w:pStyle w:val="13"/>
              <w:rPr>
                <w:rFonts w:ascii="宋体" w:hAnsi="宋体"/>
              </w:rPr>
            </w:pPr>
            <w:r>
              <w:rPr>
                <w:rFonts w:ascii="宋体" w:hAnsi="宋体"/>
              </w:rPr>
              <w:t>名称</w:t>
            </w:r>
          </w:p>
        </w:tc>
        <w:tc>
          <w:tcPr>
            <w:tcW w:w="2840" w:type="dxa"/>
          </w:tcPr>
          <w:p>
            <w:pPr>
              <w:pStyle w:val="13"/>
              <w:rPr>
                <w:rFonts w:ascii="宋体" w:hAnsi="宋体"/>
              </w:rPr>
            </w:pPr>
            <w:r>
              <w:rPr>
                <w:rFonts w:ascii="宋体" w:hAnsi="宋体"/>
              </w:rPr>
              <w:t>编号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59" w:type="dxa"/>
            <w:vAlign w:val="center"/>
          </w:tcPr>
          <w:p>
            <w:pPr>
              <w:pStyle w:val="13"/>
              <w:rPr>
                <w:rFonts w:ascii="宋体" w:hAnsi="宋体"/>
              </w:rPr>
            </w:pPr>
            <w:r>
              <w:rPr>
                <w:rFonts w:ascii="宋体" w:hAnsi="宋体"/>
              </w:rPr>
              <w:t>1</w:t>
            </w:r>
          </w:p>
        </w:tc>
        <w:tc>
          <w:tcPr>
            <w:tcW w:w="4723" w:type="dxa"/>
            <w:vAlign w:val="center"/>
          </w:tcPr>
          <w:p>
            <w:pPr>
              <w:pStyle w:val="13"/>
              <w:rPr>
                <w:rFonts w:ascii="宋体" w:hAnsi="宋体"/>
              </w:rPr>
            </w:pPr>
            <w:r>
              <w:rPr>
                <w:rFonts w:hint="eastAsia" w:ascii="宋体" w:hAnsi="宋体"/>
              </w:rPr>
              <w:t>视频处理单元</w:t>
            </w:r>
            <w:r>
              <w:rPr>
                <w:rFonts w:ascii="宋体" w:hAnsi="宋体"/>
              </w:rPr>
              <w:t>技术规范书（专用部分）</w:t>
            </w:r>
          </w:p>
        </w:tc>
        <w:tc>
          <w:tcPr>
            <w:tcW w:w="2840" w:type="dxa"/>
            <w:vAlign w:val="center"/>
          </w:tcPr>
          <w:p>
            <w:pPr>
              <w:pStyle w:val="13"/>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59" w:type="dxa"/>
          </w:tcPr>
          <w:p>
            <w:pPr>
              <w:pStyle w:val="13"/>
              <w:rPr>
                <w:rFonts w:ascii="宋体" w:hAnsi="宋体"/>
              </w:rPr>
            </w:pPr>
          </w:p>
        </w:tc>
        <w:tc>
          <w:tcPr>
            <w:tcW w:w="4723" w:type="dxa"/>
            <w:vAlign w:val="center"/>
          </w:tcPr>
          <w:p>
            <w:pPr>
              <w:pStyle w:val="13"/>
              <w:rPr>
                <w:rFonts w:ascii="宋体" w:hAnsi="宋体"/>
              </w:rPr>
            </w:pPr>
          </w:p>
        </w:tc>
        <w:tc>
          <w:tcPr>
            <w:tcW w:w="2840" w:type="dxa"/>
            <w:vAlign w:val="center"/>
          </w:tcPr>
          <w:p>
            <w:pPr>
              <w:pStyle w:val="13"/>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59" w:type="dxa"/>
          </w:tcPr>
          <w:p>
            <w:pPr>
              <w:pStyle w:val="13"/>
              <w:rPr>
                <w:rFonts w:ascii="宋体" w:hAnsi="宋体"/>
              </w:rPr>
            </w:pPr>
          </w:p>
        </w:tc>
        <w:tc>
          <w:tcPr>
            <w:tcW w:w="4723" w:type="dxa"/>
            <w:vAlign w:val="center"/>
          </w:tcPr>
          <w:p>
            <w:pPr>
              <w:pStyle w:val="13"/>
              <w:rPr>
                <w:rFonts w:ascii="宋体" w:hAnsi="宋体"/>
              </w:rPr>
            </w:pPr>
          </w:p>
        </w:tc>
        <w:tc>
          <w:tcPr>
            <w:tcW w:w="2840" w:type="dxa"/>
            <w:vAlign w:val="center"/>
          </w:tcPr>
          <w:p>
            <w:pPr>
              <w:pStyle w:val="13"/>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59" w:type="dxa"/>
          </w:tcPr>
          <w:p>
            <w:pPr>
              <w:pStyle w:val="13"/>
              <w:rPr>
                <w:rFonts w:ascii="宋体" w:hAnsi="宋体"/>
              </w:rPr>
            </w:pPr>
          </w:p>
        </w:tc>
        <w:tc>
          <w:tcPr>
            <w:tcW w:w="4723" w:type="dxa"/>
          </w:tcPr>
          <w:p>
            <w:pPr>
              <w:pStyle w:val="13"/>
              <w:rPr>
                <w:rFonts w:ascii="宋体" w:hAnsi="宋体"/>
              </w:rPr>
            </w:pPr>
          </w:p>
        </w:tc>
        <w:tc>
          <w:tcPr>
            <w:tcW w:w="2840" w:type="dxa"/>
          </w:tcPr>
          <w:p>
            <w:pPr>
              <w:pStyle w:val="13"/>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59" w:type="dxa"/>
          </w:tcPr>
          <w:p>
            <w:pPr>
              <w:pStyle w:val="13"/>
              <w:rPr>
                <w:rFonts w:ascii="宋体" w:hAnsi="宋体"/>
              </w:rPr>
            </w:pPr>
          </w:p>
        </w:tc>
        <w:tc>
          <w:tcPr>
            <w:tcW w:w="4723" w:type="dxa"/>
          </w:tcPr>
          <w:p>
            <w:pPr>
              <w:pStyle w:val="13"/>
              <w:rPr>
                <w:rFonts w:ascii="宋体" w:hAnsi="宋体"/>
              </w:rPr>
            </w:pPr>
          </w:p>
        </w:tc>
        <w:tc>
          <w:tcPr>
            <w:tcW w:w="2840" w:type="dxa"/>
          </w:tcPr>
          <w:p>
            <w:pPr>
              <w:pStyle w:val="13"/>
              <w:rPr>
                <w:rFonts w:ascii="宋体" w:hAnsi="宋体"/>
              </w:rPr>
            </w:pPr>
          </w:p>
        </w:tc>
      </w:tr>
    </w:tbl>
    <w:p>
      <w:pPr>
        <w:spacing w:line="360" w:lineRule="auto"/>
        <w:jc w:val="center"/>
        <w:rPr>
          <w:rFonts w:ascii="宋体" w:hAnsi="宋体"/>
          <w:lang w:val="zh-CN"/>
        </w:rPr>
      </w:pPr>
      <w:r>
        <w:rPr>
          <w:rFonts w:ascii="宋体" w:hAnsi="宋体"/>
          <w:sz w:val="52"/>
          <w:szCs w:val="52"/>
        </w:rPr>
        <w:br w:type="page"/>
      </w:r>
    </w:p>
    <w:p>
      <w:pPr>
        <w:pStyle w:val="14"/>
        <w:jc w:val="center"/>
        <w:rPr>
          <w:rFonts w:ascii="Times New Roman" w:hAnsi="Times New Roman"/>
          <w:color w:val="auto"/>
          <w:lang w:val="zh-CN"/>
        </w:rPr>
      </w:pPr>
      <w:r>
        <w:rPr>
          <w:rFonts w:ascii="Times New Roman" w:hAnsi="Times New Roman"/>
          <w:color w:val="auto"/>
          <w:lang w:val="zh-CN"/>
        </w:rPr>
        <w:t>目    录</w:t>
      </w:r>
    </w:p>
    <w:p>
      <w:pPr>
        <w:pStyle w:val="8"/>
      </w:pPr>
      <w:r>
        <w:fldChar w:fldCharType="begin"/>
      </w:r>
      <w:r>
        <w:instrText xml:space="preserve"> TOC \o "1-3" \h \z \u </w:instrText>
      </w:r>
      <w:r>
        <w:fldChar w:fldCharType="separate"/>
      </w:r>
      <w:r>
        <w:fldChar w:fldCharType="begin"/>
      </w:r>
      <w:r>
        <w:instrText xml:space="preserve"> HYPERLINK \l "_Toc28530724" </w:instrText>
      </w:r>
      <w:r>
        <w:fldChar w:fldCharType="separate"/>
      </w:r>
      <w:r>
        <w:rPr>
          <w:rStyle w:val="12"/>
          <w:rFonts w:ascii="黑体" w:hAnsi="黑体" w:eastAsia="黑体"/>
          <w:color w:val="auto"/>
        </w:rPr>
        <w:t>1</w:t>
      </w:r>
      <w:r>
        <w:tab/>
      </w:r>
      <w:r>
        <w:rPr>
          <w:rStyle w:val="12"/>
          <w:rFonts w:hint="eastAsia" w:eastAsia="黑体"/>
          <w:color w:val="auto"/>
        </w:rPr>
        <w:t>总则</w:t>
      </w:r>
      <w:r>
        <w:tab/>
      </w:r>
      <w:r>
        <w:fldChar w:fldCharType="begin"/>
      </w:r>
      <w:r>
        <w:instrText xml:space="preserve"> PAGEREF _Toc28530724 \h </w:instrText>
      </w:r>
      <w:r>
        <w:fldChar w:fldCharType="separate"/>
      </w:r>
      <w:r>
        <w:t>1</w:t>
      </w:r>
      <w:r>
        <w:fldChar w:fldCharType="end"/>
      </w:r>
      <w:r>
        <w:fldChar w:fldCharType="end"/>
      </w:r>
    </w:p>
    <w:p>
      <w:pPr>
        <w:pStyle w:val="8"/>
      </w:pPr>
      <w:r>
        <w:fldChar w:fldCharType="begin"/>
      </w:r>
      <w:r>
        <w:instrText xml:space="preserve"> HYPERLINK \l "_Toc28530725" </w:instrText>
      </w:r>
      <w:r>
        <w:fldChar w:fldCharType="separate"/>
      </w:r>
      <w:r>
        <w:rPr>
          <w:rStyle w:val="12"/>
          <w:rFonts w:ascii="黑体" w:hAnsi="黑体" w:eastAsia="黑体"/>
          <w:color w:val="auto"/>
        </w:rPr>
        <w:t>2</w:t>
      </w:r>
      <w:r>
        <w:tab/>
      </w:r>
      <w:r>
        <w:rPr>
          <w:rStyle w:val="12"/>
          <w:rFonts w:hint="eastAsia" w:eastAsia="黑体"/>
          <w:color w:val="auto"/>
        </w:rPr>
        <w:t>工作范围</w:t>
      </w:r>
      <w:r>
        <w:tab/>
      </w:r>
      <w:r>
        <w:fldChar w:fldCharType="begin"/>
      </w:r>
      <w:r>
        <w:instrText xml:space="preserve"> PAGEREF _Toc28530725 \h </w:instrText>
      </w:r>
      <w:r>
        <w:fldChar w:fldCharType="separate"/>
      </w:r>
      <w:r>
        <w:t>1</w:t>
      </w:r>
      <w:r>
        <w:fldChar w:fldCharType="end"/>
      </w:r>
      <w:r>
        <w:fldChar w:fldCharType="end"/>
      </w:r>
    </w:p>
    <w:p>
      <w:pPr>
        <w:pStyle w:val="9"/>
      </w:pPr>
      <w:r>
        <w:fldChar w:fldCharType="begin"/>
      </w:r>
      <w:r>
        <w:instrText xml:space="preserve"> HYPERLINK \l "_Toc28530726" </w:instrText>
      </w:r>
      <w:r>
        <w:fldChar w:fldCharType="separate"/>
      </w:r>
      <w:r>
        <w:rPr>
          <w:rStyle w:val="12"/>
          <w:rFonts w:eastAsia="黑体"/>
          <w:color w:val="auto"/>
        </w:rPr>
        <w:t xml:space="preserve">2.1 </w:t>
      </w:r>
      <w:r>
        <w:rPr>
          <w:rStyle w:val="12"/>
          <w:rFonts w:hint="eastAsia" w:eastAsia="黑体"/>
          <w:color w:val="auto"/>
        </w:rPr>
        <w:t>工程概况</w:t>
      </w:r>
      <w:r>
        <w:tab/>
      </w:r>
      <w:r>
        <w:fldChar w:fldCharType="begin"/>
      </w:r>
      <w:r>
        <w:instrText xml:space="preserve"> PAGEREF _Toc28530726 \h </w:instrText>
      </w:r>
      <w:r>
        <w:fldChar w:fldCharType="separate"/>
      </w:r>
      <w:r>
        <w:t>1</w:t>
      </w:r>
      <w:r>
        <w:fldChar w:fldCharType="end"/>
      </w:r>
      <w:r>
        <w:fldChar w:fldCharType="end"/>
      </w:r>
    </w:p>
    <w:p>
      <w:pPr>
        <w:pStyle w:val="9"/>
      </w:pPr>
      <w:r>
        <w:fldChar w:fldCharType="begin"/>
      </w:r>
      <w:r>
        <w:instrText xml:space="preserve"> HYPERLINK \l "_Toc28530727" </w:instrText>
      </w:r>
      <w:r>
        <w:fldChar w:fldCharType="separate"/>
      </w:r>
      <w:r>
        <w:rPr>
          <w:rStyle w:val="12"/>
          <w:rFonts w:eastAsia="黑体"/>
          <w:color w:val="auto"/>
        </w:rPr>
        <w:t xml:space="preserve">2.2 </w:t>
      </w:r>
      <w:r>
        <w:rPr>
          <w:rStyle w:val="12"/>
          <w:rFonts w:hint="eastAsia" w:eastAsia="黑体"/>
          <w:color w:val="auto"/>
        </w:rPr>
        <w:t>范围和界限</w:t>
      </w:r>
      <w:r>
        <w:tab/>
      </w:r>
      <w:r>
        <w:fldChar w:fldCharType="begin"/>
      </w:r>
      <w:r>
        <w:instrText xml:space="preserve"> PAGEREF _Toc28530727 \h </w:instrText>
      </w:r>
      <w:r>
        <w:fldChar w:fldCharType="separate"/>
      </w:r>
      <w:r>
        <w:t>1</w:t>
      </w:r>
      <w:r>
        <w:fldChar w:fldCharType="end"/>
      </w:r>
      <w:r>
        <w:fldChar w:fldCharType="end"/>
      </w:r>
    </w:p>
    <w:p>
      <w:pPr>
        <w:pStyle w:val="9"/>
      </w:pPr>
      <w:r>
        <w:fldChar w:fldCharType="begin"/>
      </w:r>
      <w:r>
        <w:instrText xml:space="preserve"> HYPERLINK \l "_Toc28530728" </w:instrText>
      </w:r>
      <w:r>
        <w:fldChar w:fldCharType="separate"/>
      </w:r>
      <w:r>
        <w:rPr>
          <w:rStyle w:val="12"/>
          <w:rFonts w:eastAsia="黑体"/>
          <w:color w:val="auto"/>
        </w:rPr>
        <w:t xml:space="preserve">2.3 </w:t>
      </w:r>
      <w:r>
        <w:rPr>
          <w:rStyle w:val="12"/>
          <w:rFonts w:hint="eastAsia" w:eastAsia="黑体"/>
          <w:color w:val="auto"/>
        </w:rPr>
        <w:t>服务范围</w:t>
      </w:r>
      <w:r>
        <w:tab/>
      </w:r>
      <w:r>
        <w:fldChar w:fldCharType="begin"/>
      </w:r>
      <w:r>
        <w:instrText xml:space="preserve"> PAGEREF _Toc28530728 \h </w:instrText>
      </w:r>
      <w:r>
        <w:fldChar w:fldCharType="separate"/>
      </w:r>
      <w:r>
        <w:t>2</w:t>
      </w:r>
      <w:r>
        <w:fldChar w:fldCharType="end"/>
      </w:r>
      <w:r>
        <w:fldChar w:fldCharType="end"/>
      </w:r>
    </w:p>
    <w:p>
      <w:pPr>
        <w:pStyle w:val="8"/>
      </w:pPr>
      <w:r>
        <w:fldChar w:fldCharType="begin"/>
      </w:r>
      <w:r>
        <w:instrText xml:space="preserve"> HYPERLINK \l "_Toc28530729" </w:instrText>
      </w:r>
      <w:r>
        <w:fldChar w:fldCharType="separate"/>
      </w:r>
      <w:r>
        <w:rPr>
          <w:rStyle w:val="12"/>
          <w:rFonts w:ascii="黑体" w:hAnsi="黑体" w:eastAsia="黑体"/>
          <w:color w:val="auto"/>
        </w:rPr>
        <w:t>3</w:t>
      </w:r>
      <w:r>
        <w:tab/>
      </w:r>
      <w:r>
        <w:rPr>
          <w:rStyle w:val="12"/>
          <w:rFonts w:hint="eastAsia" w:eastAsia="黑体"/>
          <w:color w:val="auto"/>
        </w:rPr>
        <w:t>应遵循的主要标准</w:t>
      </w:r>
      <w:r>
        <w:tab/>
      </w:r>
      <w:r>
        <w:fldChar w:fldCharType="begin"/>
      </w:r>
      <w:r>
        <w:instrText xml:space="preserve"> PAGEREF _Toc28530729 \h </w:instrText>
      </w:r>
      <w:r>
        <w:fldChar w:fldCharType="separate"/>
      </w:r>
      <w:r>
        <w:t>2</w:t>
      </w:r>
      <w:r>
        <w:fldChar w:fldCharType="end"/>
      </w:r>
      <w:r>
        <w:fldChar w:fldCharType="end"/>
      </w:r>
    </w:p>
    <w:p>
      <w:pPr>
        <w:pStyle w:val="8"/>
      </w:pPr>
      <w:r>
        <w:fldChar w:fldCharType="begin"/>
      </w:r>
      <w:r>
        <w:instrText xml:space="preserve"> HYPERLINK \l "_Toc28530730" </w:instrText>
      </w:r>
      <w:r>
        <w:fldChar w:fldCharType="separate"/>
      </w:r>
      <w:r>
        <w:rPr>
          <w:rStyle w:val="12"/>
          <w:rFonts w:ascii="黑体" w:hAnsi="黑体" w:eastAsia="黑体"/>
          <w:color w:val="auto"/>
        </w:rPr>
        <w:t>4</w:t>
      </w:r>
      <w:r>
        <w:tab/>
      </w:r>
      <w:r>
        <w:rPr>
          <w:rStyle w:val="12"/>
          <w:rFonts w:hint="eastAsia" w:eastAsia="黑体"/>
          <w:color w:val="auto"/>
        </w:rPr>
        <w:t>使用条件</w:t>
      </w:r>
      <w:r>
        <w:tab/>
      </w:r>
      <w:r>
        <w:rPr>
          <w:rFonts w:hint="eastAsia"/>
        </w:rPr>
        <w:t>3</w:t>
      </w:r>
      <w:r>
        <w:rPr>
          <w:rFonts w:hint="eastAsia"/>
        </w:rPr>
        <w:fldChar w:fldCharType="end"/>
      </w:r>
    </w:p>
    <w:p>
      <w:pPr>
        <w:pStyle w:val="9"/>
      </w:pPr>
      <w:r>
        <w:fldChar w:fldCharType="begin"/>
      </w:r>
      <w:r>
        <w:instrText xml:space="preserve"> HYPERLINK \l "_Toc28530731" </w:instrText>
      </w:r>
      <w:r>
        <w:fldChar w:fldCharType="separate"/>
      </w:r>
      <w:r>
        <w:rPr>
          <w:rStyle w:val="12"/>
          <w:rFonts w:eastAsia="黑体"/>
          <w:color w:val="auto"/>
        </w:rPr>
        <w:t>4.1</w:t>
      </w:r>
      <w:r>
        <w:tab/>
      </w:r>
      <w:r>
        <w:rPr>
          <w:rStyle w:val="12"/>
          <w:rFonts w:hint="eastAsia" w:eastAsia="黑体"/>
          <w:color w:val="auto"/>
        </w:rPr>
        <w:t>正常使用条件</w:t>
      </w:r>
      <w:r>
        <w:tab/>
      </w:r>
      <w:r>
        <w:rPr>
          <w:rFonts w:hint="eastAsia"/>
        </w:rPr>
        <w:t>3</w:t>
      </w:r>
      <w:r>
        <w:rPr>
          <w:rFonts w:hint="eastAsia"/>
        </w:rPr>
        <w:fldChar w:fldCharType="end"/>
      </w:r>
    </w:p>
    <w:p>
      <w:pPr>
        <w:pStyle w:val="9"/>
      </w:pPr>
      <w:r>
        <w:fldChar w:fldCharType="begin"/>
      </w:r>
      <w:r>
        <w:instrText xml:space="preserve"> HYPERLINK \l "_Toc28530732" </w:instrText>
      </w:r>
      <w:r>
        <w:fldChar w:fldCharType="separate"/>
      </w:r>
      <w:r>
        <w:rPr>
          <w:rStyle w:val="12"/>
          <w:rFonts w:eastAsia="黑体"/>
          <w:color w:val="auto"/>
        </w:rPr>
        <w:t>4.2</w:t>
      </w:r>
      <w:r>
        <w:tab/>
      </w:r>
      <w:r>
        <w:rPr>
          <w:rStyle w:val="12"/>
          <w:rFonts w:hint="eastAsia" w:eastAsia="黑体"/>
          <w:color w:val="auto"/>
        </w:rPr>
        <w:t>特殊使用条件</w:t>
      </w:r>
      <w:r>
        <w:tab/>
      </w:r>
      <w:r>
        <w:rPr>
          <w:rFonts w:hint="eastAsia"/>
        </w:rPr>
        <w:t>4</w:t>
      </w:r>
      <w:r>
        <w:rPr>
          <w:rFonts w:hint="eastAsia"/>
        </w:rPr>
        <w:fldChar w:fldCharType="end"/>
      </w:r>
    </w:p>
    <w:p>
      <w:pPr>
        <w:pStyle w:val="8"/>
      </w:pPr>
      <w:r>
        <w:fldChar w:fldCharType="begin"/>
      </w:r>
      <w:r>
        <w:instrText xml:space="preserve"> HYPERLINK \l "_Toc28530733" </w:instrText>
      </w:r>
      <w:r>
        <w:fldChar w:fldCharType="separate"/>
      </w:r>
      <w:r>
        <w:rPr>
          <w:rStyle w:val="12"/>
          <w:rFonts w:ascii="黑体" w:hAnsi="黑体" w:eastAsia="黑体"/>
          <w:color w:val="auto"/>
        </w:rPr>
        <w:t>5</w:t>
      </w:r>
      <w:r>
        <w:tab/>
      </w:r>
      <w:r>
        <w:rPr>
          <w:rStyle w:val="12"/>
          <w:rFonts w:hint="eastAsia" w:eastAsia="黑体"/>
          <w:color w:val="auto"/>
        </w:rPr>
        <w:t>技术要求</w:t>
      </w:r>
      <w:r>
        <w:tab/>
      </w:r>
      <w:r>
        <w:rPr>
          <w:rFonts w:hint="eastAsia"/>
        </w:rPr>
        <w:t>5</w:t>
      </w:r>
      <w:r>
        <w:rPr>
          <w:rFonts w:hint="eastAsia"/>
        </w:rPr>
        <w:fldChar w:fldCharType="end"/>
      </w:r>
    </w:p>
    <w:p>
      <w:pPr>
        <w:pStyle w:val="9"/>
      </w:pPr>
      <w:r>
        <w:fldChar w:fldCharType="begin"/>
      </w:r>
      <w:r>
        <w:instrText xml:space="preserve"> HYPERLINK \l "_Toc28530734" </w:instrText>
      </w:r>
      <w:r>
        <w:fldChar w:fldCharType="separate"/>
      </w:r>
      <w:r>
        <w:rPr>
          <w:rStyle w:val="12"/>
          <w:rFonts w:eastAsia="黑体"/>
          <w:color w:val="auto"/>
        </w:rPr>
        <w:t>5.1</w:t>
      </w:r>
      <w:r>
        <w:tab/>
      </w:r>
      <w:r>
        <w:rPr>
          <w:rStyle w:val="12"/>
          <w:rFonts w:hint="eastAsia" w:eastAsia="黑体"/>
          <w:color w:val="auto"/>
        </w:rPr>
        <w:t>技术参数</w:t>
      </w:r>
      <w:r>
        <w:tab/>
      </w:r>
      <w:r>
        <w:rPr>
          <w:rFonts w:hint="eastAsia"/>
        </w:rPr>
        <w:t>5</w:t>
      </w:r>
      <w:r>
        <w:rPr>
          <w:rFonts w:hint="eastAsia"/>
        </w:rPr>
        <w:fldChar w:fldCharType="end"/>
      </w:r>
    </w:p>
    <w:p>
      <w:pPr>
        <w:pStyle w:val="9"/>
      </w:pPr>
      <w:r>
        <w:fldChar w:fldCharType="begin"/>
      </w:r>
      <w:r>
        <w:instrText xml:space="preserve"> HYPERLINK \l "_Toc28530735" </w:instrText>
      </w:r>
      <w:r>
        <w:fldChar w:fldCharType="separate"/>
      </w:r>
      <w:r>
        <w:rPr>
          <w:rStyle w:val="12"/>
          <w:rFonts w:eastAsia="黑体"/>
          <w:color w:val="auto"/>
        </w:rPr>
        <w:t>5.2</w:t>
      </w:r>
      <w:r>
        <w:tab/>
      </w:r>
      <w:r>
        <w:rPr>
          <w:rStyle w:val="12"/>
          <w:rFonts w:hint="eastAsia" w:eastAsia="黑体"/>
          <w:color w:val="auto"/>
        </w:rPr>
        <w:t>设计和结构要求</w:t>
      </w:r>
      <w:r>
        <w:tab/>
      </w:r>
      <w:r>
        <w:fldChar w:fldCharType="begin"/>
      </w:r>
      <w:r>
        <w:instrText xml:space="preserve"> PAGEREF _Toc28530735 \h </w:instrText>
      </w:r>
      <w:r>
        <w:fldChar w:fldCharType="separate"/>
      </w:r>
      <w:r>
        <w:t>6</w:t>
      </w:r>
      <w:r>
        <w:fldChar w:fldCharType="end"/>
      </w:r>
      <w:r>
        <w:fldChar w:fldCharType="end"/>
      </w:r>
    </w:p>
    <w:p>
      <w:pPr>
        <w:pStyle w:val="9"/>
      </w:pPr>
      <w:r>
        <w:fldChar w:fldCharType="begin"/>
      </w:r>
      <w:r>
        <w:instrText xml:space="preserve"> HYPERLINK \l "_Toc28530736" </w:instrText>
      </w:r>
      <w:r>
        <w:fldChar w:fldCharType="separate"/>
      </w:r>
      <w:r>
        <w:rPr>
          <w:rFonts w:hint="eastAsia" w:eastAsia="黑体"/>
        </w:rPr>
        <w:t xml:space="preserve">5.3  </w:t>
      </w:r>
      <w:r>
        <w:rPr>
          <w:rStyle w:val="12"/>
          <w:rFonts w:hint="eastAsia" w:eastAsia="黑体"/>
          <w:color w:val="auto"/>
        </w:rPr>
        <w:t>质量追溯</w:t>
      </w:r>
      <w:r>
        <w:tab/>
      </w:r>
      <w:r>
        <w:rPr>
          <w:rFonts w:hint="eastAsia"/>
        </w:rPr>
        <w:t>6</w:t>
      </w:r>
      <w:r>
        <w:rPr>
          <w:rFonts w:hint="eastAsia"/>
        </w:rPr>
        <w:fldChar w:fldCharType="end"/>
      </w:r>
    </w:p>
    <w:p>
      <w:pPr>
        <w:pStyle w:val="8"/>
      </w:pPr>
      <w:r>
        <w:fldChar w:fldCharType="begin"/>
      </w:r>
      <w:r>
        <w:instrText xml:space="preserve"> HYPERLINK \l "_Toc28530737" </w:instrText>
      </w:r>
      <w:r>
        <w:fldChar w:fldCharType="separate"/>
      </w:r>
      <w:r>
        <w:rPr>
          <w:rStyle w:val="12"/>
          <w:rFonts w:ascii="黑体" w:hAnsi="黑体" w:eastAsia="黑体"/>
          <w:color w:val="auto"/>
        </w:rPr>
        <w:t>6</w:t>
      </w:r>
      <w:r>
        <w:tab/>
      </w:r>
      <w:r>
        <w:rPr>
          <w:rStyle w:val="12"/>
          <w:rFonts w:hint="eastAsia" w:eastAsia="黑体"/>
          <w:color w:val="auto"/>
        </w:rPr>
        <w:t>终端安全要求</w:t>
      </w:r>
      <w:r>
        <w:tab/>
      </w:r>
      <w:r>
        <w:fldChar w:fldCharType="begin"/>
      </w:r>
      <w:r>
        <w:instrText xml:space="preserve"> PAGEREF _Toc28530737 \h </w:instrText>
      </w:r>
      <w:r>
        <w:fldChar w:fldCharType="separate"/>
      </w:r>
      <w:r>
        <w:t>7</w:t>
      </w:r>
      <w:r>
        <w:fldChar w:fldCharType="end"/>
      </w:r>
      <w:r>
        <w:fldChar w:fldCharType="end"/>
      </w:r>
    </w:p>
    <w:p>
      <w:pPr>
        <w:pStyle w:val="9"/>
      </w:pPr>
      <w:r>
        <w:fldChar w:fldCharType="begin"/>
      </w:r>
      <w:r>
        <w:instrText xml:space="preserve"> HYPERLINK \l "_Toc28530738" </w:instrText>
      </w:r>
      <w:r>
        <w:fldChar w:fldCharType="separate"/>
      </w:r>
      <w:r>
        <w:rPr>
          <w:rStyle w:val="12"/>
          <w:rFonts w:eastAsia="黑体"/>
          <w:color w:val="auto"/>
        </w:rPr>
        <w:t>6.1</w:t>
      </w:r>
      <w:r>
        <w:tab/>
      </w:r>
      <w:r>
        <w:rPr>
          <w:rStyle w:val="12"/>
          <w:rFonts w:hint="eastAsia" w:eastAsia="黑体"/>
          <w:color w:val="auto"/>
        </w:rPr>
        <w:t>终端操作系统安全</w:t>
      </w:r>
      <w:r>
        <w:tab/>
      </w:r>
      <w:r>
        <w:fldChar w:fldCharType="begin"/>
      </w:r>
      <w:r>
        <w:instrText xml:space="preserve"> PAGEREF _Toc28530738 \h </w:instrText>
      </w:r>
      <w:r>
        <w:fldChar w:fldCharType="separate"/>
      </w:r>
      <w:r>
        <w:t>7</w:t>
      </w:r>
      <w:r>
        <w:fldChar w:fldCharType="end"/>
      </w:r>
      <w:r>
        <w:fldChar w:fldCharType="end"/>
      </w:r>
    </w:p>
    <w:p>
      <w:pPr>
        <w:pStyle w:val="9"/>
      </w:pPr>
      <w:r>
        <w:fldChar w:fldCharType="begin"/>
      </w:r>
      <w:r>
        <w:instrText xml:space="preserve"> HYPERLINK \l "_Toc28530739" </w:instrText>
      </w:r>
      <w:r>
        <w:fldChar w:fldCharType="separate"/>
      </w:r>
      <w:r>
        <w:rPr>
          <w:rStyle w:val="12"/>
          <w:rFonts w:eastAsia="黑体"/>
          <w:color w:val="auto"/>
        </w:rPr>
        <w:t>6.2</w:t>
      </w:r>
      <w:r>
        <w:tab/>
      </w:r>
      <w:r>
        <w:rPr>
          <w:rStyle w:val="12"/>
          <w:rFonts w:hint="eastAsia" w:eastAsia="黑体"/>
          <w:color w:val="auto"/>
        </w:rPr>
        <w:t>终端通信安全要求</w:t>
      </w:r>
      <w:r>
        <w:tab/>
      </w:r>
      <w:r>
        <w:fldChar w:fldCharType="begin"/>
      </w:r>
      <w:r>
        <w:instrText xml:space="preserve"> PAGEREF _Toc28530739 \h </w:instrText>
      </w:r>
      <w:r>
        <w:fldChar w:fldCharType="separate"/>
      </w:r>
      <w:r>
        <w:t>7</w:t>
      </w:r>
      <w:r>
        <w:fldChar w:fldCharType="end"/>
      </w:r>
      <w:r>
        <w:fldChar w:fldCharType="end"/>
      </w:r>
    </w:p>
    <w:p>
      <w:pPr>
        <w:pStyle w:val="9"/>
      </w:pPr>
      <w:r>
        <w:fldChar w:fldCharType="begin"/>
      </w:r>
      <w:r>
        <w:instrText xml:space="preserve"> HYPERLINK \l "_Toc28530740" </w:instrText>
      </w:r>
      <w:r>
        <w:fldChar w:fldCharType="separate"/>
      </w:r>
      <w:r>
        <w:rPr>
          <w:rStyle w:val="12"/>
          <w:rFonts w:eastAsia="黑体"/>
          <w:color w:val="auto"/>
        </w:rPr>
        <w:t>6.3</w:t>
      </w:r>
      <w:r>
        <w:tab/>
      </w:r>
      <w:r>
        <w:rPr>
          <w:rStyle w:val="12"/>
          <w:rFonts w:hint="eastAsia" w:eastAsia="黑体"/>
          <w:color w:val="auto"/>
        </w:rPr>
        <w:t>网络安全责任</w:t>
      </w:r>
      <w:r>
        <w:tab/>
      </w:r>
      <w:r>
        <w:rPr>
          <w:rFonts w:hint="eastAsia"/>
        </w:rPr>
        <w:t>7</w:t>
      </w:r>
      <w:r>
        <w:rPr>
          <w:rFonts w:hint="eastAsia"/>
        </w:rPr>
        <w:fldChar w:fldCharType="end"/>
      </w:r>
    </w:p>
    <w:p>
      <w:pPr>
        <w:pStyle w:val="9"/>
      </w:pPr>
      <w:r>
        <w:fldChar w:fldCharType="begin"/>
      </w:r>
      <w:r>
        <w:instrText xml:space="preserve"> HYPERLINK \l "_Toc28530741" </w:instrText>
      </w:r>
      <w:r>
        <w:fldChar w:fldCharType="separate"/>
      </w:r>
      <w:r>
        <w:rPr>
          <w:rStyle w:val="12"/>
          <w:rFonts w:eastAsia="黑体"/>
          <w:color w:val="auto"/>
        </w:rPr>
        <w:t>6.4</w:t>
      </w:r>
      <w:r>
        <w:tab/>
      </w:r>
      <w:r>
        <w:rPr>
          <w:rStyle w:val="12"/>
          <w:rFonts w:hint="eastAsia" w:eastAsia="黑体"/>
          <w:color w:val="auto"/>
        </w:rPr>
        <w:t>网络安全服务</w:t>
      </w:r>
      <w:r>
        <w:tab/>
      </w:r>
      <w:r>
        <w:rPr>
          <w:rFonts w:hint="eastAsia"/>
        </w:rPr>
        <w:t>7</w:t>
      </w:r>
      <w:r>
        <w:rPr>
          <w:rFonts w:hint="eastAsia"/>
        </w:rPr>
        <w:fldChar w:fldCharType="end"/>
      </w:r>
    </w:p>
    <w:p>
      <w:pPr>
        <w:pStyle w:val="8"/>
      </w:pPr>
      <w:r>
        <w:fldChar w:fldCharType="begin"/>
      </w:r>
      <w:r>
        <w:instrText xml:space="preserve"> HYPERLINK \l "_Toc28530742" </w:instrText>
      </w:r>
      <w:r>
        <w:fldChar w:fldCharType="separate"/>
      </w:r>
      <w:r>
        <w:rPr>
          <w:rStyle w:val="12"/>
          <w:rFonts w:ascii="黑体" w:hAnsi="黑体" w:eastAsia="黑体"/>
          <w:color w:val="auto"/>
        </w:rPr>
        <w:t>7</w:t>
      </w:r>
      <w:r>
        <w:tab/>
      </w:r>
      <w:r>
        <w:rPr>
          <w:rStyle w:val="12"/>
          <w:rFonts w:hint="eastAsia" w:eastAsia="黑体"/>
          <w:color w:val="auto"/>
        </w:rPr>
        <w:t>试验</w:t>
      </w:r>
      <w:r>
        <w:tab/>
      </w:r>
      <w:r>
        <w:rPr>
          <w:rFonts w:hint="eastAsia"/>
        </w:rPr>
        <w:t>7</w:t>
      </w:r>
      <w:r>
        <w:rPr>
          <w:rFonts w:hint="eastAsia"/>
        </w:rPr>
        <w:fldChar w:fldCharType="end"/>
      </w:r>
    </w:p>
    <w:p>
      <w:pPr>
        <w:pStyle w:val="9"/>
      </w:pPr>
      <w:r>
        <w:fldChar w:fldCharType="begin"/>
      </w:r>
      <w:r>
        <w:instrText xml:space="preserve"> HYPERLINK \l "_Toc28530738" </w:instrText>
      </w:r>
      <w:r>
        <w:fldChar w:fldCharType="separate"/>
      </w:r>
      <w:r>
        <w:rPr>
          <w:rStyle w:val="12"/>
          <w:rFonts w:hint="eastAsia" w:eastAsia="黑体"/>
          <w:color w:val="auto"/>
        </w:rPr>
        <w:t>7</w:t>
      </w:r>
      <w:r>
        <w:rPr>
          <w:rStyle w:val="12"/>
          <w:rFonts w:eastAsia="黑体"/>
          <w:color w:val="auto"/>
        </w:rPr>
        <w:t>.1</w:t>
      </w:r>
      <w:r>
        <w:tab/>
      </w:r>
      <w:r>
        <w:rPr>
          <w:rStyle w:val="12"/>
          <w:rFonts w:hint="eastAsia" w:eastAsia="黑体" w:cstheme="minorBidi"/>
          <w:color w:val="auto"/>
        </w:rPr>
        <w:t>性能要求</w:t>
      </w:r>
      <w:r>
        <w:tab/>
      </w:r>
      <w:r>
        <w:rPr>
          <w:rFonts w:hint="eastAsia"/>
        </w:rPr>
        <w:t>7</w:t>
      </w:r>
      <w:r>
        <w:rPr>
          <w:rFonts w:hint="eastAsia"/>
        </w:rPr>
        <w:fldChar w:fldCharType="end"/>
      </w:r>
    </w:p>
    <w:p>
      <w:pPr>
        <w:pStyle w:val="9"/>
      </w:pPr>
      <w:r>
        <w:fldChar w:fldCharType="begin"/>
      </w:r>
      <w:r>
        <w:instrText xml:space="preserve"> HYPERLINK \l "_Toc28530739" </w:instrText>
      </w:r>
      <w:r>
        <w:fldChar w:fldCharType="separate"/>
      </w:r>
      <w:r>
        <w:rPr>
          <w:rStyle w:val="12"/>
          <w:rFonts w:hint="eastAsia" w:eastAsia="黑体"/>
          <w:color w:val="auto"/>
        </w:rPr>
        <w:t>7</w:t>
      </w:r>
      <w:r>
        <w:rPr>
          <w:rStyle w:val="12"/>
          <w:rFonts w:eastAsia="黑体"/>
          <w:color w:val="auto"/>
        </w:rPr>
        <w:t>.2</w:t>
      </w:r>
      <w:r>
        <w:tab/>
      </w:r>
      <w:r>
        <w:rPr>
          <w:rStyle w:val="12"/>
          <w:rFonts w:hint="eastAsia" w:eastAsia="黑体"/>
          <w:color w:val="auto"/>
        </w:rPr>
        <w:t>型式试验</w:t>
      </w:r>
      <w:r>
        <w:tab/>
      </w:r>
      <w:r>
        <w:rPr>
          <w:rFonts w:hint="eastAsia"/>
        </w:rPr>
        <w:t>9</w:t>
      </w:r>
      <w:r>
        <w:rPr>
          <w:rFonts w:hint="eastAsia"/>
        </w:rPr>
        <w:fldChar w:fldCharType="end"/>
      </w:r>
    </w:p>
    <w:p>
      <w:pPr>
        <w:pStyle w:val="9"/>
      </w:pPr>
      <w:r>
        <w:fldChar w:fldCharType="begin"/>
      </w:r>
      <w:r>
        <w:instrText xml:space="preserve"> HYPERLINK \l "_Toc28530740" </w:instrText>
      </w:r>
      <w:r>
        <w:fldChar w:fldCharType="separate"/>
      </w:r>
      <w:r>
        <w:rPr>
          <w:rStyle w:val="12"/>
          <w:rFonts w:hint="eastAsia" w:eastAsia="黑体"/>
          <w:color w:val="auto"/>
        </w:rPr>
        <w:t>7</w:t>
      </w:r>
      <w:r>
        <w:rPr>
          <w:rStyle w:val="12"/>
          <w:rFonts w:eastAsia="黑体"/>
          <w:color w:val="auto"/>
        </w:rPr>
        <w:t>.3</w:t>
      </w:r>
      <w:r>
        <w:tab/>
      </w:r>
      <w:r>
        <w:rPr>
          <w:rStyle w:val="12"/>
          <w:rFonts w:hint="eastAsia" w:eastAsia="黑体"/>
          <w:color w:val="auto"/>
        </w:rPr>
        <w:t>出厂试验</w:t>
      </w:r>
      <w:r>
        <w:tab/>
      </w:r>
      <w:r>
        <w:rPr>
          <w:rFonts w:hint="eastAsia"/>
        </w:rPr>
        <w:t>1</w:t>
      </w:r>
      <w:r>
        <w:rPr>
          <w:rFonts w:hint="eastAsia"/>
        </w:rPr>
        <w:fldChar w:fldCharType="end"/>
      </w:r>
      <w:r>
        <w:rPr>
          <w:rFonts w:hint="eastAsia"/>
        </w:rPr>
        <w:t>0</w:t>
      </w:r>
    </w:p>
    <w:p>
      <w:pPr>
        <w:pStyle w:val="9"/>
      </w:pPr>
      <w:r>
        <w:fldChar w:fldCharType="begin"/>
      </w:r>
      <w:r>
        <w:instrText xml:space="preserve"> HYPERLINK \l "_Toc28530740" </w:instrText>
      </w:r>
      <w:r>
        <w:fldChar w:fldCharType="separate"/>
      </w:r>
      <w:r>
        <w:rPr>
          <w:rStyle w:val="12"/>
          <w:rFonts w:hint="eastAsia" w:eastAsia="黑体"/>
          <w:color w:val="auto"/>
        </w:rPr>
        <w:t>7</w:t>
      </w:r>
      <w:r>
        <w:rPr>
          <w:rStyle w:val="12"/>
          <w:rFonts w:eastAsia="黑体"/>
          <w:color w:val="auto"/>
        </w:rPr>
        <w:t>.</w:t>
      </w:r>
      <w:r>
        <w:rPr>
          <w:rStyle w:val="12"/>
          <w:rFonts w:hint="eastAsia" w:eastAsia="黑体"/>
          <w:color w:val="auto"/>
        </w:rPr>
        <w:t>4</w:t>
      </w:r>
      <w:r>
        <w:tab/>
      </w:r>
      <w:r>
        <w:rPr>
          <w:rStyle w:val="12"/>
          <w:rFonts w:hint="eastAsia" w:eastAsia="黑体"/>
          <w:color w:val="auto"/>
        </w:rPr>
        <w:t>现场试验及调试</w:t>
      </w:r>
      <w:r>
        <w:tab/>
      </w:r>
      <w:r>
        <w:rPr>
          <w:rFonts w:hint="eastAsia"/>
        </w:rPr>
        <w:t>1</w:t>
      </w:r>
      <w:r>
        <w:rPr>
          <w:rFonts w:hint="eastAsia"/>
        </w:rPr>
        <w:fldChar w:fldCharType="end"/>
      </w:r>
      <w:r>
        <w:rPr>
          <w:rFonts w:hint="eastAsia"/>
        </w:rPr>
        <w:t>0</w:t>
      </w:r>
    </w:p>
    <w:p>
      <w:pPr>
        <w:pStyle w:val="8"/>
      </w:pPr>
      <w:r>
        <w:fldChar w:fldCharType="begin"/>
      </w:r>
      <w:r>
        <w:instrText xml:space="preserve"> HYPERLINK \l "_Toc28530743" </w:instrText>
      </w:r>
      <w:r>
        <w:fldChar w:fldCharType="separate"/>
      </w:r>
      <w:r>
        <w:rPr>
          <w:rStyle w:val="12"/>
          <w:rFonts w:ascii="黑体" w:hAnsi="黑体" w:eastAsia="黑体"/>
          <w:color w:val="auto"/>
        </w:rPr>
        <w:t>8</w:t>
      </w:r>
      <w:r>
        <w:tab/>
      </w:r>
      <w:r>
        <w:rPr>
          <w:rStyle w:val="12"/>
          <w:rFonts w:hint="eastAsia" w:eastAsia="黑体"/>
          <w:color w:val="auto"/>
        </w:rPr>
        <w:t>产品对环境的影响</w:t>
      </w:r>
      <w:r>
        <w:tab/>
      </w:r>
      <w:r>
        <w:rPr>
          <w:rFonts w:hint="eastAsia"/>
        </w:rPr>
        <w:t>1</w:t>
      </w:r>
      <w:r>
        <w:rPr>
          <w:rFonts w:hint="eastAsia"/>
        </w:rPr>
        <w:fldChar w:fldCharType="end"/>
      </w:r>
      <w:r>
        <w:rPr>
          <w:rFonts w:hint="eastAsia"/>
        </w:rPr>
        <w:t>1</w:t>
      </w:r>
    </w:p>
    <w:p>
      <w:pPr>
        <w:pStyle w:val="8"/>
      </w:pPr>
      <w:r>
        <w:fldChar w:fldCharType="begin"/>
      </w:r>
      <w:r>
        <w:instrText xml:space="preserve"> HYPERLINK \l "_Toc28530744" </w:instrText>
      </w:r>
      <w:r>
        <w:fldChar w:fldCharType="separate"/>
      </w:r>
      <w:r>
        <w:rPr>
          <w:rStyle w:val="12"/>
          <w:rFonts w:ascii="黑体" w:hAnsi="黑体" w:eastAsia="黑体"/>
          <w:color w:val="auto"/>
        </w:rPr>
        <w:t>9</w:t>
      </w:r>
      <w:r>
        <w:tab/>
      </w:r>
      <w:r>
        <w:rPr>
          <w:rStyle w:val="12"/>
          <w:rFonts w:hint="eastAsia" w:eastAsia="黑体"/>
          <w:color w:val="auto"/>
        </w:rPr>
        <w:t>技术文件要求</w:t>
      </w:r>
      <w:r>
        <w:tab/>
      </w:r>
      <w:r>
        <w:fldChar w:fldCharType="begin"/>
      </w:r>
      <w:r>
        <w:instrText xml:space="preserve"> PAGEREF _Toc28530744 \h </w:instrText>
      </w:r>
      <w:r>
        <w:fldChar w:fldCharType="separate"/>
      </w:r>
      <w:r>
        <w:t>1</w:t>
      </w:r>
      <w:r>
        <w:rPr>
          <w:rFonts w:hint="eastAsia"/>
        </w:rPr>
        <w:t>1</w:t>
      </w:r>
      <w:r>
        <w:fldChar w:fldCharType="end"/>
      </w:r>
      <w:r>
        <w:fldChar w:fldCharType="end"/>
      </w:r>
    </w:p>
    <w:p>
      <w:pPr>
        <w:pStyle w:val="9"/>
      </w:pPr>
      <w:r>
        <w:fldChar w:fldCharType="begin"/>
      </w:r>
      <w:r>
        <w:instrText xml:space="preserve"> HYPERLINK \l "_Toc28530745" </w:instrText>
      </w:r>
      <w:r>
        <w:fldChar w:fldCharType="separate"/>
      </w:r>
      <w:r>
        <w:rPr>
          <w:rStyle w:val="12"/>
          <w:rFonts w:eastAsia="黑体"/>
          <w:color w:val="auto"/>
        </w:rPr>
        <w:t>9.1</w:t>
      </w:r>
      <w:r>
        <w:tab/>
      </w:r>
      <w:r>
        <w:rPr>
          <w:rStyle w:val="12"/>
          <w:rFonts w:hint="eastAsia" w:eastAsia="黑体"/>
          <w:color w:val="auto"/>
        </w:rPr>
        <w:t>一般要求</w:t>
      </w:r>
      <w:r>
        <w:tab/>
      </w:r>
      <w:r>
        <w:fldChar w:fldCharType="begin"/>
      </w:r>
      <w:r>
        <w:instrText xml:space="preserve"> PAGEREF _Toc28530745 \h </w:instrText>
      </w:r>
      <w:r>
        <w:fldChar w:fldCharType="separate"/>
      </w:r>
      <w:r>
        <w:t>1</w:t>
      </w:r>
      <w:r>
        <w:rPr>
          <w:rFonts w:hint="eastAsia"/>
        </w:rPr>
        <w:t>1</w:t>
      </w:r>
      <w:r>
        <w:fldChar w:fldCharType="end"/>
      </w:r>
      <w:r>
        <w:fldChar w:fldCharType="end"/>
      </w:r>
    </w:p>
    <w:p>
      <w:pPr>
        <w:pStyle w:val="9"/>
      </w:pPr>
      <w:r>
        <w:fldChar w:fldCharType="begin"/>
      </w:r>
      <w:r>
        <w:instrText xml:space="preserve"> HYPERLINK \l "_Toc28530746" </w:instrText>
      </w:r>
      <w:r>
        <w:fldChar w:fldCharType="separate"/>
      </w:r>
      <w:r>
        <w:rPr>
          <w:rStyle w:val="12"/>
          <w:rFonts w:eastAsia="黑体"/>
          <w:color w:val="auto"/>
        </w:rPr>
        <w:t>9.2</w:t>
      </w:r>
      <w:r>
        <w:tab/>
      </w:r>
      <w:r>
        <w:rPr>
          <w:rStyle w:val="12"/>
          <w:rFonts w:hint="eastAsia" w:eastAsia="黑体"/>
          <w:color w:val="auto"/>
        </w:rPr>
        <w:t>资料文件</w:t>
      </w:r>
      <w:r>
        <w:tab/>
      </w:r>
      <w:r>
        <w:fldChar w:fldCharType="begin"/>
      </w:r>
      <w:r>
        <w:instrText xml:space="preserve"> PAGEREF _Toc28530746 \h </w:instrText>
      </w:r>
      <w:r>
        <w:fldChar w:fldCharType="separate"/>
      </w:r>
      <w:r>
        <w:t>1</w:t>
      </w:r>
      <w:r>
        <w:rPr>
          <w:rFonts w:hint="eastAsia"/>
        </w:rPr>
        <w:t>2</w:t>
      </w:r>
      <w:r>
        <w:fldChar w:fldCharType="end"/>
      </w:r>
      <w:r>
        <w:fldChar w:fldCharType="end"/>
      </w:r>
    </w:p>
    <w:p>
      <w:pPr>
        <w:pStyle w:val="9"/>
      </w:pPr>
      <w:r>
        <w:fldChar w:fldCharType="begin"/>
      </w:r>
      <w:r>
        <w:instrText xml:space="preserve"> HYPERLINK \l "_Toc28530747" </w:instrText>
      </w:r>
      <w:r>
        <w:fldChar w:fldCharType="separate"/>
      </w:r>
      <w:r>
        <w:rPr>
          <w:rStyle w:val="12"/>
          <w:rFonts w:eastAsia="黑体"/>
          <w:color w:val="auto"/>
        </w:rPr>
        <w:t>9.3</w:t>
      </w:r>
      <w:r>
        <w:tab/>
      </w:r>
      <w:r>
        <w:rPr>
          <w:rStyle w:val="12"/>
          <w:rFonts w:hint="eastAsia" w:eastAsia="黑体"/>
          <w:color w:val="auto"/>
        </w:rPr>
        <w:t>设计联络</w:t>
      </w:r>
      <w:r>
        <w:tab/>
      </w:r>
      <w:r>
        <w:fldChar w:fldCharType="begin"/>
      </w:r>
      <w:r>
        <w:instrText xml:space="preserve"> PAGEREF _Toc28530747 \h </w:instrText>
      </w:r>
      <w:r>
        <w:fldChar w:fldCharType="separate"/>
      </w:r>
      <w:r>
        <w:t>1</w:t>
      </w:r>
      <w:r>
        <w:rPr>
          <w:rFonts w:hint="eastAsia"/>
        </w:rPr>
        <w:t>3</w:t>
      </w:r>
      <w:r>
        <w:fldChar w:fldCharType="end"/>
      </w:r>
      <w:r>
        <w:fldChar w:fldCharType="end"/>
      </w:r>
    </w:p>
    <w:p>
      <w:pPr>
        <w:pStyle w:val="8"/>
      </w:pPr>
      <w:r>
        <w:fldChar w:fldCharType="begin"/>
      </w:r>
      <w:r>
        <w:instrText xml:space="preserve"> HYPERLINK \l "_Toc28530748" </w:instrText>
      </w:r>
      <w:r>
        <w:fldChar w:fldCharType="separate"/>
      </w:r>
      <w:r>
        <w:rPr>
          <w:rStyle w:val="12"/>
          <w:rFonts w:ascii="黑体" w:hAnsi="黑体" w:eastAsia="黑体"/>
          <w:color w:val="auto"/>
        </w:rPr>
        <w:t>10</w:t>
      </w:r>
      <w:r>
        <w:tab/>
      </w:r>
      <w:r>
        <w:rPr>
          <w:rStyle w:val="12"/>
          <w:rFonts w:hint="eastAsia" w:eastAsia="黑体"/>
          <w:color w:val="auto"/>
        </w:rPr>
        <w:t>监造、包装、运输和贮存及质量保证</w:t>
      </w:r>
      <w:r>
        <w:tab/>
      </w:r>
      <w:r>
        <w:fldChar w:fldCharType="begin"/>
      </w:r>
      <w:r>
        <w:instrText xml:space="preserve"> PAGEREF _Toc28530748 \h </w:instrText>
      </w:r>
      <w:r>
        <w:fldChar w:fldCharType="separate"/>
      </w:r>
      <w:r>
        <w:t>1</w:t>
      </w:r>
      <w:r>
        <w:rPr>
          <w:rFonts w:hint="eastAsia"/>
        </w:rPr>
        <w:t>3</w:t>
      </w:r>
      <w:r>
        <w:fldChar w:fldCharType="end"/>
      </w:r>
      <w:r>
        <w:fldChar w:fldCharType="end"/>
      </w:r>
    </w:p>
    <w:p>
      <w:pPr>
        <w:pStyle w:val="9"/>
      </w:pPr>
      <w:r>
        <w:fldChar w:fldCharType="begin"/>
      </w:r>
      <w:r>
        <w:instrText xml:space="preserve"> HYPERLINK \l "_Toc28530749" </w:instrText>
      </w:r>
      <w:r>
        <w:fldChar w:fldCharType="separate"/>
      </w:r>
      <w:r>
        <w:rPr>
          <w:rStyle w:val="12"/>
          <w:rFonts w:eastAsia="黑体"/>
          <w:color w:val="auto"/>
        </w:rPr>
        <w:t>10.1</w:t>
      </w:r>
      <w:r>
        <w:tab/>
      </w:r>
      <w:r>
        <w:rPr>
          <w:rStyle w:val="12"/>
          <w:rFonts w:hint="eastAsia" w:eastAsia="黑体"/>
          <w:color w:val="auto"/>
        </w:rPr>
        <w:t>监造</w:t>
      </w:r>
      <w:r>
        <w:tab/>
      </w:r>
      <w:r>
        <w:fldChar w:fldCharType="begin"/>
      </w:r>
      <w:r>
        <w:instrText xml:space="preserve"> PAGEREF _Toc28530749 \h </w:instrText>
      </w:r>
      <w:r>
        <w:fldChar w:fldCharType="separate"/>
      </w:r>
      <w:r>
        <w:t>1</w:t>
      </w:r>
      <w:r>
        <w:rPr>
          <w:rFonts w:hint="eastAsia"/>
        </w:rPr>
        <w:t>3</w:t>
      </w:r>
      <w:r>
        <w:fldChar w:fldCharType="end"/>
      </w:r>
      <w:r>
        <w:fldChar w:fldCharType="end"/>
      </w:r>
    </w:p>
    <w:p>
      <w:pPr>
        <w:pStyle w:val="9"/>
      </w:pPr>
      <w:r>
        <w:fldChar w:fldCharType="begin"/>
      </w:r>
      <w:r>
        <w:instrText xml:space="preserve"> HYPERLINK \l "_Toc28530750" </w:instrText>
      </w:r>
      <w:r>
        <w:fldChar w:fldCharType="separate"/>
      </w:r>
      <w:r>
        <w:rPr>
          <w:rStyle w:val="12"/>
          <w:rFonts w:eastAsia="黑体"/>
          <w:color w:val="auto"/>
        </w:rPr>
        <w:t>10.2</w:t>
      </w:r>
      <w:r>
        <w:tab/>
      </w:r>
      <w:r>
        <w:rPr>
          <w:rStyle w:val="12"/>
          <w:rFonts w:hint="eastAsia" w:eastAsia="黑体"/>
          <w:color w:val="auto"/>
        </w:rPr>
        <w:t>包装</w:t>
      </w:r>
      <w:r>
        <w:tab/>
      </w:r>
      <w:r>
        <w:fldChar w:fldCharType="begin"/>
      </w:r>
      <w:r>
        <w:instrText xml:space="preserve"> PAGEREF _Toc28530750 \h </w:instrText>
      </w:r>
      <w:r>
        <w:fldChar w:fldCharType="separate"/>
      </w:r>
      <w:r>
        <w:t>1</w:t>
      </w:r>
      <w:r>
        <w:rPr>
          <w:rFonts w:hint="eastAsia"/>
        </w:rPr>
        <w:t>3</w:t>
      </w:r>
      <w:r>
        <w:fldChar w:fldCharType="end"/>
      </w:r>
      <w:r>
        <w:fldChar w:fldCharType="end"/>
      </w:r>
    </w:p>
    <w:p>
      <w:pPr>
        <w:pStyle w:val="9"/>
      </w:pPr>
      <w:r>
        <w:fldChar w:fldCharType="begin"/>
      </w:r>
      <w:r>
        <w:instrText xml:space="preserve"> HYPERLINK \l "_Toc28530751" </w:instrText>
      </w:r>
      <w:r>
        <w:fldChar w:fldCharType="separate"/>
      </w:r>
      <w:r>
        <w:rPr>
          <w:rStyle w:val="12"/>
          <w:rFonts w:eastAsia="黑体"/>
          <w:color w:val="auto"/>
        </w:rPr>
        <w:t>10.3</w:t>
      </w:r>
      <w:r>
        <w:tab/>
      </w:r>
      <w:r>
        <w:rPr>
          <w:rStyle w:val="12"/>
          <w:rFonts w:hint="eastAsia" w:eastAsia="黑体"/>
          <w:color w:val="auto"/>
        </w:rPr>
        <w:t>运输</w:t>
      </w:r>
      <w:r>
        <w:tab/>
      </w:r>
      <w:r>
        <w:fldChar w:fldCharType="begin"/>
      </w:r>
      <w:r>
        <w:instrText xml:space="preserve"> PAGEREF _Toc28530751 \h </w:instrText>
      </w:r>
      <w:r>
        <w:fldChar w:fldCharType="separate"/>
      </w:r>
      <w:r>
        <w:t>1</w:t>
      </w:r>
      <w:r>
        <w:rPr>
          <w:rFonts w:hint="eastAsia"/>
        </w:rPr>
        <w:t>4</w:t>
      </w:r>
      <w:r>
        <w:fldChar w:fldCharType="end"/>
      </w:r>
      <w:r>
        <w:fldChar w:fldCharType="end"/>
      </w:r>
    </w:p>
    <w:p>
      <w:pPr>
        <w:pStyle w:val="9"/>
      </w:pPr>
      <w:r>
        <w:fldChar w:fldCharType="begin"/>
      </w:r>
      <w:r>
        <w:instrText xml:space="preserve"> HYPERLINK \l "_Toc28530752" </w:instrText>
      </w:r>
      <w:r>
        <w:fldChar w:fldCharType="separate"/>
      </w:r>
      <w:r>
        <w:rPr>
          <w:rStyle w:val="12"/>
          <w:rFonts w:eastAsia="黑体"/>
          <w:color w:val="auto"/>
        </w:rPr>
        <w:t>10.4</w:t>
      </w:r>
      <w:r>
        <w:tab/>
      </w:r>
      <w:r>
        <w:rPr>
          <w:rStyle w:val="12"/>
          <w:rFonts w:hint="eastAsia" w:eastAsia="黑体"/>
          <w:color w:val="auto"/>
        </w:rPr>
        <w:t>安装指导</w:t>
      </w:r>
      <w:r>
        <w:tab/>
      </w:r>
      <w:r>
        <w:fldChar w:fldCharType="begin"/>
      </w:r>
      <w:r>
        <w:instrText xml:space="preserve"> PAGEREF _Toc28530752 \h </w:instrText>
      </w:r>
      <w:r>
        <w:fldChar w:fldCharType="separate"/>
      </w:r>
      <w:r>
        <w:t>1</w:t>
      </w:r>
      <w:r>
        <w:rPr>
          <w:rFonts w:hint="eastAsia"/>
        </w:rPr>
        <w:t>4</w:t>
      </w:r>
      <w:r>
        <w:fldChar w:fldCharType="end"/>
      </w:r>
      <w:r>
        <w:fldChar w:fldCharType="end"/>
      </w:r>
    </w:p>
    <w:p>
      <w:pPr>
        <w:pStyle w:val="9"/>
      </w:pPr>
      <w:r>
        <w:fldChar w:fldCharType="begin"/>
      </w:r>
      <w:r>
        <w:instrText xml:space="preserve"> HYPERLINK \l "_Toc28530753" </w:instrText>
      </w:r>
      <w:r>
        <w:fldChar w:fldCharType="separate"/>
      </w:r>
      <w:r>
        <w:rPr>
          <w:rStyle w:val="12"/>
          <w:rFonts w:eastAsia="黑体"/>
          <w:color w:val="auto"/>
        </w:rPr>
        <w:t>10.5</w:t>
      </w:r>
      <w:r>
        <w:tab/>
      </w:r>
      <w:r>
        <w:rPr>
          <w:rStyle w:val="12"/>
          <w:rFonts w:hint="eastAsia" w:eastAsia="黑体"/>
          <w:color w:val="auto"/>
        </w:rPr>
        <w:t>质量保证</w:t>
      </w:r>
      <w:r>
        <w:tab/>
      </w:r>
      <w:r>
        <w:fldChar w:fldCharType="begin"/>
      </w:r>
      <w:r>
        <w:instrText xml:space="preserve"> PAGEREF _Toc28530753 \h </w:instrText>
      </w:r>
      <w:r>
        <w:fldChar w:fldCharType="separate"/>
      </w:r>
      <w:r>
        <w:t>1</w:t>
      </w:r>
      <w:r>
        <w:rPr>
          <w:rFonts w:hint="eastAsia"/>
        </w:rPr>
        <w:t>4</w:t>
      </w:r>
      <w:r>
        <w:fldChar w:fldCharType="end"/>
      </w:r>
      <w:r>
        <w:fldChar w:fldCharType="end"/>
      </w:r>
    </w:p>
    <w:p>
      <w:pPr>
        <w:snapToGrid w:val="0"/>
        <w:spacing w:line="360" w:lineRule="auto"/>
        <w:rPr>
          <w:rFonts w:ascii="宋体" w:hAnsi="宋体"/>
          <w:sz w:val="28"/>
          <w:szCs w:val="28"/>
        </w:rPr>
      </w:pPr>
      <w:r>
        <w:rPr>
          <w:bCs/>
          <w:lang w:val="zh-CN"/>
        </w:rPr>
        <w:fldChar w:fldCharType="end"/>
      </w:r>
    </w:p>
    <w:p>
      <w:pPr>
        <w:pStyle w:val="15"/>
        <w:spacing w:before="156" w:beforeLines="50" w:line="360" w:lineRule="auto"/>
        <w:ind w:firstLine="560"/>
        <w:rPr>
          <w:rFonts w:ascii="宋体" w:hAnsi="宋体" w:eastAsia="宋体"/>
          <w:sz w:val="28"/>
          <w:szCs w:val="28"/>
        </w:rPr>
        <w:sectPr>
          <w:footerReference r:id="rId3" w:type="default"/>
          <w:pgSz w:w="11906" w:h="16838"/>
          <w:pgMar w:top="1440" w:right="1800" w:bottom="1440" w:left="1800" w:header="851" w:footer="992" w:gutter="0"/>
          <w:pgNumType w:start="1"/>
          <w:cols w:space="720" w:num="1"/>
          <w:docGrid w:type="lines" w:linePitch="312" w:charSpace="0"/>
        </w:sectPr>
      </w:pPr>
    </w:p>
    <w:p>
      <w:pPr>
        <w:pStyle w:val="4"/>
        <w:numPr>
          <w:ilvl w:val="0"/>
          <w:numId w:val="1"/>
        </w:numPr>
        <w:tabs>
          <w:tab w:val="left" w:pos="425"/>
        </w:tabs>
        <w:spacing w:before="0" w:after="0" w:line="360" w:lineRule="auto"/>
        <w:rPr>
          <w:rFonts w:ascii="宋体" w:hAnsi="宋体"/>
          <w:sz w:val="21"/>
          <w:szCs w:val="21"/>
        </w:rPr>
      </w:pPr>
      <w:bookmarkStart w:id="0" w:name="_Toc292025341"/>
      <w:bookmarkStart w:id="1" w:name="_Toc28538832"/>
      <w:bookmarkStart w:id="2" w:name="_Toc395186717"/>
      <w:r>
        <w:rPr>
          <w:rFonts w:ascii="宋体" w:hAnsi="宋体"/>
          <w:sz w:val="21"/>
          <w:szCs w:val="21"/>
        </w:rPr>
        <w:t>总则</w:t>
      </w:r>
      <w:bookmarkEnd w:id="0"/>
      <w:bookmarkEnd w:id="1"/>
      <w:bookmarkEnd w:id="2"/>
    </w:p>
    <w:p>
      <w:pPr>
        <w:numPr>
          <w:ilvl w:val="1"/>
          <w:numId w:val="1"/>
        </w:numPr>
        <w:spacing w:line="360" w:lineRule="auto"/>
        <w:rPr>
          <w:rFonts w:ascii="宋体" w:hAnsi="宋体"/>
        </w:rPr>
      </w:pPr>
      <w:r>
        <w:rPr>
          <w:rFonts w:ascii="宋体" w:hAnsi="宋体"/>
        </w:rPr>
        <w:t xml:space="preserve"> 本技术规范书适用于</w:t>
      </w:r>
      <w:r>
        <w:rPr>
          <w:rFonts w:hint="eastAsia" w:ascii="宋体" w:hAnsi="宋体"/>
        </w:rPr>
        <w:t>深圳供电局有限公司</w:t>
      </w:r>
      <w:r>
        <w:rPr>
          <w:rFonts w:ascii="宋体" w:hAnsi="宋体"/>
        </w:rPr>
        <w:t>采购的</w:t>
      </w:r>
      <w:r>
        <w:rPr>
          <w:rFonts w:hint="eastAsia" w:ascii="宋体" w:hAnsi="宋体"/>
          <w:lang w:eastAsia="zh-CN"/>
        </w:rPr>
        <w:t>视频处理单元</w:t>
      </w:r>
      <w:r>
        <w:rPr>
          <w:rFonts w:ascii="宋体" w:hAnsi="宋体"/>
        </w:rPr>
        <w:t>，它提出了该设备本体及附属设备的功能设计、结构、性能、</w:t>
      </w:r>
      <w:r>
        <w:t>试验</w:t>
      </w:r>
      <w:r>
        <w:rPr>
          <w:rFonts w:hint="eastAsia"/>
        </w:rPr>
        <w:t>和调试</w:t>
      </w:r>
      <w:r>
        <w:rPr>
          <w:rFonts w:ascii="宋体" w:hAnsi="宋体"/>
        </w:rPr>
        <w:t>等方面的技术要求。</w:t>
      </w:r>
    </w:p>
    <w:p>
      <w:pPr>
        <w:numPr>
          <w:ilvl w:val="1"/>
          <w:numId w:val="1"/>
        </w:numPr>
        <w:spacing w:line="360" w:lineRule="auto"/>
        <w:rPr>
          <w:rFonts w:ascii="宋体" w:hAnsi="宋体"/>
        </w:rPr>
      </w:pPr>
      <w:r>
        <w:rPr>
          <w:rFonts w:ascii="宋体" w:hAnsi="宋体"/>
        </w:rPr>
        <w:t>本技术规范书提出的是最低限度的技术要求。凡本技术规范书中未规定，但在相关设备的行业标准、国家标准或IEC标准中有规定的规范条文，投标方应按相关标准的最高技术要求执行。对国家有关安全、环保等强制性标准，必须满足其要求。</w:t>
      </w:r>
    </w:p>
    <w:p>
      <w:pPr>
        <w:numPr>
          <w:ilvl w:val="1"/>
          <w:numId w:val="1"/>
        </w:numPr>
        <w:spacing w:line="360" w:lineRule="auto"/>
        <w:rPr>
          <w:rFonts w:ascii="宋体" w:hAnsi="宋体"/>
        </w:rPr>
      </w:pPr>
      <w:r>
        <w:rPr>
          <w:rFonts w:ascii="宋体" w:hAnsi="宋体"/>
        </w:rPr>
        <w:t>如果投标方没有以书面形式对本技术规范书的条文提出异议，则意味着投标方提供的设备完全符合本技术规范书的要求。如有异议，不管是多么微小，都应在投标文件中以“技术偏差表”为标题的专门章节中加以详细描述。</w:t>
      </w:r>
    </w:p>
    <w:p>
      <w:pPr>
        <w:numPr>
          <w:ilvl w:val="1"/>
          <w:numId w:val="1"/>
        </w:numPr>
        <w:spacing w:line="360" w:lineRule="auto"/>
        <w:rPr>
          <w:rFonts w:ascii="宋体" w:hAnsi="宋体"/>
        </w:rPr>
      </w:pPr>
      <w:r>
        <w:rPr>
          <w:rFonts w:ascii="宋体" w:hAnsi="宋体"/>
        </w:rPr>
        <w:t>本技术规范书所使用的标准如遇与投标方所执行的标准不一致时，按技术要求较高的标准执行。</w:t>
      </w:r>
    </w:p>
    <w:p>
      <w:pPr>
        <w:numPr>
          <w:ilvl w:val="1"/>
          <w:numId w:val="1"/>
        </w:numPr>
        <w:spacing w:line="360" w:lineRule="auto"/>
        <w:rPr>
          <w:rFonts w:ascii="宋体" w:hAnsi="宋体"/>
        </w:rPr>
      </w:pPr>
      <w:r>
        <w:rPr>
          <w:rFonts w:ascii="宋体" w:hAnsi="宋体"/>
        </w:rPr>
        <w:t>本技术规范书经买、卖双方确认后作为订货合同的技术附件，与合同正文具有同等的法律效力。</w:t>
      </w:r>
    </w:p>
    <w:p>
      <w:pPr>
        <w:numPr>
          <w:ilvl w:val="1"/>
          <w:numId w:val="1"/>
        </w:numPr>
        <w:spacing w:line="360" w:lineRule="auto"/>
        <w:rPr>
          <w:rFonts w:ascii="宋体" w:hAnsi="宋体"/>
        </w:rPr>
      </w:pPr>
      <w:r>
        <w:rPr>
          <w:rFonts w:ascii="宋体" w:hAnsi="宋体"/>
        </w:rPr>
        <w:t>本技术规范书未尽事宜，由买、卖双方协商确定。</w:t>
      </w:r>
    </w:p>
    <w:p>
      <w:pPr>
        <w:numPr>
          <w:ilvl w:val="1"/>
          <w:numId w:val="1"/>
        </w:numPr>
        <w:spacing w:line="360" w:lineRule="auto"/>
        <w:rPr>
          <w:rFonts w:ascii="宋体" w:hAnsi="宋体"/>
        </w:rPr>
      </w:pPr>
      <w:r>
        <w:rPr>
          <w:rFonts w:ascii="宋体" w:hAnsi="宋体"/>
        </w:rPr>
        <w:t>投标方在投标技术文件中应如实反映投标产品与本技术规范书的技术差异。如果投标方没有提出技术差异，而在执行合同的过程中，招标方发现投标方提供的产品与其投标技术文件的条文存在差异，招标方有权利要求退货，并追究投标方违约责任。</w:t>
      </w:r>
    </w:p>
    <w:p>
      <w:pPr>
        <w:numPr>
          <w:ilvl w:val="1"/>
          <w:numId w:val="1"/>
        </w:numPr>
        <w:spacing w:line="360" w:lineRule="auto"/>
        <w:rPr>
          <w:rFonts w:ascii="宋体" w:hAnsi="宋体"/>
        </w:rPr>
      </w:pPr>
      <w:r>
        <w:rPr>
          <w:rFonts w:ascii="宋体" w:hAnsi="宋体"/>
        </w:rPr>
        <w:t>投标方应在投标技术部分按本技术规范书的要求如实详细的填写投标设备的标准配置表，并在投标商务部分按此标准配置进行报价，如发现二者有矛盾之处，将按有利于招标方的条款执行。</w:t>
      </w:r>
    </w:p>
    <w:p>
      <w:pPr>
        <w:numPr>
          <w:ilvl w:val="1"/>
          <w:numId w:val="1"/>
        </w:numPr>
        <w:spacing w:line="360" w:lineRule="auto"/>
        <w:rPr>
          <w:rFonts w:ascii="宋体" w:hAnsi="宋体"/>
        </w:rPr>
      </w:pPr>
      <w:r>
        <w:rPr>
          <w:rFonts w:ascii="宋体" w:hAnsi="宋体"/>
        </w:rPr>
        <w:t>投标方应充分理解本技术规范书并按具体条款、格式要求填写投标的技术文件，如发现投标的技术文件条款、格式不符合本技术规范书的要求，则认为投标不严肃，在评标时将有不同程度的扣分。</w:t>
      </w:r>
    </w:p>
    <w:p>
      <w:pPr>
        <w:pStyle w:val="4"/>
        <w:numPr>
          <w:ilvl w:val="0"/>
          <w:numId w:val="1"/>
        </w:numPr>
        <w:tabs>
          <w:tab w:val="left" w:pos="425"/>
        </w:tabs>
        <w:spacing w:before="0" w:after="0" w:line="360" w:lineRule="auto"/>
        <w:rPr>
          <w:rFonts w:ascii="宋体" w:hAnsi="宋体"/>
          <w:sz w:val="21"/>
          <w:szCs w:val="21"/>
        </w:rPr>
      </w:pPr>
      <w:bookmarkStart w:id="3" w:name="_Toc292025342"/>
      <w:bookmarkStart w:id="4" w:name="_Toc276492358"/>
      <w:bookmarkStart w:id="5" w:name="_Toc112756677"/>
      <w:bookmarkStart w:id="6" w:name="_Toc276490890"/>
      <w:bookmarkStart w:id="7" w:name="_Toc279695347"/>
      <w:bookmarkStart w:id="8" w:name="_Toc28538833"/>
      <w:bookmarkStart w:id="9" w:name="_Toc246216316"/>
      <w:bookmarkStart w:id="10" w:name="_Toc395186718"/>
      <w:bookmarkStart w:id="11" w:name="_Toc271281204"/>
      <w:bookmarkStart w:id="12" w:name="_Toc241911995"/>
      <w:bookmarkStart w:id="13" w:name="_Toc155114607"/>
      <w:r>
        <w:rPr>
          <w:rFonts w:ascii="宋体" w:hAnsi="宋体"/>
          <w:sz w:val="21"/>
          <w:szCs w:val="21"/>
        </w:rPr>
        <w:t>工作范围</w:t>
      </w:r>
      <w:bookmarkEnd w:id="3"/>
      <w:bookmarkEnd w:id="4"/>
      <w:bookmarkEnd w:id="5"/>
      <w:bookmarkEnd w:id="6"/>
      <w:bookmarkEnd w:id="7"/>
      <w:bookmarkEnd w:id="8"/>
      <w:bookmarkEnd w:id="9"/>
      <w:bookmarkEnd w:id="10"/>
      <w:bookmarkEnd w:id="11"/>
    </w:p>
    <w:p>
      <w:pPr>
        <w:pStyle w:val="5"/>
        <w:adjustRightInd w:val="0"/>
        <w:snapToGrid w:val="0"/>
        <w:spacing w:before="0" w:after="0" w:line="360" w:lineRule="auto"/>
        <w:rPr>
          <w:rFonts w:ascii="宋体" w:hAnsi="宋体"/>
          <w:b w:val="0"/>
          <w:sz w:val="21"/>
          <w:szCs w:val="21"/>
        </w:rPr>
      </w:pPr>
      <w:bookmarkStart w:id="14" w:name="_Toc400640369"/>
      <w:bookmarkStart w:id="15" w:name="_Toc28538834"/>
      <w:bookmarkStart w:id="16" w:name="_Toc384340977"/>
      <w:r>
        <w:rPr>
          <w:rFonts w:ascii="宋体" w:hAnsi="宋体"/>
          <w:b w:val="0"/>
          <w:sz w:val="21"/>
          <w:szCs w:val="21"/>
        </w:rPr>
        <w:t>2.1 工程概况</w:t>
      </w:r>
      <w:bookmarkEnd w:id="14"/>
      <w:bookmarkEnd w:id="15"/>
      <w:bookmarkEnd w:id="16"/>
    </w:p>
    <w:p>
      <w:pPr>
        <w:pStyle w:val="15"/>
        <w:spacing w:line="360" w:lineRule="auto"/>
        <w:rPr>
          <w:rFonts w:ascii="宋体" w:hAnsi="宋体" w:eastAsia="宋体"/>
        </w:rPr>
      </w:pPr>
      <w:r>
        <w:rPr>
          <w:rFonts w:ascii="宋体" w:hAnsi="宋体" w:eastAsia="宋体"/>
        </w:rPr>
        <w:t>本技术规范书采购的设备适用的工程概况详见专用部分。</w:t>
      </w:r>
    </w:p>
    <w:p>
      <w:pPr>
        <w:pStyle w:val="5"/>
        <w:adjustRightInd w:val="0"/>
        <w:snapToGrid w:val="0"/>
        <w:spacing w:before="0" w:after="0" w:line="360" w:lineRule="auto"/>
        <w:rPr>
          <w:rFonts w:ascii="宋体" w:hAnsi="宋体"/>
          <w:b w:val="0"/>
          <w:sz w:val="21"/>
          <w:szCs w:val="21"/>
        </w:rPr>
      </w:pPr>
      <w:bookmarkStart w:id="17" w:name="_Toc28538835"/>
      <w:bookmarkStart w:id="18" w:name="_Toc384340978"/>
      <w:bookmarkStart w:id="19" w:name="_Toc400640370"/>
      <w:r>
        <w:rPr>
          <w:rFonts w:ascii="宋体" w:hAnsi="宋体"/>
          <w:b w:val="0"/>
          <w:sz w:val="21"/>
          <w:szCs w:val="21"/>
        </w:rPr>
        <w:t>2.2 范围和界限</w:t>
      </w:r>
      <w:bookmarkEnd w:id="17"/>
      <w:bookmarkEnd w:id="18"/>
      <w:bookmarkEnd w:id="19"/>
    </w:p>
    <w:p>
      <w:pPr>
        <w:adjustRightInd w:val="0"/>
        <w:snapToGrid w:val="0"/>
        <w:spacing w:line="360" w:lineRule="auto"/>
        <w:ind w:firstLine="420" w:firstLineChars="200"/>
        <w:rPr>
          <w:rFonts w:ascii="宋体" w:hAnsi="宋体"/>
        </w:rPr>
      </w:pPr>
      <w:r>
        <w:rPr>
          <w:rFonts w:ascii="宋体" w:hAnsi="宋体"/>
        </w:rPr>
        <w:t>1）</w:t>
      </w:r>
      <w:r>
        <w:t>本规范书适应于</w:t>
      </w:r>
      <w:r>
        <w:rPr>
          <w:rFonts w:hint="eastAsia"/>
        </w:rPr>
        <w:t>深圳供电局有限公司</w:t>
      </w:r>
      <w:r>
        <w:t>所属配电</w:t>
      </w:r>
      <w:r>
        <w:rPr>
          <w:rFonts w:hint="eastAsia"/>
        </w:rPr>
        <w:t>点位视频监控</w:t>
      </w:r>
      <w:r>
        <w:t>新建、扩建及改造工程，</w:t>
      </w:r>
      <w:r>
        <w:rPr>
          <w:rFonts w:hint="eastAsia"/>
        </w:rPr>
        <w:t>供货范围包括</w:t>
      </w:r>
      <w:r>
        <w:rPr>
          <w:rFonts w:hint="eastAsia"/>
          <w:lang w:eastAsia="zh-CN"/>
        </w:rPr>
        <w:t>视频处理单元</w:t>
      </w:r>
      <w:r>
        <w:t>及其附属设备的设计</w:t>
      </w:r>
      <w:r>
        <w:rPr>
          <w:rFonts w:hint="eastAsia"/>
        </w:rPr>
        <w:t>、</w:t>
      </w:r>
      <w:r>
        <w:t>制造</w:t>
      </w:r>
      <w:r>
        <w:rPr>
          <w:rFonts w:hint="eastAsia"/>
        </w:rPr>
        <w:t>、</w:t>
      </w:r>
      <w:r>
        <w:t>装配</w:t>
      </w:r>
      <w:r>
        <w:rPr>
          <w:rFonts w:hint="eastAsia"/>
        </w:rPr>
        <w:t>、试验检测、</w:t>
      </w:r>
      <w:r>
        <w:t>交付</w:t>
      </w:r>
      <w:r>
        <w:rPr>
          <w:rFonts w:hint="eastAsia"/>
        </w:rPr>
        <w:t>、设备调试和质保期内的设备维护等</w:t>
      </w:r>
      <w:r>
        <w:t>工作。</w:t>
      </w:r>
    </w:p>
    <w:p>
      <w:pPr>
        <w:adjustRightInd w:val="0"/>
        <w:snapToGrid w:val="0"/>
        <w:spacing w:line="360" w:lineRule="auto"/>
        <w:ind w:firstLine="420" w:firstLineChars="200"/>
        <w:rPr>
          <w:rFonts w:ascii="宋体" w:hAnsi="宋体"/>
        </w:rPr>
      </w:pPr>
      <w:r>
        <w:rPr>
          <w:rFonts w:hint="eastAsia" w:ascii="宋体" w:hAnsi="宋体"/>
        </w:rPr>
        <w:t>2</w:t>
      </w:r>
      <w:r>
        <w:rPr>
          <w:rFonts w:ascii="宋体" w:hAnsi="宋体"/>
        </w:rPr>
        <w:t>）现场安装和试验在投标方的技术指导和监督下由招标方完成。</w:t>
      </w:r>
    </w:p>
    <w:p>
      <w:pPr>
        <w:adjustRightInd w:val="0"/>
        <w:snapToGrid w:val="0"/>
        <w:spacing w:line="360" w:lineRule="auto"/>
        <w:ind w:firstLine="420" w:firstLineChars="200"/>
        <w:rPr>
          <w:rFonts w:ascii="宋体" w:hAnsi="宋体"/>
        </w:rPr>
      </w:pPr>
      <w:r>
        <w:rPr>
          <w:rFonts w:hint="eastAsia" w:ascii="宋体" w:hAnsi="宋体"/>
        </w:rPr>
        <w:t>3</w:t>
      </w:r>
      <w:r>
        <w:rPr>
          <w:rFonts w:ascii="宋体" w:hAnsi="宋体"/>
        </w:rPr>
        <w:t>）本规范书未说明，但又与设计、制造、装配、试验、运输、包装、保管、</w:t>
      </w:r>
      <w:r>
        <w:rPr>
          <w:rFonts w:hint="eastAsia" w:ascii="宋体" w:hAnsi="宋体"/>
        </w:rPr>
        <w:t>调试</w:t>
      </w:r>
      <w:r>
        <w:rPr>
          <w:rFonts w:ascii="宋体" w:hAnsi="宋体"/>
        </w:rPr>
        <w:t>和运行维护有关的技术要求，按条款3所规定的有关标准执行。</w:t>
      </w:r>
    </w:p>
    <w:p>
      <w:pPr>
        <w:pStyle w:val="5"/>
        <w:adjustRightInd w:val="0"/>
        <w:snapToGrid w:val="0"/>
        <w:spacing w:before="0" w:after="0" w:line="360" w:lineRule="auto"/>
        <w:rPr>
          <w:rFonts w:ascii="宋体" w:hAnsi="宋体"/>
          <w:b w:val="0"/>
          <w:sz w:val="21"/>
          <w:szCs w:val="21"/>
        </w:rPr>
      </w:pPr>
      <w:bookmarkStart w:id="20" w:name="_Toc28538836"/>
      <w:bookmarkStart w:id="21" w:name="_Toc400640371"/>
      <w:bookmarkStart w:id="22" w:name="_Toc384340979"/>
      <w:r>
        <w:rPr>
          <w:rFonts w:ascii="宋体" w:hAnsi="宋体"/>
          <w:b w:val="0"/>
          <w:sz w:val="21"/>
          <w:szCs w:val="21"/>
        </w:rPr>
        <w:t>2.3 服务范围</w:t>
      </w:r>
      <w:bookmarkEnd w:id="20"/>
      <w:bookmarkEnd w:id="21"/>
      <w:bookmarkEnd w:id="22"/>
    </w:p>
    <w:p>
      <w:pPr>
        <w:adjustRightInd w:val="0"/>
        <w:snapToGrid w:val="0"/>
        <w:spacing w:line="360" w:lineRule="auto"/>
        <w:ind w:firstLine="420" w:firstLineChars="200"/>
        <w:rPr>
          <w:highlight w:val="none"/>
        </w:rPr>
      </w:pPr>
      <w:r>
        <w:rPr>
          <w:highlight w:val="none"/>
        </w:rPr>
        <w:t>1）投标方应按本规范书的要求提供全新的、合格的</w:t>
      </w:r>
      <w:r>
        <w:rPr>
          <w:rFonts w:hint="eastAsia"/>
          <w:spacing w:val="-4"/>
          <w:szCs w:val="21"/>
          <w:highlight w:val="none"/>
        </w:rPr>
        <w:t>视频</w:t>
      </w:r>
      <w:r>
        <w:rPr>
          <w:rFonts w:hint="eastAsia"/>
          <w:spacing w:val="-4"/>
          <w:szCs w:val="21"/>
          <w:highlight w:val="none"/>
          <w:lang w:val="en-US" w:eastAsia="zh-CN"/>
        </w:rPr>
        <w:t>处理单元</w:t>
      </w:r>
      <w:r>
        <w:rPr>
          <w:highlight w:val="none"/>
        </w:rPr>
        <w:t>及其附属设备、备品备件、专用工具和仪器。投标方所提供的组件或附件如需向第三方外购时，投标方应对质量向招标方负责，并提供相应出厂和验收证明。</w:t>
      </w:r>
    </w:p>
    <w:p>
      <w:pPr>
        <w:adjustRightInd w:val="0"/>
        <w:snapToGrid w:val="0"/>
        <w:spacing w:line="360" w:lineRule="auto"/>
        <w:ind w:firstLine="420" w:firstLineChars="200"/>
      </w:pPr>
      <w:r>
        <w:t>2）供货范围</w:t>
      </w:r>
      <w:bookmarkStart w:id="23" w:name="_Toc283142589"/>
      <w:bookmarkStart w:id="24" w:name="_Toc282433715"/>
      <w:bookmarkStart w:id="25" w:name="_Toc283011667"/>
      <w:r>
        <w:t>一览表</w:t>
      </w:r>
      <w:bookmarkEnd w:id="23"/>
      <w:bookmarkEnd w:id="24"/>
      <w:bookmarkEnd w:id="25"/>
    </w:p>
    <w:p>
      <w:pPr>
        <w:pStyle w:val="15"/>
        <w:adjustRightInd w:val="0"/>
        <w:snapToGrid w:val="0"/>
        <w:spacing w:line="360" w:lineRule="auto"/>
        <w:rPr>
          <w:rFonts w:eastAsia="宋体"/>
        </w:rPr>
      </w:pPr>
      <w:r>
        <w:rPr>
          <w:rFonts w:eastAsia="宋体"/>
        </w:rPr>
        <w:t>供货设备技术规格一览表详见专用部分。</w:t>
      </w:r>
      <w:r>
        <w:t>备品备件及专用工具等详见专用条款</w:t>
      </w:r>
      <w:r>
        <w:rPr>
          <w:rFonts w:hint="eastAsia"/>
        </w:rPr>
        <w:t>。</w:t>
      </w:r>
    </w:p>
    <w:p>
      <w:pPr>
        <w:adjustRightInd w:val="0"/>
        <w:snapToGrid w:val="0"/>
        <w:spacing w:line="360" w:lineRule="auto"/>
        <w:ind w:firstLine="420" w:firstLineChars="200"/>
      </w:pPr>
      <w:r>
        <w:t>3）工厂试验由投标方在生产厂家内完成，但应有招标方代表参加，参加工厂验收的人数及天数</w:t>
      </w:r>
      <w:r>
        <w:rPr>
          <w:rFonts w:hint="eastAsia"/>
        </w:rPr>
        <w:t>由招标方确定</w:t>
      </w:r>
      <w:r>
        <w:t>。</w:t>
      </w:r>
    </w:p>
    <w:p>
      <w:pPr>
        <w:adjustRightInd w:val="0"/>
        <w:snapToGrid w:val="0"/>
        <w:spacing w:line="360" w:lineRule="auto"/>
        <w:ind w:firstLine="420" w:firstLineChars="200"/>
      </w:pPr>
      <w:r>
        <w:t>4）现场安装由招标方完成，</w:t>
      </w:r>
      <w:r>
        <w:rPr>
          <w:rFonts w:hint="eastAsia"/>
        </w:rPr>
        <w:t>设备调试接入由投标方完成，</w:t>
      </w:r>
      <w:r>
        <w:t>投标方协助招标方按标准检查安装质量，处理调试投运过程中出现的问题，并提供备品、备件，做好销售服务工作。投标方应选派有经验的技术人员，对安装和运行人员免费培训。安装督导的工作范围及人数和天数</w:t>
      </w:r>
      <w:r>
        <w:rPr>
          <w:rFonts w:hint="eastAsia"/>
        </w:rPr>
        <w:t>由招标方确定</w:t>
      </w:r>
      <w:r>
        <w:t>。</w:t>
      </w:r>
    </w:p>
    <w:p>
      <w:pPr>
        <w:adjustRightInd w:val="0"/>
        <w:snapToGrid w:val="0"/>
        <w:spacing w:line="360" w:lineRule="auto"/>
        <w:ind w:firstLine="420" w:firstLineChars="200"/>
      </w:pPr>
      <w:r>
        <w:t>5）投标方应协助招标方解决设备运行中出现的问题。</w:t>
      </w:r>
    </w:p>
    <w:p>
      <w:pPr>
        <w:adjustRightInd w:val="0"/>
        <w:snapToGrid w:val="0"/>
        <w:spacing w:line="360" w:lineRule="auto"/>
        <w:ind w:firstLine="420" w:firstLineChars="200"/>
      </w:pPr>
      <w:r>
        <w:t>6）产品零整比不大于3，供货商零部件总成本不应超过</w:t>
      </w:r>
      <w:r>
        <w:rPr>
          <w:rFonts w:hint="eastAsia"/>
          <w:lang w:eastAsia="zh-CN"/>
        </w:rPr>
        <w:t>视频处理单元</w:t>
      </w:r>
      <w:r>
        <w:t>本体成本3倍。</w:t>
      </w:r>
    </w:p>
    <w:p>
      <w:pPr>
        <w:adjustRightInd w:val="0"/>
        <w:snapToGrid w:val="0"/>
        <w:spacing w:line="360" w:lineRule="auto"/>
        <w:ind w:firstLine="420" w:firstLineChars="200"/>
      </w:pPr>
      <w:r>
        <w:t>7）设计联络会议的地点及</w:t>
      </w:r>
      <w:r>
        <w:rPr>
          <w:rFonts w:hint="eastAsia"/>
        </w:rPr>
        <w:t>双</w:t>
      </w:r>
      <w:r>
        <w:t>方参加人员的人数和天数</w:t>
      </w:r>
      <w:r>
        <w:rPr>
          <w:rFonts w:hint="eastAsia"/>
        </w:rPr>
        <w:t>由招标方确定</w:t>
      </w:r>
      <w:r>
        <w:t>。</w:t>
      </w:r>
    </w:p>
    <w:p>
      <w:pPr>
        <w:adjustRightInd w:val="0"/>
        <w:snapToGrid w:val="0"/>
        <w:spacing w:line="360" w:lineRule="auto"/>
        <w:ind w:firstLine="420" w:firstLineChars="200"/>
      </w:pPr>
      <w:r>
        <w:t>8）设备安装、调试和性能试验合格后方可投运。设备投运并稳定运行后，投标方和招标方（业主）双方应根据相关法律、法规和公司管理制度签署合同设备的验收证明书。该证明书共两份，双方各执一份。</w:t>
      </w:r>
    </w:p>
    <w:p>
      <w:pPr>
        <w:adjustRightInd w:val="0"/>
        <w:snapToGrid w:val="0"/>
        <w:spacing w:line="360" w:lineRule="auto"/>
        <w:ind w:firstLine="420" w:firstLineChars="200"/>
        <w:rPr>
          <w:rFonts w:ascii="宋体" w:hAnsi="宋体"/>
        </w:rPr>
      </w:pPr>
      <w:r>
        <w:t>9）如果安装、调试、性能试验、试运行及质保期内技术指标一项或多项不能满足合同技术部分要求，买卖双方共同分析原因，分清责任，如属制造方面的原因，或涉及索赔部分，按</w:t>
      </w:r>
      <w:r>
        <w:rPr>
          <w:rFonts w:hint="eastAsia"/>
        </w:rPr>
        <w:t>合同</w:t>
      </w:r>
      <w:r>
        <w:t>有关条款执行。</w:t>
      </w:r>
    </w:p>
    <w:bookmarkEnd w:id="12"/>
    <w:bookmarkEnd w:id="13"/>
    <w:p>
      <w:pPr>
        <w:pStyle w:val="4"/>
        <w:numPr>
          <w:ilvl w:val="0"/>
          <w:numId w:val="1"/>
        </w:numPr>
        <w:tabs>
          <w:tab w:val="left" w:pos="425"/>
        </w:tabs>
        <w:spacing w:before="0" w:after="0" w:line="360" w:lineRule="auto"/>
        <w:rPr>
          <w:rFonts w:ascii="宋体" w:hAnsi="宋体"/>
          <w:sz w:val="21"/>
          <w:szCs w:val="21"/>
        </w:rPr>
      </w:pPr>
      <w:bookmarkStart w:id="26" w:name="_Toc292025346"/>
      <w:bookmarkStart w:id="27" w:name="_Toc395186722"/>
      <w:bookmarkStart w:id="28" w:name="_Toc28538837"/>
      <w:r>
        <w:rPr>
          <w:rFonts w:ascii="宋体" w:hAnsi="宋体"/>
          <w:sz w:val="21"/>
          <w:szCs w:val="21"/>
        </w:rPr>
        <w:t>应遵循的主要标准</w:t>
      </w:r>
      <w:bookmarkEnd w:id="26"/>
      <w:bookmarkEnd w:id="27"/>
      <w:bookmarkEnd w:id="28"/>
    </w:p>
    <w:p>
      <w:pPr>
        <w:spacing w:line="360" w:lineRule="auto"/>
        <w:ind w:firstLine="420" w:firstLineChars="200"/>
        <w:rPr>
          <w:rFonts w:ascii="宋体" w:hAnsi="宋体"/>
        </w:rPr>
      </w:pPr>
      <w:r>
        <w:rPr>
          <w:rFonts w:ascii="宋体" w:hAnsi="宋体"/>
        </w:rPr>
        <w:t>除本技术规范特殊规定外，投标方所提供的设备均按规定的标准和规程的最新版本进行设计、制造、试验和安装。如果这些标准内容有矛盾时，应按技术要求最高的条款执行或按双方商定的标准执行。如果投标方选用本技术规范规定以外的标准时，则需提交这种替换标准供审查和分析。仅在投标方已证明替换标准相当或优于技术规范规定的标准，并从招标方处获得书面的认可才能使用。提交供审查的标准应为中文版本。</w:t>
      </w:r>
    </w:p>
    <w:p>
      <w:pPr>
        <w:spacing w:line="360" w:lineRule="auto"/>
        <w:ind w:firstLine="420" w:firstLineChars="200"/>
        <w:rPr>
          <w:rFonts w:ascii="宋体" w:hAnsi="宋体"/>
        </w:rPr>
      </w:pPr>
      <w:r>
        <w:rPr>
          <w:rFonts w:ascii="宋体" w:hAnsi="宋体"/>
          <w:szCs w:val="21"/>
        </w:rPr>
        <w:t>下列文件对于本技术规范书的应用是必不可少。凡是注日期的引用文件，仅注日期的版本适用于本技术规范书。凡是不注日期的引用文件，其最新版本（包括所有的修改单）适用于本技术规范书</w:t>
      </w:r>
      <w:r>
        <w:rPr>
          <w:rFonts w:ascii="宋体" w:hAnsi="宋体"/>
        </w:rPr>
        <w:t>：</w:t>
      </w:r>
    </w:p>
    <w:p>
      <w:pPr>
        <w:spacing w:line="360" w:lineRule="auto"/>
        <w:ind w:firstLine="420" w:firstLineChars="200"/>
        <w:rPr>
          <w:rFonts w:ascii="宋体" w:hAnsi="宋体"/>
        </w:rPr>
      </w:pPr>
      <w:r>
        <w:rPr>
          <w:rFonts w:hint="eastAsia" w:ascii="宋体" w:hAnsi="宋体"/>
        </w:rPr>
        <w:t>国家发改委14号令</w:t>
      </w:r>
      <w:r>
        <w:rPr>
          <w:rFonts w:ascii="宋体" w:hAnsi="宋体"/>
        </w:rPr>
        <w:tab/>
      </w:r>
      <w:r>
        <w:rPr>
          <w:rFonts w:ascii="宋体" w:hAnsi="宋体"/>
        </w:rPr>
        <w:tab/>
      </w:r>
      <w:r>
        <w:rPr>
          <w:rFonts w:hint="eastAsia" w:ascii="宋体" w:hAnsi="宋体"/>
        </w:rPr>
        <w:t>电力监控系统安全防护规定</w:t>
      </w:r>
    </w:p>
    <w:p>
      <w:pPr>
        <w:spacing w:line="360" w:lineRule="auto"/>
        <w:ind w:left="2975" w:leftChars="203" w:hanging="2549" w:hangingChars="1214"/>
        <w:rPr>
          <w:rFonts w:hint="eastAsia" w:ascii="宋体" w:hAnsi="宋体"/>
        </w:rPr>
      </w:pPr>
      <w:r>
        <w:rPr>
          <w:rFonts w:hint="eastAsia" w:ascii="宋体" w:hAnsi="宋体"/>
        </w:rPr>
        <w:t>国能安全〔2015〕36号</w:t>
      </w:r>
      <w:r>
        <w:rPr>
          <w:rFonts w:ascii="宋体" w:hAnsi="宋体"/>
        </w:rPr>
        <w:tab/>
      </w:r>
      <w:r>
        <w:rPr>
          <w:rFonts w:hint="eastAsia" w:ascii="宋体" w:hAnsi="宋体"/>
        </w:rPr>
        <w:t>电力监控系统安全防护总体方案等安全防护方案和评估规范</w:t>
      </w:r>
    </w:p>
    <w:p>
      <w:pPr>
        <w:spacing w:line="360" w:lineRule="auto"/>
        <w:ind w:firstLine="420" w:firstLineChars="200"/>
        <w:rPr>
          <w:rFonts w:ascii="宋体" w:hAnsi="宋体"/>
        </w:rPr>
      </w:pPr>
      <w:r>
        <w:rPr>
          <w:rFonts w:hint="eastAsia" w:ascii="宋体" w:hAnsi="宋体"/>
        </w:rPr>
        <w:t xml:space="preserve">GB14808 </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交流高压接触器</w:t>
      </w:r>
    </w:p>
    <w:p>
      <w:pPr>
        <w:spacing w:line="360" w:lineRule="auto"/>
        <w:ind w:firstLine="420" w:firstLineChars="200"/>
        <w:rPr>
          <w:rFonts w:ascii="宋体" w:hAnsi="宋体"/>
        </w:rPr>
      </w:pPr>
      <w:r>
        <w:rPr>
          <w:rFonts w:hint="eastAsia" w:ascii="宋体" w:hAnsi="宋体"/>
        </w:rPr>
        <w:t xml:space="preserve">GB4208 </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外壳防护等级（IP代码）</w:t>
      </w:r>
    </w:p>
    <w:p>
      <w:pPr>
        <w:spacing w:line="360" w:lineRule="auto"/>
        <w:ind w:firstLine="420" w:firstLineChars="200"/>
        <w:rPr>
          <w:rFonts w:ascii="宋体" w:hAnsi="宋体"/>
        </w:rPr>
      </w:pPr>
      <w:r>
        <w:rPr>
          <w:rFonts w:hint="eastAsia" w:ascii="宋体" w:hAnsi="宋体"/>
        </w:rPr>
        <w:t>GB/T20269</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信息安全技术信息系统安全管理要求</w:t>
      </w:r>
    </w:p>
    <w:p>
      <w:pPr>
        <w:spacing w:line="360" w:lineRule="auto"/>
        <w:ind w:firstLine="420" w:firstLineChars="200"/>
        <w:rPr>
          <w:rFonts w:ascii="宋体" w:hAnsi="宋体"/>
        </w:rPr>
      </w:pPr>
      <w:r>
        <w:rPr>
          <w:rFonts w:hint="eastAsia" w:ascii="宋体" w:hAnsi="宋体"/>
        </w:rPr>
        <w:t xml:space="preserve">GB/T20270 </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信息安全技术网络基础安全技术要求</w:t>
      </w:r>
    </w:p>
    <w:p>
      <w:pPr>
        <w:spacing w:line="360" w:lineRule="auto"/>
        <w:ind w:firstLine="420" w:firstLineChars="200"/>
        <w:rPr>
          <w:rFonts w:ascii="宋体" w:hAnsi="宋体"/>
        </w:rPr>
      </w:pPr>
      <w:r>
        <w:rPr>
          <w:rFonts w:hint="eastAsia" w:ascii="宋体" w:hAnsi="宋体"/>
        </w:rPr>
        <w:t>GB/T20271</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信息安全技术信息系统通用安全技术要求</w:t>
      </w:r>
    </w:p>
    <w:p>
      <w:pPr>
        <w:spacing w:line="360" w:lineRule="auto"/>
        <w:ind w:firstLine="420" w:firstLineChars="200"/>
        <w:rPr>
          <w:rFonts w:ascii="宋体" w:hAnsi="宋体"/>
        </w:rPr>
      </w:pPr>
      <w:r>
        <w:rPr>
          <w:rFonts w:hint="eastAsia" w:ascii="宋体" w:hAnsi="宋体"/>
        </w:rPr>
        <w:t xml:space="preserve">GB/T 36478.1  </w:t>
      </w:r>
      <w:r>
        <w:rPr>
          <w:rFonts w:ascii="宋体" w:hAnsi="宋体"/>
        </w:rPr>
        <w:tab/>
      </w:r>
      <w:r>
        <w:rPr>
          <w:rFonts w:ascii="宋体" w:hAnsi="宋体"/>
        </w:rPr>
        <w:tab/>
      </w:r>
      <w:r>
        <w:rPr>
          <w:rFonts w:ascii="宋体" w:hAnsi="宋体"/>
        </w:rPr>
        <w:tab/>
      </w:r>
      <w:r>
        <w:rPr>
          <w:rFonts w:hint="eastAsia" w:ascii="宋体" w:hAnsi="宋体"/>
        </w:rPr>
        <w:t>物联网 信息交换和共享 第1部分：总体架构</w:t>
      </w:r>
    </w:p>
    <w:p>
      <w:pPr>
        <w:spacing w:line="360" w:lineRule="auto"/>
        <w:ind w:firstLine="420" w:firstLineChars="200"/>
        <w:rPr>
          <w:rFonts w:hint="eastAsia" w:ascii="宋体" w:hAnsi="宋体"/>
        </w:rPr>
      </w:pPr>
      <w:r>
        <w:rPr>
          <w:rFonts w:hint="eastAsia" w:ascii="宋体" w:hAnsi="宋体"/>
        </w:rPr>
        <w:t xml:space="preserve">GB/T 36478.2  </w:t>
      </w:r>
      <w:r>
        <w:rPr>
          <w:rFonts w:ascii="宋体" w:hAnsi="宋体"/>
        </w:rPr>
        <w:tab/>
      </w:r>
      <w:r>
        <w:rPr>
          <w:rFonts w:ascii="宋体" w:hAnsi="宋体"/>
        </w:rPr>
        <w:tab/>
      </w:r>
      <w:r>
        <w:rPr>
          <w:rFonts w:ascii="宋体" w:hAnsi="宋体"/>
        </w:rPr>
        <w:tab/>
      </w:r>
      <w:r>
        <w:rPr>
          <w:rFonts w:hint="eastAsia" w:ascii="宋体" w:hAnsi="宋体"/>
        </w:rPr>
        <w:t>物联网 信息交换和共享 第2部分：通用技术要求</w:t>
      </w:r>
    </w:p>
    <w:p>
      <w:pPr>
        <w:spacing w:line="360" w:lineRule="auto"/>
        <w:ind w:firstLine="420" w:firstLineChars="200"/>
      </w:pPr>
      <w:r>
        <w:rPr>
          <w:rFonts w:hint="eastAsia" w:ascii="宋体" w:hAnsi="宋体"/>
        </w:rPr>
        <w:t>GBT22239-</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网络安全等级保护基本要求</w:t>
      </w:r>
    </w:p>
    <w:p>
      <w:pPr>
        <w:spacing w:line="360" w:lineRule="auto"/>
        <w:ind w:firstLine="420" w:firstLineChars="200"/>
        <w:rPr>
          <w:rFonts w:hint="eastAsia" w:ascii="宋体" w:hAnsi="宋体"/>
        </w:rPr>
      </w:pPr>
      <w:r>
        <w:rPr>
          <w:rFonts w:hint="eastAsia" w:ascii="宋体" w:hAnsi="宋体"/>
        </w:rPr>
        <w:t>DL/T 720</w:t>
      </w:r>
      <w:r>
        <w:rPr>
          <w:rFonts w:hint="eastAsia" w:ascii="宋体" w:hAnsi="宋体"/>
        </w:rPr>
        <w:tab/>
      </w:r>
      <w:r>
        <w:rPr>
          <w:rFonts w:hint="eastAsia" w:ascii="宋体" w:hAnsi="宋体"/>
        </w:rPr>
        <w:t xml:space="preserve"> </w:t>
      </w:r>
      <w:r>
        <w:rPr>
          <w:rFonts w:ascii="宋体" w:hAnsi="宋体"/>
        </w:rPr>
        <w:tab/>
      </w:r>
      <w:r>
        <w:rPr>
          <w:rFonts w:ascii="宋体" w:hAnsi="宋体"/>
        </w:rPr>
        <w:tab/>
      </w:r>
      <w:r>
        <w:rPr>
          <w:rFonts w:ascii="宋体" w:hAnsi="宋体"/>
        </w:rPr>
        <w:tab/>
      </w:r>
      <w:r>
        <w:rPr>
          <w:rFonts w:hint="eastAsia" w:ascii="宋体" w:hAnsi="宋体"/>
        </w:rPr>
        <w:t>电力系统继电保护柜、屏通用技术条件</w:t>
      </w:r>
    </w:p>
    <w:p>
      <w:pPr>
        <w:spacing w:line="360" w:lineRule="auto"/>
        <w:ind w:firstLine="420" w:firstLineChars="200"/>
        <w:rPr>
          <w:rFonts w:ascii="宋体" w:hAnsi="宋体"/>
        </w:rPr>
      </w:pPr>
      <w:r>
        <w:rPr>
          <w:rFonts w:hint="eastAsia" w:ascii="宋体" w:hAnsi="宋体"/>
        </w:rPr>
        <w:t>DL/T 860</w:t>
      </w:r>
      <w:r>
        <w:rPr>
          <w:rFonts w:hint="eastAsia" w:ascii="宋体" w:hAnsi="宋体"/>
        </w:rPr>
        <w:tab/>
      </w:r>
      <w:r>
        <w:rPr>
          <w:rFonts w:hint="eastAsia" w:ascii="宋体" w:hAnsi="宋体"/>
        </w:rPr>
        <w:t xml:space="preserve"> </w:t>
      </w:r>
      <w:r>
        <w:rPr>
          <w:rFonts w:ascii="宋体" w:hAnsi="宋体"/>
        </w:rPr>
        <w:tab/>
      </w:r>
      <w:r>
        <w:rPr>
          <w:rFonts w:ascii="宋体" w:hAnsi="宋体"/>
        </w:rPr>
        <w:tab/>
      </w:r>
      <w:r>
        <w:rPr>
          <w:rFonts w:ascii="宋体" w:hAnsi="宋体"/>
        </w:rPr>
        <w:tab/>
      </w:r>
      <w:r>
        <w:rPr>
          <w:rFonts w:hint="eastAsia" w:ascii="宋体" w:hAnsi="宋体"/>
        </w:rPr>
        <w:t>变电站通信网络和系统</w:t>
      </w:r>
    </w:p>
    <w:p>
      <w:pPr>
        <w:spacing w:line="360" w:lineRule="auto"/>
        <w:ind w:firstLine="420" w:firstLineChars="200"/>
        <w:rPr>
          <w:rFonts w:ascii="宋体" w:hAnsi="宋体"/>
        </w:rPr>
      </w:pPr>
      <w:r>
        <w:rPr>
          <w:rFonts w:hint="eastAsia" w:ascii="宋体" w:hAnsi="宋体"/>
        </w:rPr>
        <w:t xml:space="preserve">JB5777 </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电力系统二次回路用控制及继电保护屏技术条件</w:t>
      </w:r>
    </w:p>
    <w:p>
      <w:pPr>
        <w:spacing w:line="360" w:lineRule="auto"/>
        <w:ind w:firstLine="420" w:firstLineChars="200"/>
        <w:rPr>
          <w:rFonts w:ascii="宋体" w:hAnsi="宋体"/>
        </w:rPr>
      </w:pPr>
      <w:r>
        <w:rPr>
          <w:rFonts w:hint="eastAsia" w:ascii="宋体" w:hAnsi="宋体"/>
        </w:rPr>
        <w:t xml:space="preserve">YD/T 2399  </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M2M应用通信协议技术要求</w:t>
      </w:r>
    </w:p>
    <w:p>
      <w:pPr>
        <w:spacing w:line="360" w:lineRule="auto"/>
        <w:ind w:firstLine="420" w:firstLineChars="200"/>
        <w:rPr>
          <w:rFonts w:ascii="宋体" w:hAnsi="宋体"/>
        </w:rPr>
      </w:pPr>
      <w:r>
        <w:rPr>
          <w:rFonts w:hint="eastAsia" w:ascii="宋体" w:hAnsi="宋体"/>
        </w:rPr>
        <w:t xml:space="preserve">YD/T 2437  </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物联网总体框架与技术要求</w:t>
      </w:r>
    </w:p>
    <w:p>
      <w:pPr>
        <w:spacing w:line="360" w:lineRule="auto"/>
        <w:ind w:firstLine="420" w:firstLineChars="200"/>
        <w:rPr>
          <w:rFonts w:ascii="宋体" w:hAnsi="宋体"/>
        </w:rPr>
      </w:pPr>
      <w:r>
        <w:rPr>
          <w:rFonts w:hint="eastAsia" w:ascii="宋体" w:hAnsi="宋体"/>
        </w:rPr>
        <w:t xml:space="preserve">YDB 062  </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泛在网术语</w:t>
      </w:r>
    </w:p>
    <w:p>
      <w:pPr>
        <w:spacing w:line="360" w:lineRule="auto"/>
        <w:ind w:firstLine="420" w:firstLineChars="200"/>
        <w:rPr>
          <w:rFonts w:hint="eastAsia" w:ascii="宋体" w:hAnsi="宋体"/>
        </w:rPr>
      </w:pPr>
      <w:r>
        <w:rPr>
          <w:rFonts w:hint="eastAsia" w:ascii="宋体" w:hAnsi="宋体"/>
        </w:rPr>
        <w:t xml:space="preserve">YDB 101  </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物联网安全需求</w:t>
      </w:r>
    </w:p>
    <w:p>
      <w:pPr>
        <w:spacing w:line="360" w:lineRule="auto"/>
        <w:ind w:firstLine="420" w:firstLineChars="200"/>
        <w:rPr>
          <w:rFonts w:ascii="宋体" w:hAnsi="宋体"/>
        </w:rPr>
      </w:pPr>
      <w:r>
        <w:rPr>
          <w:rFonts w:hint="eastAsia" w:ascii="宋体" w:hAnsi="宋体"/>
        </w:rPr>
        <w:t xml:space="preserve">Q/CSG10703 </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110kV及以下配电网装备技术导则</w:t>
      </w:r>
    </w:p>
    <w:p>
      <w:pPr>
        <w:spacing w:line="360" w:lineRule="auto"/>
        <w:ind w:firstLine="420" w:firstLineChars="200"/>
        <w:rPr>
          <w:rFonts w:hint="eastAsia"/>
        </w:rPr>
      </w:pPr>
      <w:r>
        <w:rPr>
          <w:rFonts w:hint="eastAsia" w:ascii="宋体" w:hAnsi="宋体"/>
        </w:rPr>
        <w:t xml:space="preserve">Q/CSG10012 </w:t>
      </w:r>
      <w:r>
        <w:rPr>
          <w:rFonts w:ascii="宋体" w:hAnsi="宋体"/>
        </w:rPr>
        <w:tab/>
      </w:r>
      <w:r>
        <w:rPr>
          <w:rFonts w:ascii="宋体" w:hAnsi="宋体"/>
        </w:rPr>
        <w:tab/>
      </w:r>
      <w:r>
        <w:rPr>
          <w:rFonts w:ascii="宋体" w:hAnsi="宋体"/>
        </w:rPr>
        <w:tab/>
      </w:r>
      <w:r>
        <w:rPr>
          <w:rFonts w:ascii="宋体" w:hAnsi="宋体"/>
        </w:rPr>
        <w:tab/>
      </w:r>
      <w:r>
        <w:rPr>
          <w:rFonts w:hint="eastAsia" w:ascii="宋体" w:hAnsi="宋体"/>
        </w:rPr>
        <w:t>中国南方电网城市配电网技术导则</w:t>
      </w:r>
    </w:p>
    <w:p>
      <w:pPr>
        <w:spacing w:line="360" w:lineRule="auto"/>
        <w:ind w:firstLine="420" w:firstLineChars="200"/>
        <w:rPr>
          <w:rFonts w:ascii="宋体" w:hAnsi="宋体"/>
        </w:rPr>
      </w:pPr>
      <w:r>
        <w:rPr>
          <w:rFonts w:hint="eastAsia" w:ascii="宋体" w:hAnsi="宋体"/>
        </w:rPr>
        <w:t xml:space="preserve">Q/CSG11109006 </w:t>
      </w:r>
      <w:r>
        <w:rPr>
          <w:rFonts w:ascii="宋体" w:hAnsi="宋体"/>
        </w:rPr>
        <w:tab/>
      </w:r>
      <w:r>
        <w:rPr>
          <w:rFonts w:ascii="宋体" w:hAnsi="宋体"/>
        </w:rPr>
        <w:tab/>
      </w:r>
      <w:r>
        <w:rPr>
          <w:rFonts w:ascii="宋体" w:hAnsi="宋体"/>
        </w:rPr>
        <w:tab/>
      </w:r>
      <w:r>
        <w:rPr>
          <w:rFonts w:hint="eastAsia" w:ascii="宋体" w:hAnsi="宋体"/>
        </w:rPr>
        <w:t>中国南方电网有限责任公司计量自动化终端外形结构规范</w:t>
      </w:r>
    </w:p>
    <w:p>
      <w:pPr>
        <w:spacing w:line="360" w:lineRule="auto"/>
        <w:ind w:firstLine="420" w:firstLineChars="200"/>
        <w:rPr>
          <w:rFonts w:hint="eastAsia" w:ascii="宋体" w:hAnsi="宋体" w:eastAsia="宋体" w:cs="宋体"/>
        </w:rPr>
      </w:pPr>
      <w:r>
        <w:rPr>
          <w:rFonts w:hint="eastAsia" w:ascii="宋体" w:hAnsi="宋体" w:eastAsia="宋体" w:cs="宋体"/>
        </w:rPr>
        <w:t xml:space="preserve">Q/CSG110025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南方电网110kV及以下变电站计算机监控系统技术规范</w:t>
      </w:r>
    </w:p>
    <w:p>
      <w:pPr>
        <w:spacing w:line="360" w:lineRule="auto"/>
        <w:ind w:left="2310" w:leftChars="200" w:hanging="1890" w:hangingChars="900"/>
        <w:jc w:val="left"/>
        <w:rPr>
          <w:rFonts w:hint="eastAsia" w:ascii="宋体" w:hAnsi="宋体" w:eastAsia="宋体" w:cs="宋体"/>
          <w:szCs w:val="21"/>
        </w:rPr>
      </w:pPr>
      <w:r>
        <w:rPr>
          <w:rFonts w:hint="eastAsia" w:ascii="宋体" w:hAnsi="宋体" w:eastAsia="宋体" w:cs="宋体"/>
          <w:szCs w:val="21"/>
        </w:rPr>
        <w:t>Q/CSG1210052</w:t>
      </w:r>
      <w:r>
        <w:rPr>
          <w:rFonts w:hint="eastAsia" w:ascii="宋体" w:hAnsi="宋体" w:eastAsia="宋体" w:cs="宋体"/>
          <w:szCs w:val="21"/>
        </w:rPr>
        <w:tab/>
      </w:r>
      <w:r>
        <w:rPr>
          <w:rFonts w:hint="eastAsia" w:ascii="宋体" w:hAnsi="宋体" w:eastAsia="宋体" w:cs="宋体"/>
          <w:szCs w:val="21"/>
        </w:rPr>
        <w:t xml:space="preserve">      全域物联网平台技术规范</w:t>
      </w:r>
    </w:p>
    <w:p>
      <w:pPr>
        <w:spacing w:line="360" w:lineRule="auto"/>
        <w:ind w:left="2310" w:leftChars="200" w:hanging="1890" w:hangingChars="900"/>
        <w:jc w:val="left"/>
        <w:rPr>
          <w:rFonts w:hint="eastAsia" w:ascii="宋体" w:hAnsi="宋体" w:eastAsia="宋体" w:cs="宋体"/>
          <w:szCs w:val="21"/>
        </w:rPr>
      </w:pPr>
      <w:r>
        <w:rPr>
          <w:rFonts w:hint="eastAsia" w:ascii="宋体" w:hAnsi="宋体" w:eastAsia="宋体" w:cs="宋体"/>
          <w:szCs w:val="21"/>
        </w:rPr>
        <w:t>Q/CSG1210050</w:t>
      </w:r>
      <w:r>
        <w:rPr>
          <w:rFonts w:hint="eastAsia" w:ascii="宋体" w:hAnsi="宋体" w:eastAsia="宋体" w:cs="宋体"/>
          <w:szCs w:val="21"/>
        </w:rPr>
        <w:tab/>
      </w:r>
      <w:r>
        <w:rPr>
          <w:rFonts w:hint="eastAsia" w:ascii="宋体" w:hAnsi="宋体" w:eastAsia="宋体" w:cs="宋体"/>
          <w:szCs w:val="21"/>
        </w:rPr>
        <w:t xml:space="preserve">      南方电网电力全域物联网平台接入技术规范</w:t>
      </w:r>
    </w:p>
    <w:p>
      <w:pPr>
        <w:spacing w:line="360" w:lineRule="auto"/>
        <w:ind w:firstLine="420" w:firstLineChars="200"/>
        <w:rPr>
          <w:rFonts w:hint="eastAsia" w:ascii="宋体" w:hAnsi="宋体" w:eastAsia="宋体" w:cs="宋体"/>
        </w:rPr>
      </w:pPr>
      <w:r>
        <w:rPr>
          <w:rFonts w:hint="eastAsia" w:ascii="宋体" w:hAnsi="宋体" w:eastAsia="宋体" w:cs="宋体"/>
        </w:rPr>
        <w:t>Q/CSG1204009</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中国南方电网电力监控系统安全防护技术规范</w:t>
      </w:r>
    </w:p>
    <w:p>
      <w:pPr>
        <w:pStyle w:val="2"/>
      </w:pPr>
    </w:p>
    <w:p>
      <w:pPr>
        <w:pStyle w:val="4"/>
        <w:numPr>
          <w:ilvl w:val="0"/>
          <w:numId w:val="1"/>
        </w:numPr>
        <w:tabs>
          <w:tab w:val="left" w:pos="425"/>
        </w:tabs>
        <w:spacing w:before="0" w:after="0" w:line="360" w:lineRule="auto"/>
        <w:rPr>
          <w:rFonts w:ascii="宋体" w:hAnsi="宋体"/>
          <w:sz w:val="21"/>
          <w:szCs w:val="21"/>
        </w:rPr>
      </w:pPr>
      <w:bookmarkStart w:id="29" w:name="_Toc402276224"/>
      <w:bookmarkEnd w:id="29"/>
      <w:bookmarkStart w:id="30" w:name="_Toc28538838"/>
      <w:bookmarkStart w:id="31" w:name="_Toc292025347"/>
      <w:bookmarkStart w:id="32" w:name="_Toc282993250"/>
      <w:bookmarkStart w:id="33" w:name="_Toc395186723"/>
      <w:r>
        <w:rPr>
          <w:rFonts w:ascii="宋体" w:hAnsi="宋体"/>
          <w:sz w:val="21"/>
          <w:szCs w:val="21"/>
        </w:rPr>
        <w:t>使用条件</w:t>
      </w:r>
      <w:bookmarkEnd w:id="30"/>
    </w:p>
    <w:p>
      <w:pPr>
        <w:spacing w:line="360" w:lineRule="auto"/>
        <w:ind w:firstLine="420" w:firstLineChars="200"/>
        <w:rPr>
          <w:rFonts w:ascii="宋体" w:hAnsi="宋体"/>
        </w:rPr>
      </w:pPr>
      <w:r>
        <w:rPr>
          <w:rFonts w:ascii="宋体" w:hAnsi="宋体"/>
        </w:rPr>
        <w:t>投标方提供的</w:t>
      </w:r>
      <w:r>
        <w:rPr>
          <w:rFonts w:hint="eastAsia" w:ascii="宋体" w:hAnsi="宋体"/>
          <w:spacing w:val="-4"/>
          <w:szCs w:val="21"/>
        </w:rPr>
        <w:t>视频处理单元</w:t>
      </w:r>
      <w:r>
        <w:rPr>
          <w:rFonts w:ascii="宋体" w:hAnsi="宋体"/>
        </w:rPr>
        <w:t>不仅应满足本技术规范要求，相关性能参数还应按实际安装地点的外部条件要求进行校验、核对，使所供设备满足实际外部条件要求及全工况运行要求。</w:t>
      </w:r>
    </w:p>
    <w:p>
      <w:pPr>
        <w:numPr>
          <w:ilvl w:val="1"/>
          <w:numId w:val="1"/>
        </w:numPr>
        <w:spacing w:line="360" w:lineRule="auto"/>
        <w:outlineLvl w:val="1"/>
        <w:rPr>
          <w:rFonts w:ascii="宋体" w:hAnsi="宋体"/>
        </w:rPr>
      </w:pPr>
      <w:bookmarkStart w:id="34" w:name="_Toc282993251"/>
      <w:bookmarkStart w:id="35" w:name="_Toc279695711"/>
      <w:bookmarkStart w:id="36" w:name="_Toc405368417"/>
      <w:bookmarkStart w:id="37" w:name="_Toc292025348"/>
      <w:bookmarkStart w:id="38" w:name="_Toc28538839"/>
      <w:r>
        <w:rPr>
          <w:rFonts w:ascii="宋体" w:hAnsi="宋体"/>
        </w:rPr>
        <w:t>正常使用条件</w:t>
      </w:r>
      <w:bookmarkEnd w:id="34"/>
      <w:bookmarkEnd w:id="35"/>
      <w:bookmarkEnd w:id="36"/>
      <w:bookmarkEnd w:id="37"/>
      <w:bookmarkEnd w:id="38"/>
    </w:p>
    <w:p>
      <w:pPr>
        <w:numPr>
          <w:ilvl w:val="2"/>
          <w:numId w:val="1"/>
        </w:numPr>
        <w:tabs>
          <w:tab w:val="left" w:pos="567"/>
        </w:tabs>
        <w:snapToGrid w:val="0"/>
        <w:spacing w:line="360" w:lineRule="auto"/>
        <w:rPr>
          <w:rFonts w:ascii="宋体" w:hAnsi="宋体"/>
        </w:rPr>
      </w:pPr>
      <w:r>
        <w:rPr>
          <w:rFonts w:ascii="宋体" w:hAnsi="宋体"/>
        </w:rPr>
        <w:t>周围空气温度</w:t>
      </w:r>
    </w:p>
    <w:p>
      <w:pPr>
        <w:numPr>
          <w:ilvl w:val="0"/>
          <w:numId w:val="2"/>
        </w:numPr>
        <w:snapToGrid w:val="0"/>
        <w:spacing w:line="360" w:lineRule="auto"/>
        <w:ind w:hanging="729"/>
        <w:rPr>
          <w:rFonts w:ascii="宋体" w:hAnsi="宋体"/>
          <w:snapToGrid w:val="0"/>
          <w:kern w:val="0"/>
        </w:rPr>
      </w:pPr>
      <w:r>
        <w:rPr>
          <w:rFonts w:ascii="宋体" w:hAnsi="宋体"/>
          <w:snapToGrid w:val="0"/>
          <w:kern w:val="0"/>
        </w:rPr>
        <w:t>最高温度：+50℃；</w:t>
      </w:r>
    </w:p>
    <w:p>
      <w:pPr>
        <w:numPr>
          <w:ilvl w:val="0"/>
          <w:numId w:val="2"/>
        </w:numPr>
        <w:snapToGrid w:val="0"/>
        <w:spacing w:line="360" w:lineRule="auto"/>
        <w:ind w:hanging="729"/>
        <w:rPr>
          <w:rFonts w:ascii="宋体" w:hAnsi="宋体"/>
          <w:snapToGrid w:val="0"/>
          <w:kern w:val="0"/>
        </w:rPr>
      </w:pPr>
      <w:r>
        <w:rPr>
          <w:rFonts w:ascii="宋体" w:hAnsi="宋体"/>
          <w:snapToGrid w:val="0"/>
          <w:kern w:val="0"/>
        </w:rPr>
        <w:t>最低温度：-</w:t>
      </w:r>
      <w:r>
        <w:rPr>
          <w:rFonts w:hint="eastAsia" w:ascii="宋体" w:hAnsi="宋体"/>
          <w:snapToGrid w:val="0"/>
          <w:kern w:val="0"/>
        </w:rPr>
        <w:t>10</w:t>
      </w:r>
      <w:r>
        <w:rPr>
          <w:rFonts w:ascii="宋体" w:hAnsi="宋体"/>
          <w:snapToGrid w:val="0"/>
          <w:kern w:val="0"/>
        </w:rPr>
        <w:t>℃；</w:t>
      </w:r>
    </w:p>
    <w:p>
      <w:pPr>
        <w:numPr>
          <w:ilvl w:val="0"/>
          <w:numId w:val="2"/>
        </w:numPr>
        <w:snapToGrid w:val="0"/>
        <w:spacing w:line="360" w:lineRule="auto"/>
        <w:ind w:hanging="729"/>
        <w:rPr>
          <w:rFonts w:ascii="宋体" w:hAnsi="宋体"/>
          <w:snapToGrid w:val="0"/>
          <w:kern w:val="0"/>
        </w:rPr>
      </w:pPr>
      <w:r>
        <w:rPr>
          <w:rFonts w:ascii="宋体" w:hAnsi="宋体"/>
          <w:snapToGrid w:val="0"/>
          <w:kern w:val="0"/>
        </w:rPr>
        <w:t>最大日温差：25℃；</w:t>
      </w:r>
    </w:p>
    <w:p>
      <w:pPr>
        <w:numPr>
          <w:ilvl w:val="0"/>
          <w:numId w:val="2"/>
        </w:numPr>
        <w:snapToGrid w:val="0"/>
        <w:spacing w:line="360" w:lineRule="auto"/>
        <w:ind w:hanging="729"/>
        <w:rPr>
          <w:rFonts w:ascii="宋体" w:hAnsi="宋体"/>
          <w:snapToGrid w:val="0"/>
          <w:kern w:val="0"/>
        </w:rPr>
      </w:pPr>
      <w:r>
        <w:rPr>
          <w:rFonts w:ascii="宋体" w:hAnsi="宋体"/>
          <w:snapToGrid w:val="0"/>
          <w:kern w:val="0"/>
        </w:rPr>
        <w:t>环境温度最大变化率：1℃/min。</w:t>
      </w:r>
    </w:p>
    <w:p>
      <w:pPr>
        <w:numPr>
          <w:ilvl w:val="2"/>
          <w:numId w:val="1"/>
        </w:numPr>
        <w:tabs>
          <w:tab w:val="left" w:pos="567"/>
        </w:tabs>
        <w:snapToGrid w:val="0"/>
        <w:spacing w:line="360" w:lineRule="auto"/>
        <w:rPr>
          <w:rFonts w:ascii="宋体" w:hAnsi="宋体"/>
        </w:rPr>
      </w:pPr>
      <w:r>
        <w:rPr>
          <w:rFonts w:ascii="宋体" w:hAnsi="宋体"/>
        </w:rPr>
        <w:t>环境湿度</w:t>
      </w:r>
    </w:p>
    <w:p>
      <w:pPr>
        <w:numPr>
          <w:ilvl w:val="0"/>
          <w:numId w:val="3"/>
        </w:numPr>
        <w:snapToGrid w:val="0"/>
        <w:spacing w:line="360" w:lineRule="auto"/>
        <w:ind w:hanging="729"/>
        <w:rPr>
          <w:rFonts w:ascii="宋体" w:hAnsi="宋体"/>
          <w:snapToGrid w:val="0"/>
          <w:kern w:val="0"/>
        </w:rPr>
      </w:pPr>
      <w:r>
        <w:rPr>
          <w:rFonts w:ascii="宋体" w:hAnsi="宋体"/>
          <w:snapToGrid w:val="0"/>
          <w:kern w:val="0"/>
        </w:rPr>
        <w:t>日平均值不超过：95%；</w:t>
      </w:r>
    </w:p>
    <w:p>
      <w:pPr>
        <w:numPr>
          <w:ilvl w:val="0"/>
          <w:numId w:val="3"/>
        </w:numPr>
        <w:snapToGrid w:val="0"/>
        <w:spacing w:line="360" w:lineRule="auto"/>
        <w:ind w:hanging="729"/>
        <w:rPr>
          <w:rFonts w:ascii="宋体" w:hAnsi="宋体"/>
          <w:snapToGrid w:val="0"/>
          <w:kern w:val="0"/>
        </w:rPr>
      </w:pPr>
      <w:r>
        <w:rPr>
          <w:rFonts w:ascii="宋体" w:hAnsi="宋体"/>
          <w:snapToGrid w:val="0"/>
          <w:kern w:val="0"/>
        </w:rPr>
        <w:t>月平均值不超过：90%。</w:t>
      </w:r>
    </w:p>
    <w:p>
      <w:pPr>
        <w:numPr>
          <w:ilvl w:val="2"/>
          <w:numId w:val="1"/>
        </w:numPr>
        <w:tabs>
          <w:tab w:val="left" w:pos="567"/>
        </w:tabs>
        <w:snapToGrid w:val="0"/>
        <w:spacing w:line="360" w:lineRule="auto"/>
        <w:rPr>
          <w:rFonts w:ascii="宋体" w:hAnsi="宋体"/>
        </w:rPr>
      </w:pPr>
      <w:r>
        <w:rPr>
          <w:rFonts w:ascii="宋体" w:hAnsi="宋体"/>
        </w:rPr>
        <w:t>耐受地震能力</w:t>
      </w:r>
    </w:p>
    <w:p>
      <w:pPr>
        <w:pStyle w:val="15"/>
        <w:snapToGrid w:val="0"/>
        <w:spacing w:line="360" w:lineRule="auto"/>
        <w:rPr>
          <w:rFonts w:ascii="宋体" w:hAnsi="宋体" w:eastAsia="宋体"/>
        </w:rPr>
      </w:pPr>
      <w:r>
        <w:rPr>
          <w:rFonts w:ascii="宋体" w:hAnsi="宋体" w:eastAsia="宋体"/>
        </w:rPr>
        <w:t>规定为8度，应满足表4.1的规定。</w:t>
      </w:r>
    </w:p>
    <w:p>
      <w:pPr>
        <w:spacing w:line="360" w:lineRule="auto"/>
        <w:jc w:val="center"/>
        <w:rPr>
          <w:rFonts w:ascii="宋体" w:hAnsi="宋体"/>
          <w:snapToGrid w:val="0"/>
          <w:kern w:val="0"/>
          <w:szCs w:val="21"/>
        </w:rPr>
      </w:pPr>
      <w:r>
        <w:rPr>
          <w:rFonts w:ascii="宋体" w:hAnsi="宋体"/>
          <w:snapToGrid w:val="0"/>
          <w:kern w:val="0"/>
          <w:szCs w:val="21"/>
        </w:rPr>
        <w:t>表4.1 耐受地震烈度试验</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361"/>
        <w:gridCol w:w="1568"/>
        <w:gridCol w:w="13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361" w:type="dxa"/>
            <w:vMerge w:val="restart"/>
            <w:vAlign w:val="center"/>
          </w:tcPr>
          <w:p>
            <w:pPr>
              <w:pStyle w:val="13"/>
              <w:rPr>
                <w:snapToGrid w:val="0"/>
              </w:rPr>
            </w:pPr>
            <w:r>
              <w:rPr>
                <w:snapToGrid w:val="0"/>
              </w:rPr>
              <w:t>考核波形</w:t>
            </w:r>
          </w:p>
        </w:tc>
        <w:tc>
          <w:tcPr>
            <w:tcW w:w="2925" w:type="dxa"/>
            <w:gridSpan w:val="2"/>
            <w:vAlign w:val="center"/>
          </w:tcPr>
          <w:p>
            <w:pPr>
              <w:pStyle w:val="13"/>
              <w:rPr>
                <w:snapToGrid w:val="0"/>
              </w:rPr>
            </w:pPr>
            <w:r>
              <w:rPr>
                <w:snapToGrid w:val="0"/>
              </w:rPr>
              <w:t>设防烈度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361" w:type="dxa"/>
            <w:vMerge w:val="continue"/>
            <w:vAlign w:val="center"/>
          </w:tcPr>
          <w:p>
            <w:pPr>
              <w:pStyle w:val="13"/>
              <w:rPr>
                <w:snapToGrid w:val="0"/>
              </w:rPr>
            </w:pPr>
          </w:p>
        </w:tc>
        <w:tc>
          <w:tcPr>
            <w:tcW w:w="1568" w:type="dxa"/>
            <w:vAlign w:val="center"/>
          </w:tcPr>
          <w:p>
            <w:pPr>
              <w:pStyle w:val="13"/>
              <w:rPr>
                <w:snapToGrid w:val="0"/>
              </w:rPr>
            </w:pPr>
            <w:r>
              <w:rPr>
                <w:snapToGrid w:val="0"/>
              </w:rPr>
              <w:t>8度</w:t>
            </w:r>
          </w:p>
        </w:tc>
        <w:tc>
          <w:tcPr>
            <w:tcW w:w="1357" w:type="dxa"/>
            <w:vAlign w:val="center"/>
          </w:tcPr>
          <w:p>
            <w:pPr>
              <w:pStyle w:val="13"/>
              <w:rPr>
                <w:snapToGrid w:val="0"/>
              </w:rPr>
            </w:pPr>
            <w:r>
              <w:rPr>
                <w:snapToGrid w:val="0"/>
              </w:rPr>
              <w:t>9度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361" w:type="dxa"/>
            <w:vAlign w:val="center"/>
          </w:tcPr>
          <w:p>
            <w:pPr>
              <w:pStyle w:val="13"/>
              <w:rPr>
                <w:snapToGrid w:val="0"/>
              </w:rPr>
            </w:pPr>
            <w:r>
              <w:rPr>
                <w:snapToGrid w:val="0"/>
              </w:rPr>
              <w:t>人工合成地震波或实震记录</w:t>
            </w:r>
          </w:p>
        </w:tc>
        <w:tc>
          <w:tcPr>
            <w:tcW w:w="1568" w:type="dxa"/>
            <w:vAlign w:val="center"/>
          </w:tcPr>
          <w:p>
            <w:pPr>
              <w:pStyle w:val="13"/>
              <w:rPr>
                <w:snapToGrid w:val="0"/>
              </w:rPr>
            </w:pPr>
            <w:r>
              <w:rPr>
                <w:snapToGrid w:val="0"/>
              </w:rPr>
              <w:t>0.25g</w:t>
            </w:r>
          </w:p>
        </w:tc>
        <w:tc>
          <w:tcPr>
            <w:tcW w:w="1357" w:type="dxa"/>
            <w:vAlign w:val="center"/>
          </w:tcPr>
          <w:p>
            <w:pPr>
              <w:pStyle w:val="13"/>
              <w:rPr>
                <w:snapToGrid w:val="0"/>
              </w:rPr>
            </w:pPr>
            <w:r>
              <w:rPr>
                <w:snapToGrid w:val="0"/>
              </w:rPr>
              <w:t>0.5g</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361" w:type="dxa"/>
            <w:vAlign w:val="center"/>
          </w:tcPr>
          <w:p>
            <w:pPr>
              <w:pStyle w:val="13"/>
              <w:rPr>
                <w:snapToGrid w:val="0"/>
              </w:rPr>
            </w:pPr>
            <w:r>
              <w:rPr>
                <w:snapToGrid w:val="0"/>
              </w:rPr>
              <w:t>正弦共振拍波</w:t>
            </w:r>
          </w:p>
        </w:tc>
        <w:tc>
          <w:tcPr>
            <w:tcW w:w="1568" w:type="dxa"/>
            <w:vAlign w:val="center"/>
          </w:tcPr>
          <w:p>
            <w:pPr>
              <w:pStyle w:val="13"/>
              <w:rPr>
                <w:snapToGrid w:val="0"/>
              </w:rPr>
            </w:pPr>
            <w:r>
              <w:rPr>
                <w:snapToGrid w:val="0"/>
              </w:rPr>
              <w:t>0.15g</w:t>
            </w:r>
          </w:p>
        </w:tc>
        <w:tc>
          <w:tcPr>
            <w:tcW w:w="1357" w:type="dxa"/>
            <w:vAlign w:val="center"/>
          </w:tcPr>
          <w:p>
            <w:pPr>
              <w:pStyle w:val="13"/>
              <w:rPr>
                <w:snapToGrid w:val="0"/>
              </w:rPr>
            </w:pPr>
            <w:r>
              <w:rPr>
                <w:snapToGrid w:val="0"/>
              </w:rPr>
              <w:t>0.3g</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86" w:type="dxa"/>
            <w:gridSpan w:val="3"/>
          </w:tcPr>
          <w:p>
            <w:pPr>
              <w:pStyle w:val="13"/>
              <w:rPr>
                <w:snapToGrid w:val="0"/>
              </w:rPr>
            </w:pPr>
            <w:r>
              <w:rPr>
                <w:snapToGrid w:val="0"/>
              </w:rPr>
              <w:t>注：g为地心引力加速度，g=9.8m/s</w:t>
            </w:r>
            <w:r>
              <w:rPr>
                <w:snapToGrid w:val="0"/>
                <w:vertAlign w:val="superscript"/>
              </w:rPr>
              <w:t>2</w:t>
            </w:r>
          </w:p>
        </w:tc>
      </w:tr>
    </w:tbl>
    <w:p>
      <w:pPr>
        <w:spacing w:line="360" w:lineRule="auto"/>
        <w:ind w:firstLine="420" w:firstLineChars="200"/>
        <w:rPr>
          <w:rFonts w:ascii="宋体" w:hAnsi="宋体"/>
          <w:snapToGrid w:val="0"/>
          <w:kern w:val="0"/>
        </w:rPr>
      </w:pPr>
      <w:r>
        <w:rPr>
          <w:rFonts w:ascii="宋体" w:hAnsi="宋体"/>
          <w:snapToGrid w:val="0"/>
          <w:kern w:val="0"/>
        </w:rPr>
        <w:t>试验方法按GB/T 13540进行。</w:t>
      </w:r>
    </w:p>
    <w:p>
      <w:pPr>
        <w:numPr>
          <w:ilvl w:val="2"/>
          <w:numId w:val="1"/>
        </w:numPr>
        <w:tabs>
          <w:tab w:val="left" w:pos="567"/>
        </w:tabs>
        <w:snapToGrid w:val="0"/>
        <w:spacing w:line="360" w:lineRule="auto"/>
        <w:rPr>
          <w:rFonts w:ascii="宋体" w:hAnsi="宋体"/>
        </w:rPr>
      </w:pPr>
      <w:r>
        <w:rPr>
          <w:rFonts w:ascii="宋体" w:hAnsi="宋体"/>
        </w:rPr>
        <w:t>污秽等级</w:t>
      </w:r>
    </w:p>
    <w:p>
      <w:pPr>
        <w:pStyle w:val="15"/>
        <w:snapToGrid w:val="0"/>
        <w:spacing w:line="360" w:lineRule="auto"/>
        <w:rPr>
          <w:rFonts w:ascii="宋体" w:hAnsi="宋体" w:eastAsia="宋体"/>
        </w:rPr>
      </w:pPr>
      <w:r>
        <w:rPr>
          <w:rFonts w:ascii="宋体" w:hAnsi="宋体" w:eastAsia="宋体"/>
        </w:rPr>
        <w:t>不低于d级，绝缘爬电比距31mm/kV。</w:t>
      </w:r>
    </w:p>
    <w:p>
      <w:pPr>
        <w:numPr>
          <w:ilvl w:val="2"/>
          <w:numId w:val="1"/>
        </w:numPr>
        <w:tabs>
          <w:tab w:val="left" w:pos="567"/>
        </w:tabs>
        <w:snapToGrid w:val="0"/>
        <w:spacing w:line="360" w:lineRule="auto"/>
        <w:rPr>
          <w:rFonts w:ascii="宋体" w:hAnsi="宋体"/>
        </w:rPr>
      </w:pPr>
      <w:r>
        <w:rPr>
          <w:rFonts w:ascii="宋体" w:hAnsi="宋体"/>
        </w:rPr>
        <w:t>盐害</w:t>
      </w:r>
    </w:p>
    <w:p>
      <w:pPr>
        <w:pStyle w:val="15"/>
        <w:snapToGrid w:val="0"/>
        <w:spacing w:line="360" w:lineRule="auto"/>
        <w:rPr>
          <w:rFonts w:ascii="宋体" w:hAnsi="宋体" w:eastAsia="宋体"/>
        </w:rPr>
      </w:pPr>
      <w:r>
        <w:rPr>
          <w:rFonts w:ascii="宋体" w:hAnsi="宋体" w:eastAsia="宋体"/>
        </w:rPr>
        <w:t>0.30mg/cm</w:t>
      </w:r>
      <w:r>
        <w:rPr>
          <w:rFonts w:ascii="宋体" w:hAnsi="宋体" w:eastAsia="宋体"/>
          <w:vertAlign w:val="superscript"/>
        </w:rPr>
        <w:t>2</w:t>
      </w:r>
      <w:r>
        <w:rPr>
          <w:rFonts w:ascii="宋体" w:hAnsi="宋体" w:eastAsia="宋体"/>
        </w:rPr>
        <w:t xml:space="preserve"> 强电解质。</w:t>
      </w:r>
    </w:p>
    <w:p>
      <w:pPr>
        <w:numPr>
          <w:ilvl w:val="2"/>
          <w:numId w:val="1"/>
        </w:numPr>
        <w:tabs>
          <w:tab w:val="left" w:pos="567"/>
        </w:tabs>
        <w:snapToGrid w:val="0"/>
        <w:spacing w:line="360" w:lineRule="auto"/>
        <w:rPr>
          <w:rFonts w:ascii="宋体" w:hAnsi="宋体"/>
        </w:rPr>
      </w:pPr>
      <w:r>
        <w:rPr>
          <w:rFonts w:ascii="宋体" w:hAnsi="宋体"/>
        </w:rPr>
        <w:t>安装地点</w:t>
      </w:r>
    </w:p>
    <w:p>
      <w:pPr>
        <w:pStyle w:val="15"/>
        <w:snapToGrid w:val="0"/>
        <w:spacing w:line="360" w:lineRule="auto"/>
        <w:rPr>
          <w:rFonts w:ascii="宋体" w:hAnsi="宋体" w:eastAsia="宋体"/>
        </w:rPr>
      </w:pPr>
      <w:r>
        <w:rPr>
          <w:rFonts w:ascii="宋体" w:hAnsi="宋体" w:eastAsia="宋体"/>
        </w:rPr>
        <w:t>户内。</w:t>
      </w:r>
    </w:p>
    <w:p>
      <w:pPr>
        <w:numPr>
          <w:ilvl w:val="1"/>
          <w:numId w:val="1"/>
        </w:numPr>
        <w:spacing w:line="360" w:lineRule="auto"/>
        <w:outlineLvl w:val="1"/>
        <w:rPr>
          <w:rFonts w:ascii="宋体" w:hAnsi="宋体"/>
        </w:rPr>
      </w:pPr>
      <w:bookmarkStart w:id="39" w:name="_Toc283373625"/>
      <w:bookmarkStart w:id="40" w:name="_Toc28538840"/>
      <w:bookmarkStart w:id="41" w:name="_Toc292025349"/>
      <w:bookmarkStart w:id="42" w:name="_Toc405368418"/>
      <w:bookmarkStart w:id="43" w:name="_Toc279834272"/>
      <w:r>
        <w:rPr>
          <w:rFonts w:ascii="宋体" w:hAnsi="宋体"/>
        </w:rPr>
        <w:t>特殊使用条件</w:t>
      </w:r>
      <w:bookmarkEnd w:id="39"/>
      <w:bookmarkEnd w:id="40"/>
      <w:bookmarkEnd w:id="41"/>
      <w:bookmarkEnd w:id="42"/>
      <w:bookmarkEnd w:id="43"/>
    </w:p>
    <w:p>
      <w:pPr>
        <w:pStyle w:val="15"/>
        <w:snapToGrid w:val="0"/>
        <w:spacing w:line="360" w:lineRule="auto"/>
        <w:ind w:firstLine="404"/>
        <w:rPr>
          <w:rFonts w:ascii="宋体" w:hAnsi="宋体" w:eastAsia="宋体"/>
        </w:rPr>
      </w:pPr>
      <w:r>
        <w:rPr>
          <w:rFonts w:hint="eastAsia" w:ascii="宋体" w:hAnsi="宋体" w:eastAsia="宋体"/>
          <w:spacing w:val="-4"/>
          <w:szCs w:val="21"/>
        </w:rPr>
        <w:t>视频处理单元</w:t>
      </w:r>
      <w:r>
        <w:rPr>
          <w:rFonts w:ascii="宋体" w:hAnsi="宋体" w:eastAsia="宋体"/>
        </w:rPr>
        <w:t>可以在不同于4.1中规定的正常使用条件下使用，这时用户的要求应当在下述特殊使用条件的规定选取。</w:t>
      </w:r>
    </w:p>
    <w:p>
      <w:pPr>
        <w:numPr>
          <w:ilvl w:val="2"/>
          <w:numId w:val="1"/>
        </w:numPr>
        <w:tabs>
          <w:tab w:val="left" w:pos="567"/>
        </w:tabs>
        <w:snapToGrid w:val="0"/>
        <w:spacing w:line="360" w:lineRule="auto"/>
        <w:rPr>
          <w:rFonts w:ascii="宋体" w:hAnsi="宋体"/>
        </w:rPr>
      </w:pPr>
      <w:r>
        <w:rPr>
          <w:rFonts w:ascii="宋体" w:hAnsi="宋体"/>
        </w:rPr>
        <w:t>周围空气温度</w:t>
      </w:r>
    </w:p>
    <w:p>
      <w:pPr>
        <w:pStyle w:val="15"/>
        <w:snapToGrid w:val="0"/>
        <w:spacing w:line="360" w:lineRule="auto"/>
        <w:rPr>
          <w:rFonts w:ascii="宋体" w:hAnsi="宋体" w:eastAsia="宋体"/>
        </w:rPr>
      </w:pPr>
      <w:r>
        <w:rPr>
          <w:rFonts w:ascii="宋体" w:hAnsi="宋体" w:eastAsia="宋体"/>
        </w:rPr>
        <w:t>对于周围环境空气温度高于40℃处的设备，其外绝缘在干燥状态下的试验电压应取本标准的额定耐受电压值乘以温度校正因数Kt：</w:t>
      </w:r>
    </w:p>
    <w:p>
      <w:pPr>
        <w:snapToGrid w:val="0"/>
        <w:spacing w:line="360" w:lineRule="auto"/>
        <w:ind w:firstLine="3675" w:firstLineChars="1750"/>
        <w:rPr>
          <w:rFonts w:ascii="宋体" w:hAnsi="宋体"/>
        </w:rPr>
      </w:pPr>
      <w:r>
        <w:rPr>
          <w:rFonts w:ascii="宋体" w:hAnsi="宋体"/>
        </w:rPr>
        <w:object>
          <v:shape id="_x0000_i1025" o:spt="75" type="#_x0000_t75" style="height:18pt;width:117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p>
      <w:pPr>
        <w:pStyle w:val="15"/>
        <w:snapToGrid w:val="0"/>
        <w:spacing w:line="360" w:lineRule="auto"/>
        <w:rPr>
          <w:rFonts w:ascii="宋体" w:hAnsi="宋体" w:eastAsia="宋体"/>
        </w:rPr>
      </w:pPr>
      <w:r>
        <w:rPr>
          <w:rFonts w:ascii="宋体" w:hAnsi="宋体" w:eastAsia="宋体"/>
        </w:rPr>
        <w:t>式中：T ——环境空气温度，℃。</w:t>
      </w:r>
    </w:p>
    <w:p>
      <w:pPr>
        <w:numPr>
          <w:ilvl w:val="2"/>
          <w:numId w:val="1"/>
        </w:numPr>
        <w:tabs>
          <w:tab w:val="left" w:pos="567"/>
        </w:tabs>
        <w:snapToGrid w:val="0"/>
        <w:spacing w:line="360" w:lineRule="auto"/>
        <w:rPr>
          <w:rFonts w:ascii="宋体" w:hAnsi="宋体"/>
        </w:rPr>
      </w:pPr>
      <w:r>
        <w:rPr>
          <w:rFonts w:ascii="宋体" w:hAnsi="宋体"/>
        </w:rPr>
        <w:t>地震烈度</w:t>
      </w:r>
    </w:p>
    <w:p>
      <w:pPr>
        <w:pStyle w:val="15"/>
        <w:snapToGrid w:val="0"/>
        <w:spacing w:line="360" w:lineRule="auto"/>
        <w:rPr>
          <w:rFonts w:ascii="宋体" w:hAnsi="宋体" w:eastAsia="宋体"/>
        </w:rPr>
      </w:pPr>
      <w:r>
        <w:rPr>
          <w:rFonts w:ascii="宋体" w:hAnsi="宋体" w:eastAsia="宋体"/>
        </w:rPr>
        <w:t>规定为9度，应满足表4.1的规定。</w:t>
      </w:r>
    </w:p>
    <w:bookmarkEnd w:id="31"/>
    <w:bookmarkEnd w:id="32"/>
    <w:bookmarkEnd w:id="33"/>
    <w:p>
      <w:pPr>
        <w:pStyle w:val="4"/>
        <w:numPr>
          <w:ilvl w:val="0"/>
          <w:numId w:val="1"/>
        </w:numPr>
        <w:tabs>
          <w:tab w:val="left" w:pos="425"/>
        </w:tabs>
        <w:spacing w:before="0" w:after="0" w:line="360" w:lineRule="auto"/>
        <w:rPr>
          <w:rFonts w:ascii="宋体" w:hAnsi="宋体"/>
          <w:sz w:val="21"/>
          <w:szCs w:val="21"/>
        </w:rPr>
      </w:pPr>
      <w:bookmarkStart w:id="44" w:name="_Toc28538841"/>
      <w:r>
        <w:rPr>
          <w:rFonts w:ascii="宋体" w:hAnsi="宋体"/>
          <w:sz w:val="21"/>
          <w:szCs w:val="21"/>
        </w:rPr>
        <w:t>技术要求</w:t>
      </w:r>
      <w:bookmarkEnd w:id="44"/>
    </w:p>
    <w:p>
      <w:pPr>
        <w:ind w:firstLine="404" w:firstLineChars="200"/>
      </w:pPr>
      <w:r>
        <w:rPr>
          <w:rFonts w:hint="eastAsia" w:ascii="宋体" w:hAnsi="宋体"/>
          <w:spacing w:val="-4"/>
          <w:szCs w:val="21"/>
        </w:rPr>
        <w:t>视频处理单元</w:t>
      </w:r>
      <w:r>
        <w:rPr>
          <w:rFonts w:hint="eastAsia"/>
        </w:rPr>
        <w:t>主要应用于视频本地存储应用</w:t>
      </w:r>
      <w:r>
        <w:rPr>
          <w:rFonts w:hint="eastAsia"/>
          <w:lang w:val="en-US" w:eastAsia="zh-CN"/>
        </w:rPr>
        <w:t>以及云边协同的AI算法应用</w:t>
      </w:r>
      <w:r>
        <w:rPr>
          <w:rFonts w:hint="eastAsia"/>
        </w:rPr>
        <w:t>。因应用场景不同，</w:t>
      </w:r>
      <w:r>
        <w:rPr>
          <w:rFonts w:hint="eastAsia" w:ascii="宋体" w:hAnsi="宋体"/>
          <w:spacing w:val="-4"/>
          <w:szCs w:val="21"/>
        </w:rPr>
        <w:t>视频处理单元</w:t>
      </w:r>
      <w:r>
        <w:rPr>
          <w:rFonts w:hint="eastAsia"/>
        </w:rPr>
        <w:t>分两种类型，一种存储容量为8T，另外一种存储容量为16T，因此有A\B两产品型号。具体差异见下表：</w:t>
      </w:r>
    </w:p>
    <w:tbl>
      <w:tblPr>
        <w:tblStyle w:val="10"/>
        <w:tblW w:w="4642" w:type="pct"/>
        <w:jc w:val="center"/>
        <w:tblLayout w:type="autofit"/>
        <w:tblCellMar>
          <w:top w:w="0" w:type="dxa"/>
          <w:left w:w="108" w:type="dxa"/>
          <w:bottom w:w="0" w:type="dxa"/>
          <w:right w:w="108" w:type="dxa"/>
        </w:tblCellMar>
      </w:tblPr>
      <w:tblGrid>
        <w:gridCol w:w="1501"/>
        <w:gridCol w:w="1841"/>
        <w:gridCol w:w="1624"/>
        <w:gridCol w:w="2946"/>
      </w:tblGrid>
      <w:tr>
        <w:tblPrEx>
          <w:tblCellMar>
            <w:top w:w="0" w:type="dxa"/>
            <w:left w:w="108" w:type="dxa"/>
            <w:bottom w:w="0" w:type="dxa"/>
            <w:right w:w="108" w:type="dxa"/>
          </w:tblCellMar>
        </w:tblPrEx>
        <w:trPr>
          <w:trHeight w:val="300" w:hRule="atLeast"/>
          <w:jc w:val="center"/>
        </w:trPr>
        <w:tc>
          <w:tcPr>
            <w:tcW w:w="1135"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产品名称</w:t>
            </w:r>
          </w:p>
        </w:tc>
        <w:tc>
          <w:tcPr>
            <w:tcW w:w="135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类型</w:t>
            </w:r>
          </w:p>
        </w:tc>
        <w:tc>
          <w:tcPr>
            <w:tcW w:w="1213"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存储容量</w:t>
            </w:r>
          </w:p>
        </w:tc>
        <w:tc>
          <w:tcPr>
            <w:tcW w:w="130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应用场景</w:t>
            </w:r>
          </w:p>
        </w:tc>
      </w:tr>
      <w:tr>
        <w:tblPrEx>
          <w:tblCellMar>
            <w:top w:w="0" w:type="dxa"/>
            <w:left w:w="108" w:type="dxa"/>
            <w:bottom w:w="0" w:type="dxa"/>
            <w:right w:w="108" w:type="dxa"/>
          </w:tblCellMar>
        </w:tblPrEx>
        <w:trPr>
          <w:trHeight w:val="300" w:hRule="atLeast"/>
          <w:jc w:val="center"/>
        </w:trPr>
        <w:tc>
          <w:tcPr>
            <w:tcW w:w="1135" w:type="pct"/>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视频处理单元</w:t>
            </w:r>
          </w:p>
        </w:tc>
        <w:tc>
          <w:tcPr>
            <w:tcW w:w="135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A型</w:t>
            </w:r>
          </w:p>
        </w:tc>
        <w:tc>
          <w:tcPr>
            <w:tcW w:w="1213"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8T</w:t>
            </w:r>
          </w:p>
        </w:tc>
        <w:tc>
          <w:tcPr>
            <w:tcW w:w="130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摄像头数量不大于8个的点位</w:t>
            </w:r>
          </w:p>
        </w:tc>
      </w:tr>
      <w:tr>
        <w:tblPrEx>
          <w:tblCellMar>
            <w:top w:w="0" w:type="dxa"/>
            <w:left w:w="108" w:type="dxa"/>
            <w:bottom w:w="0" w:type="dxa"/>
            <w:right w:w="108" w:type="dxa"/>
          </w:tblCellMar>
        </w:tblPrEx>
        <w:trPr>
          <w:trHeight w:val="300" w:hRule="atLeast"/>
          <w:jc w:val="center"/>
        </w:trPr>
        <w:tc>
          <w:tcPr>
            <w:tcW w:w="1135" w:type="pct"/>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Cs w:val="21"/>
              </w:rPr>
            </w:pPr>
          </w:p>
        </w:tc>
        <w:tc>
          <w:tcPr>
            <w:tcW w:w="135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B型</w:t>
            </w:r>
          </w:p>
        </w:tc>
        <w:tc>
          <w:tcPr>
            <w:tcW w:w="1213"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16T</w:t>
            </w:r>
          </w:p>
        </w:tc>
        <w:tc>
          <w:tcPr>
            <w:tcW w:w="130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Cs w:val="21"/>
              </w:rPr>
            </w:pPr>
            <w:r>
              <w:rPr>
                <w:rFonts w:hint="eastAsia" w:ascii="宋体" w:hAnsi="宋体" w:cs="宋体"/>
                <w:color w:val="000000"/>
                <w:szCs w:val="21"/>
              </w:rPr>
              <w:t>摄像头数量大于8个的点位</w:t>
            </w:r>
          </w:p>
        </w:tc>
      </w:tr>
    </w:tbl>
    <w:p/>
    <w:p>
      <w:pPr>
        <w:numPr>
          <w:ilvl w:val="1"/>
          <w:numId w:val="1"/>
        </w:numPr>
        <w:spacing w:line="360" w:lineRule="auto"/>
        <w:outlineLvl w:val="1"/>
      </w:pPr>
      <w:bookmarkStart w:id="45" w:name="_Toc28536605"/>
      <w:r>
        <w:t>技术参数</w:t>
      </w:r>
      <w:bookmarkEnd w:id="45"/>
    </w:p>
    <w:p>
      <w:pPr>
        <w:jc w:val="center"/>
      </w:pPr>
      <w:r>
        <w:t>表1 核心参数</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5"/>
        <w:gridCol w:w="6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175" w:type="dxa"/>
          </w:tcPr>
          <w:p>
            <w:r>
              <w:rPr>
                <w:rFonts w:hint="eastAsia" w:ascii="宋体" w:hAnsi="宋体"/>
                <w:szCs w:val="21"/>
              </w:rPr>
              <w:t>网络视频接入</w:t>
            </w:r>
          </w:p>
        </w:tc>
        <w:tc>
          <w:tcPr>
            <w:tcW w:w="6347" w:type="dxa"/>
          </w:tcPr>
          <w:p>
            <w:r>
              <w:rPr>
                <w:rFonts w:hint="eastAsia" w:ascii="宋体" w:hAnsi="宋体"/>
                <w:szCs w:val="21"/>
              </w:rPr>
              <w:t>32路网络视频接入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2175" w:type="dxa"/>
          </w:tcPr>
          <w:p>
            <w:r>
              <w:rPr>
                <w:rFonts w:hint="eastAsia" w:ascii="宋体" w:hAnsi="宋体"/>
                <w:szCs w:val="21"/>
              </w:rPr>
              <w:t>网络视频输入带宽</w:t>
            </w:r>
          </w:p>
        </w:tc>
        <w:tc>
          <w:tcPr>
            <w:tcW w:w="6347" w:type="dxa"/>
          </w:tcPr>
          <w:p>
            <w:r>
              <w:rPr>
                <w:rFonts w:hint="eastAsia" w:ascii="宋体" w:hAnsi="宋体"/>
                <w:szCs w:val="21"/>
              </w:rPr>
              <w:t>160Mbps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175" w:type="dxa"/>
          </w:tcPr>
          <w:p>
            <w:r>
              <w:rPr>
                <w:rFonts w:hint="eastAsia"/>
              </w:rPr>
              <w:t>硬盘接口</w:t>
            </w:r>
          </w:p>
        </w:tc>
        <w:tc>
          <w:tcPr>
            <w:tcW w:w="6347" w:type="dxa"/>
          </w:tcPr>
          <w:p>
            <w:r>
              <w:rPr>
                <w:rFonts w:hint="eastAsia" w:ascii="宋体"/>
              </w:rPr>
              <w:t>2</w:t>
            </w:r>
            <w:r>
              <w:rPr>
                <w:rFonts w:ascii="宋体"/>
              </w:rPr>
              <w:t>个SATA接口</w:t>
            </w:r>
          </w:p>
        </w:tc>
      </w:tr>
    </w:tbl>
    <w:p>
      <w:pPr>
        <w:ind w:firstLine="420"/>
      </w:pPr>
    </w:p>
    <w:p>
      <w:pPr>
        <w:spacing w:line="360" w:lineRule="auto"/>
        <w:ind w:firstLine="420"/>
        <w:rPr>
          <w:rFonts w:hint="eastAsia" w:ascii="宋体"/>
        </w:rPr>
      </w:pPr>
      <w:r>
        <w:rPr>
          <w:rFonts w:hint="eastAsia" w:ascii="宋体"/>
        </w:rPr>
        <w:t>1）工作电压： AC220V，允许偏差±10%</w:t>
      </w:r>
    </w:p>
    <w:p>
      <w:pPr>
        <w:spacing w:line="360" w:lineRule="auto"/>
        <w:ind w:firstLine="420"/>
        <w:rPr>
          <w:rFonts w:hint="eastAsia" w:ascii="宋体"/>
        </w:rPr>
      </w:pPr>
      <w:r>
        <w:rPr>
          <w:rFonts w:hint="eastAsia" w:ascii="宋体"/>
        </w:rPr>
        <w:t>2）工作电流范围：400-500mA（AC220V）</w:t>
      </w:r>
    </w:p>
    <w:p>
      <w:pPr>
        <w:spacing w:line="360" w:lineRule="auto"/>
        <w:ind w:firstLine="420"/>
        <w:rPr>
          <w:rFonts w:hint="eastAsia" w:ascii="宋体"/>
        </w:rPr>
      </w:pPr>
      <w:r>
        <w:rPr>
          <w:rFonts w:hint="eastAsia" w:ascii="宋体"/>
        </w:rPr>
        <w:t>3）工作温度：-10～﹢50℃</w:t>
      </w:r>
    </w:p>
    <w:p>
      <w:pPr>
        <w:spacing w:line="360" w:lineRule="auto"/>
        <w:ind w:firstLine="420"/>
        <w:rPr>
          <w:rFonts w:hint="eastAsia" w:ascii="宋体"/>
        </w:rPr>
      </w:pPr>
      <w:r>
        <w:rPr>
          <w:rFonts w:hint="eastAsia" w:ascii="宋体"/>
        </w:rPr>
        <w:t>4）2个SATA接口，每个接口支持最小8TB硬盘</w:t>
      </w:r>
    </w:p>
    <w:p>
      <w:pPr>
        <w:spacing w:line="360" w:lineRule="auto"/>
        <w:ind w:firstLine="420"/>
        <w:rPr>
          <w:rFonts w:hint="eastAsia" w:ascii="宋体"/>
        </w:rPr>
      </w:pPr>
      <w:r>
        <w:rPr>
          <w:rFonts w:hint="eastAsia" w:ascii="宋体"/>
        </w:rPr>
        <w:t>5）硬盘容量（选配）：含1块或2块8T硬盘</w:t>
      </w:r>
    </w:p>
    <w:p>
      <w:pPr>
        <w:spacing w:line="360" w:lineRule="auto"/>
        <w:ind w:firstLine="420"/>
        <w:rPr>
          <w:rFonts w:hint="eastAsia" w:ascii="宋体"/>
        </w:rPr>
      </w:pPr>
      <w:r>
        <w:rPr>
          <w:rFonts w:hint="eastAsia" w:ascii="宋体"/>
        </w:rPr>
        <w:t>6）视频协议标准：国标GB28181、RTSP、ONVIF，支持对接第三方平台</w:t>
      </w:r>
    </w:p>
    <w:p>
      <w:pPr>
        <w:spacing w:line="360" w:lineRule="auto"/>
        <w:ind w:firstLine="420"/>
        <w:rPr>
          <w:rFonts w:hint="eastAsia" w:ascii="宋体"/>
        </w:rPr>
      </w:pPr>
      <w:r>
        <w:rPr>
          <w:rFonts w:hint="eastAsia" w:ascii="宋体"/>
        </w:rPr>
        <w:t>7）32路网络视频接入</w:t>
      </w:r>
    </w:p>
    <w:p>
      <w:pPr>
        <w:spacing w:line="360" w:lineRule="auto"/>
        <w:ind w:firstLine="420"/>
        <w:rPr>
          <w:rFonts w:hint="eastAsia" w:ascii="宋体"/>
        </w:rPr>
      </w:pPr>
      <w:r>
        <w:rPr>
          <w:rFonts w:hint="eastAsia" w:ascii="宋体"/>
        </w:rPr>
        <w:t>8）支持20路或者160Mbps媒体分发转发能力</w:t>
      </w:r>
    </w:p>
    <w:p>
      <w:pPr>
        <w:spacing w:line="360" w:lineRule="auto"/>
        <w:ind w:firstLine="420"/>
      </w:pPr>
      <w:r>
        <w:rPr>
          <w:rFonts w:hint="eastAsia" w:ascii="宋体"/>
        </w:rPr>
        <w:t>9）1个RJ45，10M/100M/1000M自适应以太网口</w:t>
      </w:r>
    </w:p>
    <w:p>
      <w:pPr>
        <w:numPr>
          <w:ilvl w:val="1"/>
          <w:numId w:val="1"/>
        </w:numPr>
        <w:spacing w:line="360" w:lineRule="auto"/>
        <w:ind w:firstLine="420" w:firstLineChars="200"/>
        <w:outlineLvl w:val="1"/>
        <w:rPr>
          <w:rFonts w:ascii="宋体" w:hAnsi="宋体"/>
        </w:rPr>
      </w:pPr>
      <w:bookmarkStart w:id="46" w:name="_Toc28538843"/>
      <w:r>
        <w:rPr>
          <w:rFonts w:hint="eastAsia" w:ascii="宋体" w:hAnsi="宋体"/>
        </w:rPr>
        <w:t>设计和</w:t>
      </w:r>
      <w:r>
        <w:rPr>
          <w:rFonts w:ascii="宋体" w:hAnsi="宋体"/>
        </w:rPr>
        <w:t>结构要求</w:t>
      </w:r>
      <w:bookmarkEnd w:id="46"/>
    </w:p>
    <w:p>
      <w:pPr>
        <w:numPr>
          <w:ilvl w:val="2"/>
          <w:numId w:val="1"/>
        </w:numPr>
        <w:spacing w:line="360" w:lineRule="auto"/>
        <w:ind w:firstLine="420" w:firstLineChars="200"/>
      </w:pPr>
      <w:r>
        <w:rPr>
          <w:rFonts w:hint="eastAsia" w:ascii="宋体" w:hAnsi="宋体"/>
        </w:rPr>
        <w:t>设计</w:t>
      </w:r>
      <w:r>
        <w:rPr>
          <w:rFonts w:ascii="宋体" w:hAnsi="宋体"/>
        </w:rPr>
        <w:t>要求</w:t>
      </w:r>
    </w:p>
    <w:p>
      <w:pPr>
        <w:numPr>
          <w:ilvl w:val="2"/>
          <w:numId w:val="1"/>
        </w:numPr>
        <w:spacing w:line="360" w:lineRule="auto"/>
        <w:ind w:firstLine="420" w:firstLineChars="200"/>
        <w:rPr>
          <w:rFonts w:ascii="宋体" w:hAnsi="宋体"/>
        </w:rPr>
      </w:pPr>
      <w:r>
        <w:t>支持网络视频接入，具备实时监控、录像回放、视频转发等多种智能视频监控业务。平时摄像头始终录像并保存，至少需要保存</w:t>
      </w:r>
      <w:r>
        <w:rPr>
          <w:rFonts w:hint="eastAsia"/>
        </w:rPr>
        <w:t>30</w:t>
      </w:r>
      <w:r>
        <w:t>天的录像资料，并支持回放，录像存放空间溢出后自动覆盖旧视频。</w:t>
      </w:r>
    </w:p>
    <w:p>
      <w:pPr>
        <w:numPr>
          <w:ilvl w:val="2"/>
          <w:numId w:val="1"/>
        </w:numPr>
        <w:spacing w:line="360" w:lineRule="auto"/>
        <w:ind w:firstLine="420" w:firstLineChars="200"/>
        <w:rPr>
          <w:rFonts w:ascii="宋体" w:hAnsi="宋体"/>
        </w:rPr>
      </w:pPr>
      <w:r>
        <w:rPr>
          <w:rFonts w:ascii="宋体" w:hAnsi="宋体"/>
        </w:rPr>
        <w:t>结构要求</w:t>
      </w:r>
    </w:p>
    <w:p>
      <w:pPr>
        <w:spacing w:line="360" w:lineRule="auto"/>
        <w:ind w:firstLine="420" w:firstLineChars="200"/>
        <w:rPr>
          <w:rFonts w:hint="eastAsia" w:ascii="宋体" w:hAnsi="宋体" w:eastAsia="宋体"/>
          <w:lang w:eastAsia="zh-CN"/>
        </w:rPr>
      </w:pPr>
      <w:r>
        <w:rPr>
          <w:rFonts w:hint="eastAsia" w:ascii="宋体" w:hAnsi="宋体"/>
        </w:rPr>
        <w:t>（1）盒体材质：金属</w:t>
      </w:r>
      <w:r>
        <w:rPr>
          <w:rFonts w:hint="eastAsia" w:ascii="宋体" w:hAnsi="宋体"/>
          <w:lang w:eastAsia="zh-CN"/>
        </w:rPr>
        <w:t>。</w:t>
      </w:r>
    </w:p>
    <w:p>
      <w:pPr>
        <w:spacing w:line="360" w:lineRule="auto"/>
        <w:ind w:firstLine="420" w:firstLineChars="200"/>
        <w:rPr>
          <w:rFonts w:hint="eastAsia" w:ascii="宋体" w:hAnsi="宋体"/>
          <w:highlight w:val="none"/>
        </w:rPr>
      </w:pPr>
      <w:r>
        <w:rPr>
          <w:rFonts w:hint="eastAsia" w:ascii="宋体" w:hAnsi="宋体"/>
        </w:rPr>
        <w:t>（2）安装方式</w:t>
      </w:r>
      <w:r>
        <w:rPr>
          <w:rFonts w:hint="eastAsia" w:ascii="宋体" w:hAnsi="宋体"/>
          <w:highlight w:val="none"/>
        </w:rPr>
        <w:t>：高度不大于2U，长、宽不</w:t>
      </w:r>
      <w:r>
        <w:rPr>
          <w:rFonts w:hint="eastAsia" w:ascii="宋体" w:hAnsi="宋体"/>
          <w:highlight w:val="none"/>
          <w:lang w:val="en-US" w:eastAsia="zh-CN"/>
        </w:rPr>
        <w:t>大于</w:t>
      </w:r>
      <w:r>
        <w:rPr>
          <w:rFonts w:hint="eastAsia" w:ascii="宋体" w:hAnsi="宋体"/>
          <w:highlight w:val="none"/>
        </w:rPr>
        <w:t>19英寸，机架式安装。</w:t>
      </w:r>
    </w:p>
    <w:p>
      <w:pPr>
        <w:numPr>
          <w:ilvl w:val="2"/>
          <w:numId w:val="1"/>
        </w:numPr>
        <w:spacing w:line="360" w:lineRule="auto"/>
        <w:ind w:firstLine="420" w:firstLineChars="200"/>
        <w:rPr>
          <w:rFonts w:ascii="宋体" w:hAnsi="宋体"/>
        </w:rPr>
      </w:pPr>
      <w:r>
        <w:rPr>
          <w:rFonts w:ascii="宋体" w:hAnsi="宋体"/>
        </w:rPr>
        <w:t>设计寿命</w:t>
      </w:r>
    </w:p>
    <w:p>
      <w:pPr>
        <w:spacing w:line="360" w:lineRule="auto"/>
        <w:ind w:firstLine="420" w:firstLineChars="200"/>
        <w:rPr>
          <w:rFonts w:ascii="宋体" w:hAnsi="宋体"/>
        </w:rPr>
      </w:pPr>
      <w:r>
        <w:rPr>
          <w:rFonts w:ascii="宋体" w:hAnsi="宋体"/>
        </w:rPr>
        <w:t>在本技术规范书规定的环境条件，并根据产品使用说明书正常安装、维护和运行，设备使用寿命不小于</w:t>
      </w:r>
      <w:r>
        <w:rPr>
          <w:rFonts w:hint="eastAsia" w:ascii="宋体" w:hAnsi="宋体"/>
        </w:rPr>
        <w:t>8</w:t>
      </w:r>
      <w:r>
        <w:rPr>
          <w:rFonts w:ascii="宋体" w:hAnsi="宋体"/>
        </w:rPr>
        <w:t>年。</w:t>
      </w:r>
    </w:p>
    <w:p>
      <w:pPr>
        <w:numPr>
          <w:ilvl w:val="2"/>
          <w:numId w:val="1"/>
        </w:numPr>
        <w:spacing w:line="360" w:lineRule="auto"/>
        <w:ind w:firstLine="420" w:firstLineChars="200"/>
        <w:rPr>
          <w:rFonts w:ascii="宋体" w:hAnsi="宋体"/>
        </w:rPr>
      </w:pPr>
      <w:r>
        <w:rPr>
          <w:rFonts w:ascii="宋体" w:hAnsi="宋体"/>
        </w:rPr>
        <w:t>标志</w:t>
      </w:r>
    </w:p>
    <w:p>
      <w:pPr>
        <w:spacing w:line="360" w:lineRule="auto"/>
        <w:ind w:firstLine="420" w:firstLineChars="200"/>
        <w:rPr>
          <w:rFonts w:ascii="宋体" w:hAnsi="宋体"/>
        </w:rPr>
      </w:pPr>
      <w:r>
        <w:rPr>
          <w:rFonts w:ascii="宋体" w:hAnsi="宋体"/>
        </w:rPr>
        <w:t>1）装置或主要附件应在明显位置设置清晰的永久性标志或标识</w:t>
      </w:r>
      <w:r>
        <w:rPr>
          <w:rFonts w:hint="eastAsia" w:ascii="宋体" w:hAnsi="宋体"/>
        </w:rPr>
        <w:t>。</w:t>
      </w:r>
    </w:p>
    <w:p>
      <w:pPr>
        <w:spacing w:line="360" w:lineRule="auto"/>
        <w:ind w:firstLine="420" w:firstLineChars="200"/>
        <w:rPr>
          <w:rFonts w:ascii="宋体" w:hAnsi="宋体"/>
        </w:rPr>
      </w:pPr>
      <w:r>
        <w:rPr>
          <w:rFonts w:ascii="宋体" w:hAnsi="宋体"/>
        </w:rPr>
        <w:t>2）产品和包装上的标志应包括：产品名称和型号、制造厂全称及商标和关键识别参数</w:t>
      </w:r>
      <w:r>
        <w:rPr>
          <w:rFonts w:hint="eastAsia" w:ascii="宋体" w:hAnsi="宋体"/>
        </w:rPr>
        <w:t>。</w:t>
      </w:r>
    </w:p>
    <w:p>
      <w:pPr>
        <w:spacing w:line="360" w:lineRule="auto"/>
        <w:ind w:firstLine="420" w:firstLineChars="200"/>
        <w:rPr>
          <w:rFonts w:ascii="宋体" w:hAnsi="宋体"/>
        </w:rPr>
      </w:pPr>
      <w:r>
        <w:rPr>
          <w:rFonts w:ascii="宋体" w:hAnsi="宋体"/>
        </w:rPr>
        <w:t>3）以上标志、标识应符合GB/T191的规定</w:t>
      </w:r>
      <w:r>
        <w:rPr>
          <w:rFonts w:hint="eastAsia" w:ascii="宋体" w:hAnsi="宋体"/>
        </w:rPr>
        <w:t>。</w:t>
      </w:r>
    </w:p>
    <w:p>
      <w:pPr>
        <w:numPr>
          <w:ilvl w:val="1"/>
          <w:numId w:val="1"/>
        </w:numPr>
        <w:spacing w:line="360" w:lineRule="auto"/>
        <w:ind w:firstLine="420" w:firstLineChars="200"/>
        <w:outlineLvl w:val="1"/>
        <w:rPr>
          <w:rFonts w:ascii="宋体" w:hAnsi="宋体"/>
        </w:rPr>
      </w:pPr>
      <w:bookmarkStart w:id="47" w:name="_Toc28538844"/>
      <w:r>
        <w:rPr>
          <w:rFonts w:ascii="宋体" w:hAnsi="宋体"/>
        </w:rPr>
        <w:t>质量追溯</w:t>
      </w:r>
      <w:bookmarkEnd w:id="47"/>
    </w:p>
    <w:p>
      <w:pPr>
        <w:spacing w:line="360" w:lineRule="auto"/>
        <w:ind w:firstLine="420" w:firstLineChars="200"/>
        <w:rPr>
          <w:rFonts w:ascii="宋体" w:hAnsi="宋体"/>
        </w:rPr>
      </w:pPr>
      <w:r>
        <w:rPr>
          <w:rFonts w:ascii="宋体" w:hAnsi="宋体"/>
        </w:rPr>
        <w:t>产品制造过程中的重要环节应有详细记录，便于质量过程可追溯。</w:t>
      </w:r>
    </w:p>
    <w:p>
      <w:pPr>
        <w:pStyle w:val="4"/>
        <w:numPr>
          <w:ilvl w:val="0"/>
          <w:numId w:val="1"/>
        </w:numPr>
        <w:tabs>
          <w:tab w:val="left" w:pos="425"/>
        </w:tabs>
        <w:spacing w:before="0" w:after="0" w:line="360" w:lineRule="auto"/>
        <w:rPr>
          <w:rFonts w:eastAsia="黑体"/>
          <w:sz w:val="21"/>
          <w:szCs w:val="21"/>
        </w:rPr>
      </w:pPr>
      <w:bookmarkStart w:id="48" w:name="_Toc10110"/>
      <w:bookmarkStart w:id="49" w:name="_Toc14204"/>
      <w:bookmarkStart w:id="50" w:name="_Toc10919"/>
      <w:r>
        <w:rPr>
          <w:rFonts w:hint="eastAsia" w:eastAsia="黑体"/>
          <w:sz w:val="21"/>
          <w:szCs w:val="21"/>
        </w:rPr>
        <w:t>终端安全要求</w:t>
      </w:r>
      <w:bookmarkEnd w:id="48"/>
      <w:bookmarkEnd w:id="49"/>
      <w:bookmarkEnd w:id="50"/>
    </w:p>
    <w:p>
      <w:pPr>
        <w:adjustRightInd w:val="0"/>
        <w:snapToGrid w:val="0"/>
        <w:spacing w:line="360" w:lineRule="auto"/>
        <w:ind w:firstLine="420" w:firstLineChars="200"/>
      </w:pPr>
      <w:r>
        <w:rPr>
          <w:rFonts w:hint="eastAsia"/>
        </w:rPr>
        <w:t>设备软件操作系统、通信方式等应符合南方电网相关信息安全防护方面的要求。</w:t>
      </w:r>
    </w:p>
    <w:p>
      <w:pPr>
        <w:numPr>
          <w:ilvl w:val="1"/>
          <w:numId w:val="1"/>
        </w:numPr>
        <w:spacing w:line="360" w:lineRule="auto"/>
        <w:outlineLvl w:val="1"/>
        <w:rPr>
          <w:rFonts w:eastAsia="黑体"/>
        </w:rPr>
      </w:pPr>
      <w:bookmarkStart w:id="51" w:name="_Toc10410"/>
      <w:r>
        <w:rPr>
          <w:rFonts w:hint="eastAsia" w:eastAsia="黑体"/>
        </w:rPr>
        <w:t>终端操作系统安全</w:t>
      </w:r>
      <w:bookmarkEnd w:id="51"/>
    </w:p>
    <w:p>
      <w:pPr>
        <w:adjustRightInd w:val="0"/>
        <w:snapToGrid w:val="0"/>
        <w:spacing w:line="360" w:lineRule="auto"/>
        <w:ind w:firstLine="420" w:firstLineChars="200"/>
      </w:pPr>
      <w:bookmarkStart w:id="52" w:name="_Toc16065"/>
      <w:bookmarkStart w:id="53" w:name="_Toc32734"/>
      <w:bookmarkStart w:id="54" w:name="_Toc30444"/>
      <w:bookmarkStart w:id="55" w:name="_Toc21966"/>
      <w:bookmarkStart w:id="56" w:name="_Toc7127"/>
      <w:bookmarkStart w:id="57" w:name="_Toc12254"/>
      <w:r>
        <w:rPr>
          <w:rFonts w:hint="eastAsia"/>
        </w:rPr>
        <w:t>设备应采用安全稳定可靠的操作系统。</w:t>
      </w:r>
    </w:p>
    <w:p>
      <w:pPr>
        <w:numPr>
          <w:ilvl w:val="1"/>
          <w:numId w:val="1"/>
        </w:numPr>
        <w:spacing w:line="360" w:lineRule="auto"/>
        <w:outlineLvl w:val="1"/>
        <w:rPr>
          <w:rFonts w:eastAsia="黑体"/>
        </w:rPr>
      </w:pPr>
      <w:r>
        <w:rPr>
          <w:rFonts w:hint="eastAsia" w:eastAsia="黑体"/>
        </w:rPr>
        <w:t>终端通信安全</w:t>
      </w:r>
      <w:bookmarkEnd w:id="52"/>
      <w:bookmarkEnd w:id="53"/>
      <w:bookmarkEnd w:id="54"/>
      <w:bookmarkEnd w:id="55"/>
      <w:bookmarkEnd w:id="56"/>
      <w:r>
        <w:rPr>
          <w:rFonts w:hint="eastAsia" w:eastAsia="黑体"/>
        </w:rPr>
        <w:t>要求</w:t>
      </w:r>
      <w:bookmarkEnd w:id="57"/>
    </w:p>
    <w:p>
      <w:pPr>
        <w:pStyle w:val="2"/>
        <w:spacing w:line="360" w:lineRule="auto"/>
        <w:ind w:firstLine="420" w:firstLineChars="200"/>
        <w:rPr>
          <w:szCs w:val="22"/>
        </w:rPr>
      </w:pPr>
      <w:r>
        <w:rPr>
          <w:rFonts w:hint="eastAsia"/>
          <w:szCs w:val="22"/>
        </w:rPr>
        <w:t>网络通信应满足《</w:t>
      </w:r>
      <w:r>
        <w:rPr>
          <w:rFonts w:hint="eastAsia"/>
          <w:szCs w:val="21"/>
        </w:rPr>
        <w:t>电力监控系统安全防护规定</w:t>
      </w:r>
      <w:r>
        <w:rPr>
          <w:rFonts w:hint="eastAsia"/>
          <w:szCs w:val="22"/>
        </w:rPr>
        <w:t>》和《</w:t>
      </w:r>
      <w:r>
        <w:rPr>
          <w:rFonts w:hint="eastAsia"/>
          <w:szCs w:val="21"/>
        </w:rPr>
        <w:t>中国南方电网电力监控系统安全防护技术规范</w:t>
      </w:r>
      <w:r>
        <w:rPr>
          <w:rFonts w:hint="eastAsia"/>
          <w:szCs w:val="22"/>
        </w:rPr>
        <w:t>要求》的要求。</w:t>
      </w:r>
    </w:p>
    <w:p>
      <w:pPr>
        <w:numPr>
          <w:ilvl w:val="1"/>
          <w:numId w:val="1"/>
        </w:numPr>
        <w:spacing w:line="360" w:lineRule="auto"/>
        <w:outlineLvl w:val="1"/>
        <w:rPr>
          <w:rFonts w:eastAsia="黑体"/>
        </w:rPr>
      </w:pPr>
      <w:bookmarkStart w:id="58" w:name="_Toc22258"/>
      <w:bookmarkStart w:id="59" w:name="_Toc32030"/>
      <w:bookmarkStart w:id="60" w:name="_Toc26515"/>
      <w:bookmarkStart w:id="61" w:name="_Toc21312"/>
      <w:bookmarkStart w:id="62" w:name="_Toc3706"/>
      <w:bookmarkStart w:id="63" w:name="_Toc11765"/>
      <w:r>
        <w:rPr>
          <w:rFonts w:hint="eastAsia" w:eastAsia="黑体"/>
        </w:rPr>
        <w:t>网络安全责任</w:t>
      </w:r>
      <w:bookmarkEnd w:id="58"/>
      <w:bookmarkEnd w:id="59"/>
      <w:bookmarkEnd w:id="60"/>
      <w:bookmarkEnd w:id="61"/>
      <w:bookmarkEnd w:id="62"/>
      <w:bookmarkEnd w:id="63"/>
    </w:p>
    <w:p>
      <w:pPr>
        <w:adjustRightInd w:val="0"/>
        <w:snapToGrid w:val="0"/>
        <w:spacing w:line="360" w:lineRule="auto"/>
        <w:ind w:firstLine="420" w:firstLineChars="200"/>
      </w:pPr>
      <w:r>
        <w:rPr>
          <w:rFonts w:hint="eastAsia"/>
        </w:rPr>
        <w:t>投标方提供软硬件产品或技术服务过程中，按照有关法律法规和程序开展工作，严格执行国家的有关方针、政策，并遵守以下规定：</w:t>
      </w:r>
    </w:p>
    <w:p>
      <w:pPr>
        <w:adjustRightInd w:val="0"/>
        <w:snapToGrid w:val="0"/>
        <w:spacing w:line="360" w:lineRule="auto"/>
        <w:ind w:firstLine="420" w:firstLineChars="200"/>
      </w:pPr>
      <w:r>
        <w:rPr>
          <w:rFonts w:hint="eastAsia"/>
        </w:rPr>
        <w:t>1）不利用招标方采购的终端从事危害国家安全、泄漏国家秘密、侵犯公民、法人、招标方和其他组织的利益，或其它违法犯罪活动；</w:t>
      </w:r>
    </w:p>
    <w:p>
      <w:pPr>
        <w:adjustRightInd w:val="0"/>
        <w:snapToGrid w:val="0"/>
        <w:spacing w:line="360" w:lineRule="auto"/>
        <w:ind w:firstLine="420" w:firstLineChars="200"/>
      </w:pPr>
      <w:r>
        <w:rPr>
          <w:rFonts w:hint="eastAsia"/>
        </w:rPr>
        <w:t>2）不利用项目工作便利获取和留存招标方业务数据，不利用招标方业务数据谋取利益或从事其他与项目无关工作；</w:t>
      </w:r>
    </w:p>
    <w:p>
      <w:pPr>
        <w:adjustRightInd w:val="0"/>
        <w:snapToGrid w:val="0"/>
        <w:spacing w:line="360" w:lineRule="auto"/>
        <w:ind w:firstLine="420" w:firstLineChars="200"/>
      </w:pPr>
      <w:r>
        <w:rPr>
          <w:rFonts w:hint="eastAsia"/>
        </w:rPr>
        <w:t>3）交付的软硬件产品须满足招标方安全策略要求，不得含有后门、木马、已知漏洞等安全隐患。在其产品投运前，投标方应将产品有关的功能服务台帐、特权账号等建设运维文档全部移交给招标方；</w:t>
      </w:r>
    </w:p>
    <w:p>
      <w:pPr>
        <w:adjustRightInd w:val="0"/>
        <w:snapToGrid w:val="0"/>
        <w:spacing w:line="360" w:lineRule="auto"/>
        <w:ind w:firstLine="420" w:firstLineChars="200"/>
      </w:pPr>
      <w:r>
        <w:rPr>
          <w:rFonts w:hint="eastAsia"/>
        </w:rPr>
        <w:t>4）未经招标方许可，投标方不得将项目涉及的源代码、数据文件上传至互联网共享平台，或提供给其他组织和个人；</w:t>
      </w:r>
    </w:p>
    <w:p>
      <w:pPr>
        <w:adjustRightInd w:val="0"/>
        <w:snapToGrid w:val="0"/>
        <w:spacing w:line="360" w:lineRule="auto"/>
        <w:ind w:firstLine="420" w:firstLineChars="200"/>
      </w:pPr>
      <w:r>
        <w:rPr>
          <w:rFonts w:hint="eastAsia"/>
        </w:rPr>
        <w:t>5）未通过试验监测和安全认证的设备不得私自上线运行；</w:t>
      </w:r>
    </w:p>
    <w:p>
      <w:pPr>
        <w:numPr>
          <w:ilvl w:val="1"/>
          <w:numId w:val="1"/>
        </w:numPr>
        <w:spacing w:line="360" w:lineRule="auto"/>
        <w:outlineLvl w:val="1"/>
        <w:rPr>
          <w:rFonts w:eastAsia="黑体"/>
        </w:rPr>
      </w:pPr>
      <w:bookmarkStart w:id="64" w:name="_Toc25256"/>
      <w:bookmarkStart w:id="65" w:name="_Toc13944"/>
      <w:bookmarkStart w:id="66" w:name="_Toc7059"/>
      <w:bookmarkStart w:id="67" w:name="_Toc19806"/>
      <w:bookmarkStart w:id="68" w:name="_Toc8718"/>
      <w:bookmarkStart w:id="69" w:name="_Toc29257"/>
      <w:r>
        <w:rPr>
          <w:rFonts w:hint="eastAsia" w:eastAsia="黑体"/>
        </w:rPr>
        <w:t>网络安全服务</w:t>
      </w:r>
      <w:bookmarkEnd w:id="64"/>
      <w:bookmarkEnd w:id="65"/>
      <w:bookmarkEnd w:id="66"/>
      <w:bookmarkEnd w:id="67"/>
      <w:bookmarkEnd w:id="68"/>
      <w:bookmarkEnd w:id="69"/>
    </w:p>
    <w:p>
      <w:pPr>
        <w:adjustRightInd w:val="0"/>
        <w:snapToGrid w:val="0"/>
        <w:spacing w:line="360" w:lineRule="auto"/>
        <w:ind w:firstLine="420" w:firstLineChars="200"/>
      </w:pPr>
      <w:r>
        <w:rPr>
          <w:rFonts w:hint="eastAsia"/>
        </w:rPr>
        <w:t>1）投标方负责质保期内对交付产品的补丁更新、安全加固、漏洞整改，并配合招标方完成网络安全应急响应及处置；</w:t>
      </w:r>
    </w:p>
    <w:p>
      <w:pPr>
        <w:adjustRightInd w:val="0"/>
        <w:snapToGrid w:val="0"/>
        <w:spacing w:line="360" w:lineRule="auto"/>
        <w:ind w:firstLine="420" w:firstLineChars="200"/>
      </w:pPr>
      <w:r>
        <w:rPr>
          <w:rFonts w:hint="eastAsia"/>
        </w:rPr>
        <w:t>2）投标方交付产品的网络安全质量纳入年度供应商评价考核；</w:t>
      </w:r>
    </w:p>
    <w:p>
      <w:pPr>
        <w:spacing w:line="360" w:lineRule="auto"/>
        <w:ind w:firstLine="420" w:firstLineChars="200"/>
        <w:rPr>
          <w:rFonts w:ascii="宋体" w:hAnsi="宋体"/>
          <w:highlight w:val="none"/>
        </w:rPr>
      </w:pPr>
      <w:r>
        <w:rPr>
          <w:rFonts w:hint="eastAsia"/>
        </w:rPr>
        <w:t>3）因投标方的行为不当导致招标方发生网络安全缺陷或事件的，纳入年度供应商评价考核。</w:t>
      </w:r>
    </w:p>
    <w:p>
      <w:pPr>
        <w:pStyle w:val="4"/>
        <w:numPr>
          <w:ilvl w:val="0"/>
          <w:numId w:val="1"/>
        </w:numPr>
        <w:tabs>
          <w:tab w:val="left" w:pos="425"/>
        </w:tabs>
        <w:snapToGrid w:val="0"/>
        <w:spacing w:before="0" w:after="0" w:line="360" w:lineRule="auto"/>
        <w:rPr>
          <w:rFonts w:ascii="宋体" w:hAnsi="宋体"/>
          <w:sz w:val="21"/>
          <w:szCs w:val="21"/>
          <w:highlight w:val="none"/>
        </w:rPr>
      </w:pPr>
      <w:bookmarkStart w:id="70" w:name="_Toc402276237"/>
      <w:bookmarkEnd w:id="70"/>
      <w:bookmarkStart w:id="71" w:name="_Toc372723710"/>
      <w:bookmarkEnd w:id="71"/>
      <w:bookmarkStart w:id="72" w:name="_Toc372729497"/>
      <w:bookmarkEnd w:id="72"/>
      <w:bookmarkStart w:id="73" w:name="_Toc402276238"/>
      <w:bookmarkEnd w:id="73"/>
      <w:bookmarkStart w:id="74" w:name="_Toc24919"/>
      <w:bookmarkStart w:id="75" w:name="_Toc28538845"/>
      <w:r>
        <w:rPr>
          <w:rFonts w:ascii="宋体" w:hAnsi="宋体"/>
          <w:sz w:val="21"/>
          <w:szCs w:val="21"/>
          <w:highlight w:val="none"/>
        </w:rPr>
        <w:t>试验</w:t>
      </w:r>
      <w:bookmarkEnd w:id="74"/>
      <w:bookmarkEnd w:id="75"/>
    </w:p>
    <w:p>
      <w:pPr>
        <w:snapToGrid w:val="0"/>
        <w:spacing w:line="360" w:lineRule="auto"/>
        <w:ind w:firstLine="420" w:firstLineChars="200"/>
        <w:rPr>
          <w:rFonts w:ascii="宋体" w:hAnsi="宋体"/>
          <w:szCs w:val="21"/>
        </w:rPr>
      </w:pPr>
      <w:r>
        <w:rPr>
          <w:rFonts w:ascii="宋体" w:hAnsi="宋体"/>
          <w:szCs w:val="21"/>
          <w:highlight w:val="none"/>
        </w:rPr>
        <w:t>试验分型式</w:t>
      </w:r>
      <w:r>
        <w:rPr>
          <w:rFonts w:ascii="宋体" w:hAnsi="宋体"/>
          <w:szCs w:val="21"/>
        </w:rPr>
        <w:t>试验、出厂试验和现场试验。</w:t>
      </w:r>
    </w:p>
    <w:p>
      <w:pPr>
        <w:numPr>
          <w:ilvl w:val="1"/>
          <w:numId w:val="1"/>
        </w:numPr>
        <w:snapToGrid w:val="0"/>
        <w:spacing w:line="360" w:lineRule="auto"/>
        <w:outlineLvl w:val="1"/>
        <w:rPr>
          <w:rFonts w:ascii="宋体" w:hAnsi="宋体"/>
        </w:rPr>
      </w:pPr>
      <w:bookmarkStart w:id="76" w:name="_Toc28538846"/>
      <w:r>
        <w:rPr>
          <w:rFonts w:hint="eastAsia" w:ascii="宋体" w:hAnsi="宋体"/>
        </w:rPr>
        <w:t>性能要求</w:t>
      </w:r>
      <w:bookmarkEnd w:id="76"/>
    </w:p>
    <w:p>
      <w:pPr>
        <w:rPr>
          <w:rFonts w:ascii="宋体" w:hAnsi="宋体"/>
        </w:rPr>
      </w:pPr>
      <w:bookmarkStart w:id="77" w:name="_Toc416863493"/>
      <w:bookmarkStart w:id="78" w:name="_Toc298162229"/>
      <w:bookmarkStart w:id="79" w:name="_Toc140326750"/>
      <w:r>
        <w:rPr>
          <w:rFonts w:hint="eastAsia" w:ascii="宋体" w:hAnsi="宋体"/>
          <w:lang w:val="en-US" w:eastAsia="zh-CN"/>
        </w:rPr>
        <w:t>7</w:t>
      </w:r>
      <w:r>
        <w:rPr>
          <w:rFonts w:hint="eastAsia" w:ascii="宋体" w:hAnsi="宋体"/>
        </w:rPr>
        <w:t>.1</w:t>
      </w:r>
      <w:r>
        <w:rPr>
          <w:rFonts w:ascii="宋体" w:hAnsi="宋体"/>
        </w:rPr>
        <w:t>.1</w:t>
      </w:r>
      <w:r>
        <w:rPr>
          <w:rFonts w:hint="eastAsia" w:ascii="宋体" w:hAnsi="宋体"/>
        </w:rPr>
        <w:t>绝缘性能</w:t>
      </w:r>
      <w:bookmarkEnd w:id="77"/>
      <w:bookmarkEnd w:id="78"/>
      <w:bookmarkEnd w:id="79"/>
    </w:p>
    <w:p>
      <w:pPr>
        <w:autoSpaceDE w:val="0"/>
        <w:autoSpaceDN w:val="0"/>
        <w:adjustRightInd w:val="0"/>
        <w:spacing w:line="400" w:lineRule="exact"/>
        <w:ind w:firstLine="420"/>
        <w:jc w:val="left"/>
        <w:rPr>
          <w:rFonts w:ascii="宋体" w:hAnsi="宋体"/>
          <w:bCs/>
          <w:kern w:val="0"/>
          <w:szCs w:val="21"/>
        </w:rPr>
      </w:pPr>
      <w:r>
        <w:rPr>
          <w:rFonts w:hint="eastAsia" w:ascii="宋体" w:hAnsi="宋体"/>
        </w:rPr>
        <w:t>（1）</w:t>
      </w:r>
      <w:r>
        <w:rPr>
          <w:rFonts w:hint="eastAsia" w:ascii="宋体" w:hAnsi="宋体"/>
          <w:bCs/>
          <w:kern w:val="0"/>
          <w:szCs w:val="21"/>
        </w:rPr>
        <w:t>绝缘</w:t>
      </w:r>
      <w:r>
        <w:rPr>
          <w:rFonts w:ascii="宋体" w:hAnsi="宋体"/>
          <w:bCs/>
          <w:kern w:val="0"/>
          <w:szCs w:val="21"/>
        </w:rPr>
        <w:t>电阻</w:t>
      </w:r>
    </w:p>
    <w:p>
      <w:pPr>
        <w:autoSpaceDE w:val="0"/>
        <w:autoSpaceDN w:val="0"/>
        <w:adjustRightInd w:val="0"/>
        <w:spacing w:line="400" w:lineRule="exact"/>
        <w:ind w:left="420" w:firstLine="420"/>
        <w:jc w:val="left"/>
        <w:rPr>
          <w:rFonts w:ascii="宋体" w:hAnsi="宋体"/>
          <w:bCs/>
          <w:kern w:val="0"/>
          <w:szCs w:val="21"/>
        </w:rPr>
      </w:pPr>
      <w:r>
        <w:rPr>
          <w:rFonts w:hint="eastAsia" w:ascii="宋体" w:hAnsi="宋体"/>
        </w:rPr>
        <w:t>1）</w:t>
      </w:r>
      <w:r>
        <w:rPr>
          <w:rFonts w:ascii="宋体" w:hAnsi="宋体"/>
          <w:bCs/>
          <w:kern w:val="0"/>
          <w:szCs w:val="21"/>
        </w:rPr>
        <w:t>在正常大气条件下绝缘电阻的要求见表2</w:t>
      </w:r>
      <w:r>
        <w:rPr>
          <w:rFonts w:hint="eastAsia" w:ascii="宋体" w:hAnsi="宋体"/>
          <w:bCs/>
          <w:kern w:val="0"/>
          <w:szCs w:val="21"/>
        </w:rPr>
        <w:t>；</w:t>
      </w:r>
    </w:p>
    <w:p>
      <w:pPr>
        <w:autoSpaceDE w:val="0"/>
        <w:autoSpaceDN w:val="0"/>
        <w:adjustRightInd w:val="0"/>
        <w:spacing w:line="400" w:lineRule="exact"/>
        <w:jc w:val="center"/>
        <w:rPr>
          <w:rFonts w:ascii="宋体" w:hAnsi="宋体"/>
          <w:bCs/>
          <w:kern w:val="0"/>
          <w:szCs w:val="21"/>
        </w:rPr>
      </w:pPr>
      <w:r>
        <w:rPr>
          <w:rFonts w:ascii="宋体" w:hAnsi="宋体"/>
          <w:bCs/>
          <w:kern w:val="0"/>
          <w:szCs w:val="21"/>
        </w:rPr>
        <w:t>表2 正常条件绝缘电阻</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1"/>
        <w:gridCol w:w="4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1" w:type="dxa"/>
            <w:noWrap w:val="0"/>
            <w:vAlign w:val="top"/>
          </w:tcPr>
          <w:p>
            <w:pPr>
              <w:pStyle w:val="13"/>
            </w:pPr>
            <w:bookmarkStart w:id="80" w:name="_Toc17925"/>
            <w:bookmarkStart w:id="81" w:name="_Toc25688"/>
            <w:r>
              <w:t>额定绝缘电压Ui（V）</w:t>
            </w:r>
            <w:bookmarkEnd w:id="80"/>
            <w:bookmarkEnd w:id="81"/>
          </w:p>
        </w:tc>
        <w:tc>
          <w:tcPr>
            <w:tcW w:w="4341" w:type="dxa"/>
            <w:noWrap w:val="0"/>
            <w:vAlign w:val="top"/>
          </w:tcPr>
          <w:p>
            <w:pPr>
              <w:pStyle w:val="13"/>
            </w:pPr>
            <w:bookmarkStart w:id="82" w:name="_Toc28187"/>
            <w:bookmarkStart w:id="83" w:name="_Toc10997"/>
            <w:r>
              <w:t>绝缘电阻要求（MΩ）</w:t>
            </w:r>
            <w:bookmarkEnd w:id="82"/>
            <w:bookmarkEnd w:id="8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81" w:type="dxa"/>
            <w:noWrap w:val="0"/>
            <w:vAlign w:val="top"/>
          </w:tcPr>
          <w:p>
            <w:pPr>
              <w:pStyle w:val="13"/>
            </w:pPr>
            <w:bookmarkStart w:id="84" w:name="_Toc16000"/>
            <w:bookmarkStart w:id="85" w:name="_Toc23563"/>
            <w:r>
              <w:t>Ui≤60</w:t>
            </w:r>
            <w:bookmarkEnd w:id="84"/>
            <w:bookmarkEnd w:id="85"/>
          </w:p>
        </w:tc>
        <w:tc>
          <w:tcPr>
            <w:tcW w:w="4341" w:type="dxa"/>
            <w:noWrap w:val="0"/>
            <w:vAlign w:val="top"/>
          </w:tcPr>
          <w:p>
            <w:pPr>
              <w:pStyle w:val="13"/>
            </w:pPr>
            <w:bookmarkStart w:id="86" w:name="_Toc18813"/>
            <w:bookmarkStart w:id="87" w:name="_Toc30657"/>
            <w:r>
              <w:t>≥5（用250V兆欧表）</w:t>
            </w:r>
            <w:bookmarkEnd w:id="86"/>
            <w:bookmarkEnd w:id="8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1" w:type="dxa"/>
            <w:noWrap w:val="0"/>
            <w:vAlign w:val="top"/>
          </w:tcPr>
          <w:p>
            <w:pPr>
              <w:pStyle w:val="13"/>
            </w:pPr>
            <w:bookmarkStart w:id="88" w:name="_Toc29085"/>
            <w:bookmarkStart w:id="89" w:name="_Toc7800"/>
            <w:r>
              <w:t>Ui＞60</w:t>
            </w:r>
            <w:bookmarkEnd w:id="88"/>
            <w:bookmarkEnd w:id="89"/>
          </w:p>
        </w:tc>
        <w:tc>
          <w:tcPr>
            <w:tcW w:w="4341" w:type="dxa"/>
            <w:noWrap w:val="0"/>
            <w:vAlign w:val="top"/>
          </w:tcPr>
          <w:p>
            <w:pPr>
              <w:pStyle w:val="13"/>
            </w:pPr>
            <w:bookmarkStart w:id="90" w:name="_Toc4136"/>
            <w:bookmarkStart w:id="91" w:name="_Toc32123"/>
            <w:r>
              <w:t>≥5（用500V兆欧表）</w:t>
            </w:r>
            <w:bookmarkEnd w:id="90"/>
            <w:bookmarkEnd w:id="91"/>
          </w:p>
        </w:tc>
      </w:tr>
    </w:tbl>
    <w:p>
      <w:pPr>
        <w:autoSpaceDE w:val="0"/>
        <w:autoSpaceDN w:val="0"/>
        <w:adjustRightInd w:val="0"/>
        <w:spacing w:line="400" w:lineRule="exact"/>
        <w:ind w:right="-283" w:rightChars="-135" w:firstLine="420"/>
        <w:jc w:val="left"/>
        <w:rPr>
          <w:rFonts w:ascii="宋体" w:hAnsi="宋体"/>
          <w:bCs/>
          <w:kern w:val="0"/>
          <w:szCs w:val="21"/>
        </w:rPr>
      </w:pPr>
      <w:r>
        <w:rPr>
          <w:rFonts w:hint="eastAsia" w:ascii="宋体" w:hAnsi="宋体"/>
        </w:rPr>
        <w:t>（</w:t>
      </w:r>
      <w:r>
        <w:rPr>
          <w:rFonts w:ascii="宋体" w:hAnsi="宋体"/>
        </w:rPr>
        <w:t>2</w:t>
      </w:r>
      <w:r>
        <w:rPr>
          <w:rFonts w:hint="eastAsia" w:ascii="宋体" w:hAnsi="宋体"/>
        </w:rPr>
        <w:t>）</w:t>
      </w:r>
      <w:r>
        <w:rPr>
          <w:rFonts w:ascii="宋体" w:hAnsi="宋体"/>
          <w:bCs/>
          <w:kern w:val="0"/>
          <w:szCs w:val="21"/>
        </w:rPr>
        <w:t>湿热条件：在温度40±2</w:t>
      </w:r>
      <w:r>
        <w:rPr>
          <w:rFonts w:hint="eastAsia" w:ascii="宋体" w:hAnsi="宋体" w:cs="宋体"/>
          <w:bCs/>
          <w:kern w:val="0"/>
          <w:szCs w:val="21"/>
        </w:rPr>
        <w:t>℃</w:t>
      </w:r>
      <w:r>
        <w:rPr>
          <w:rFonts w:ascii="宋体" w:hAnsi="宋体"/>
          <w:bCs/>
          <w:kern w:val="0"/>
          <w:szCs w:val="21"/>
        </w:rPr>
        <w:t>，相对湿度90%～95%的恒定湿热条件下绝缘电阻要求见表3</w:t>
      </w:r>
      <w:r>
        <w:rPr>
          <w:rFonts w:hint="eastAsia" w:ascii="宋体" w:hAnsi="宋体"/>
          <w:bCs/>
          <w:kern w:val="0"/>
          <w:szCs w:val="21"/>
        </w:rPr>
        <w:t>；</w:t>
      </w:r>
    </w:p>
    <w:p>
      <w:pPr>
        <w:autoSpaceDE w:val="0"/>
        <w:autoSpaceDN w:val="0"/>
        <w:adjustRightInd w:val="0"/>
        <w:spacing w:line="400" w:lineRule="exact"/>
        <w:jc w:val="center"/>
        <w:rPr>
          <w:rFonts w:ascii="宋体" w:hAnsi="宋体"/>
          <w:bCs/>
          <w:kern w:val="0"/>
          <w:szCs w:val="21"/>
        </w:rPr>
      </w:pPr>
      <w:r>
        <w:rPr>
          <w:rFonts w:ascii="宋体" w:hAnsi="宋体"/>
          <w:bCs/>
          <w:kern w:val="0"/>
          <w:szCs w:val="21"/>
        </w:rPr>
        <w:t>表3 湿热条件绝缘电阻</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1"/>
        <w:gridCol w:w="4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1" w:type="dxa"/>
            <w:noWrap w:val="0"/>
            <w:vAlign w:val="top"/>
          </w:tcPr>
          <w:p>
            <w:pPr>
              <w:pStyle w:val="13"/>
            </w:pPr>
            <w:bookmarkStart w:id="92" w:name="_Toc22836"/>
            <w:bookmarkStart w:id="93" w:name="_Toc25839"/>
            <w:r>
              <w:t>额定绝缘电压Ui（V）</w:t>
            </w:r>
            <w:bookmarkEnd w:id="92"/>
            <w:bookmarkEnd w:id="93"/>
          </w:p>
        </w:tc>
        <w:tc>
          <w:tcPr>
            <w:tcW w:w="4331" w:type="dxa"/>
            <w:noWrap w:val="0"/>
            <w:vAlign w:val="top"/>
          </w:tcPr>
          <w:p>
            <w:pPr>
              <w:pStyle w:val="13"/>
            </w:pPr>
            <w:bookmarkStart w:id="94" w:name="_Toc5048"/>
            <w:bookmarkStart w:id="95" w:name="_Toc26446"/>
            <w:r>
              <w:t>绝缘电阻要求（MΩ）</w:t>
            </w:r>
            <w:bookmarkEnd w:id="94"/>
            <w:bookmarkEnd w:id="9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1" w:type="dxa"/>
            <w:noWrap w:val="0"/>
            <w:vAlign w:val="top"/>
          </w:tcPr>
          <w:p>
            <w:pPr>
              <w:pStyle w:val="13"/>
            </w:pPr>
            <w:bookmarkStart w:id="96" w:name="_Toc22561"/>
            <w:bookmarkStart w:id="97" w:name="_Toc9067"/>
            <w:r>
              <w:t>Ui≤60</w:t>
            </w:r>
            <w:bookmarkEnd w:id="96"/>
            <w:bookmarkEnd w:id="97"/>
          </w:p>
        </w:tc>
        <w:tc>
          <w:tcPr>
            <w:tcW w:w="4331" w:type="dxa"/>
            <w:noWrap w:val="0"/>
            <w:vAlign w:val="top"/>
          </w:tcPr>
          <w:p>
            <w:pPr>
              <w:pStyle w:val="13"/>
            </w:pPr>
            <w:bookmarkStart w:id="98" w:name="_Toc20531"/>
            <w:bookmarkStart w:id="99" w:name="_Toc7447"/>
            <w:r>
              <w:t>≥1（用250V兆欧表）</w:t>
            </w:r>
            <w:bookmarkEnd w:id="98"/>
            <w:bookmarkEnd w:id="9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1" w:type="dxa"/>
            <w:noWrap w:val="0"/>
            <w:vAlign w:val="top"/>
          </w:tcPr>
          <w:p>
            <w:pPr>
              <w:pStyle w:val="13"/>
            </w:pPr>
            <w:bookmarkStart w:id="100" w:name="_Toc32508"/>
            <w:bookmarkStart w:id="101" w:name="_Toc29832"/>
            <w:r>
              <w:t>Ui＞60</w:t>
            </w:r>
            <w:bookmarkEnd w:id="100"/>
            <w:bookmarkEnd w:id="101"/>
          </w:p>
        </w:tc>
        <w:tc>
          <w:tcPr>
            <w:tcW w:w="4331" w:type="dxa"/>
            <w:noWrap w:val="0"/>
            <w:vAlign w:val="top"/>
          </w:tcPr>
          <w:p>
            <w:pPr>
              <w:pStyle w:val="13"/>
            </w:pPr>
            <w:bookmarkStart w:id="102" w:name="_Toc3224"/>
            <w:bookmarkStart w:id="103" w:name="_Toc8634"/>
            <w:r>
              <w:t>≥1（用500V兆欧表）</w:t>
            </w:r>
            <w:bookmarkEnd w:id="102"/>
            <w:bookmarkEnd w:id="103"/>
          </w:p>
        </w:tc>
      </w:tr>
    </w:tbl>
    <w:p>
      <w:pPr>
        <w:spacing w:line="360" w:lineRule="auto"/>
        <w:rPr>
          <w:rFonts w:hint="eastAsia" w:ascii="宋体" w:hAnsi="宋体"/>
        </w:rPr>
      </w:pPr>
      <w:bookmarkStart w:id="104" w:name="_Toc169"/>
    </w:p>
    <w:p>
      <w:pPr>
        <w:rPr>
          <w:rFonts w:hint="eastAsia" w:ascii="宋体" w:hAnsi="宋体"/>
          <w:color w:val="auto"/>
          <w:highlight w:val="none"/>
        </w:rPr>
      </w:pPr>
      <w:r>
        <w:rPr>
          <w:rFonts w:hint="eastAsia" w:ascii="宋体" w:hAnsi="宋体"/>
          <w:color w:val="auto"/>
          <w:highlight w:val="none"/>
          <w:lang w:val="en-US" w:eastAsia="zh-CN"/>
        </w:rPr>
        <w:t>7</w:t>
      </w:r>
      <w:r>
        <w:rPr>
          <w:rFonts w:hint="eastAsia" w:ascii="宋体" w:hAnsi="宋体"/>
          <w:color w:val="auto"/>
          <w:highlight w:val="none"/>
        </w:rPr>
        <w:t>.1.2绝缘强度</w:t>
      </w:r>
      <w:bookmarkEnd w:id="104"/>
    </w:p>
    <w:p>
      <w:pPr>
        <w:spacing w:line="360" w:lineRule="auto"/>
        <w:ind w:firstLine="420" w:firstLineChars="200"/>
        <w:rPr>
          <w:rFonts w:ascii="宋体" w:hAnsi="宋体"/>
          <w:szCs w:val="21"/>
        </w:rPr>
      </w:pPr>
      <w:r>
        <w:rPr>
          <w:rFonts w:ascii="宋体" w:hAnsi="宋体"/>
          <w:szCs w:val="21"/>
        </w:rPr>
        <w:t>在正常试验大气条件下，设备的被试部分应能承受表4规定的50Hz交流电压1min的绝缘强度试验，无击穿、无闪络现象。</w:t>
      </w:r>
    </w:p>
    <w:p>
      <w:pPr>
        <w:spacing w:line="360" w:lineRule="auto"/>
        <w:ind w:firstLine="420" w:firstLineChars="200"/>
        <w:rPr>
          <w:rFonts w:ascii="宋体" w:hAnsi="宋体"/>
          <w:bCs/>
          <w:kern w:val="0"/>
          <w:szCs w:val="21"/>
        </w:rPr>
      </w:pPr>
      <w:r>
        <w:rPr>
          <w:rFonts w:ascii="宋体" w:hAnsi="宋体"/>
          <w:szCs w:val="21"/>
        </w:rPr>
        <w:t>试验部位为非电气连接的两个独立回路之间，各带电回路与金属外壳之间。</w:t>
      </w:r>
    </w:p>
    <w:p>
      <w:pPr>
        <w:autoSpaceDE w:val="0"/>
        <w:autoSpaceDN w:val="0"/>
        <w:adjustRightInd w:val="0"/>
        <w:spacing w:line="400" w:lineRule="exact"/>
        <w:jc w:val="center"/>
        <w:rPr>
          <w:rFonts w:ascii="宋体" w:hAnsi="宋体"/>
          <w:bCs/>
          <w:kern w:val="0"/>
          <w:szCs w:val="21"/>
        </w:rPr>
      </w:pPr>
      <w:r>
        <w:rPr>
          <w:rFonts w:ascii="宋体" w:hAnsi="宋体"/>
          <w:bCs/>
          <w:kern w:val="0"/>
          <w:szCs w:val="21"/>
        </w:rPr>
        <w:t>表4 绝缘强度</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pStyle w:val="13"/>
            </w:pPr>
            <w:bookmarkStart w:id="105" w:name="_Toc10588"/>
            <w:bookmarkStart w:id="106" w:name="_Toc27926"/>
            <w:r>
              <w:t>额定绝缘电压Ui（V）</w:t>
            </w:r>
            <w:bookmarkEnd w:id="105"/>
            <w:bookmarkEnd w:id="106"/>
          </w:p>
        </w:tc>
        <w:tc>
          <w:tcPr>
            <w:tcW w:w="4261" w:type="dxa"/>
            <w:noWrap w:val="0"/>
            <w:vAlign w:val="top"/>
          </w:tcPr>
          <w:p>
            <w:pPr>
              <w:pStyle w:val="13"/>
            </w:pPr>
            <w:bookmarkStart w:id="107" w:name="_Toc638"/>
            <w:bookmarkStart w:id="108" w:name="_Toc12308"/>
            <w:r>
              <w:t>试验电压有效值（V）</w:t>
            </w:r>
            <w:bookmarkEnd w:id="107"/>
            <w:bookmarkEnd w:id="10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pStyle w:val="13"/>
            </w:pPr>
            <w:bookmarkStart w:id="109" w:name="_Toc8822"/>
            <w:bookmarkStart w:id="110" w:name="_Toc6056"/>
            <w:r>
              <w:t>Ui≤60</w:t>
            </w:r>
            <w:bookmarkEnd w:id="109"/>
            <w:bookmarkEnd w:id="110"/>
          </w:p>
        </w:tc>
        <w:tc>
          <w:tcPr>
            <w:tcW w:w="4261" w:type="dxa"/>
            <w:noWrap w:val="0"/>
            <w:vAlign w:val="top"/>
          </w:tcPr>
          <w:p>
            <w:pPr>
              <w:pStyle w:val="13"/>
            </w:pPr>
            <w:bookmarkStart w:id="111" w:name="_Toc23730"/>
            <w:bookmarkStart w:id="112" w:name="_Toc12644"/>
            <w:r>
              <w:t>500</w:t>
            </w:r>
            <w:bookmarkEnd w:id="111"/>
            <w:bookmarkEnd w:id="1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pStyle w:val="13"/>
            </w:pPr>
            <w:bookmarkStart w:id="113" w:name="_Toc28551"/>
            <w:bookmarkStart w:id="114" w:name="_Toc26546"/>
            <w:r>
              <w:t>60＜Ui≤125</w:t>
            </w:r>
            <w:bookmarkEnd w:id="113"/>
            <w:bookmarkEnd w:id="114"/>
          </w:p>
        </w:tc>
        <w:tc>
          <w:tcPr>
            <w:tcW w:w="4261" w:type="dxa"/>
            <w:noWrap w:val="0"/>
            <w:vAlign w:val="top"/>
          </w:tcPr>
          <w:p>
            <w:pPr>
              <w:pStyle w:val="13"/>
            </w:pPr>
            <w:bookmarkStart w:id="115" w:name="_Toc20823"/>
            <w:bookmarkStart w:id="116" w:name="_Toc19634"/>
            <w:r>
              <w:t>1000</w:t>
            </w:r>
            <w:bookmarkEnd w:id="115"/>
            <w:bookmarkEnd w:id="1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pStyle w:val="13"/>
            </w:pPr>
            <w:bookmarkStart w:id="117" w:name="_Toc3748"/>
            <w:bookmarkStart w:id="118" w:name="_Toc44"/>
            <w:r>
              <w:t>125＜Ui≤250</w:t>
            </w:r>
            <w:bookmarkEnd w:id="117"/>
            <w:bookmarkEnd w:id="118"/>
          </w:p>
        </w:tc>
        <w:tc>
          <w:tcPr>
            <w:tcW w:w="4261" w:type="dxa"/>
            <w:noWrap w:val="0"/>
            <w:vAlign w:val="top"/>
          </w:tcPr>
          <w:p>
            <w:pPr>
              <w:pStyle w:val="13"/>
            </w:pPr>
            <w:bookmarkStart w:id="119" w:name="_Toc19795"/>
            <w:bookmarkStart w:id="120" w:name="_Toc7149"/>
            <w:r>
              <w:t>2500</w:t>
            </w:r>
            <w:bookmarkEnd w:id="119"/>
            <w:bookmarkEnd w:id="120"/>
          </w:p>
        </w:tc>
      </w:tr>
    </w:tbl>
    <w:p>
      <w:pPr>
        <w:spacing w:line="360" w:lineRule="auto"/>
        <w:rPr>
          <w:rStyle w:val="16"/>
          <w:rFonts w:hint="eastAsia" w:ascii="宋体" w:hAnsi="宋体"/>
        </w:rPr>
      </w:pPr>
    </w:p>
    <w:p>
      <w:pPr>
        <w:spacing w:line="360" w:lineRule="auto"/>
        <w:rPr>
          <w:rFonts w:hint="eastAsia" w:ascii="宋体" w:hAnsi="宋体"/>
          <w:highlight w:val="none"/>
        </w:rPr>
      </w:pPr>
      <w:r>
        <w:rPr>
          <w:rFonts w:hint="eastAsia" w:ascii="宋体" w:hAnsi="宋体"/>
          <w:highlight w:val="none"/>
          <w:lang w:val="en-US" w:eastAsia="zh-CN"/>
        </w:rPr>
        <w:t>7</w:t>
      </w:r>
      <w:r>
        <w:rPr>
          <w:rFonts w:hint="eastAsia" w:ascii="宋体" w:hAnsi="宋体"/>
          <w:highlight w:val="none"/>
        </w:rPr>
        <w:t>.</w:t>
      </w:r>
      <w:r>
        <w:rPr>
          <w:rFonts w:ascii="宋体" w:hAnsi="宋体"/>
          <w:highlight w:val="none"/>
        </w:rPr>
        <w:t>1.3</w:t>
      </w:r>
      <w:r>
        <w:rPr>
          <w:rFonts w:hint="eastAsia" w:ascii="宋体" w:hAnsi="宋体"/>
          <w:highlight w:val="none"/>
        </w:rPr>
        <w:t>冲击耐压</w:t>
      </w:r>
    </w:p>
    <w:p>
      <w:pPr>
        <w:spacing w:line="360" w:lineRule="auto"/>
        <w:ind w:firstLine="420" w:firstLineChars="200"/>
        <w:rPr>
          <w:rStyle w:val="16"/>
          <w:rFonts w:hint="eastAsia" w:ascii="宋体" w:hAnsi="宋体"/>
        </w:rPr>
      </w:pPr>
      <w:r>
        <w:rPr>
          <w:rFonts w:hint="eastAsia" w:ascii="宋体" w:hAnsi="宋体"/>
          <w:szCs w:val="21"/>
        </w:rPr>
        <w:t>设备电源回路自对地和无电气联系的各回路之间，应耐受6kV的冲击电压峰值，正负极性各10次。试验时无破坏性放电（击穿跳火、闪络或绝缘击穿）；试验后，装置或传感器存储的数据应无变化，功能和准确度应满足相应要求。</w:t>
      </w:r>
      <w:bookmarkStart w:id="121" w:name="_Toc31638"/>
      <w:bookmarkStart w:id="122" w:name="_Toc22259"/>
    </w:p>
    <w:p>
      <w:pPr>
        <w:spacing w:line="360" w:lineRule="auto"/>
        <w:rPr>
          <w:rStyle w:val="16"/>
          <w:rFonts w:hint="eastAsia" w:ascii="宋体" w:hAnsi="宋体"/>
          <w:highlight w:val="none"/>
        </w:rPr>
      </w:pPr>
      <w:r>
        <w:rPr>
          <w:rFonts w:hint="eastAsia" w:ascii="宋体" w:hAnsi="宋体"/>
          <w:highlight w:val="none"/>
          <w:lang w:val="en-US" w:eastAsia="zh-CN"/>
        </w:rPr>
        <w:t>7</w:t>
      </w:r>
      <w:r>
        <w:rPr>
          <w:rFonts w:hint="eastAsia" w:ascii="宋体" w:hAnsi="宋体"/>
          <w:highlight w:val="none"/>
        </w:rPr>
        <w:t>.1</w:t>
      </w:r>
      <w:r>
        <w:rPr>
          <w:rFonts w:ascii="宋体" w:hAnsi="宋体"/>
          <w:highlight w:val="none"/>
        </w:rPr>
        <w:t>.1</w:t>
      </w:r>
      <w:r>
        <w:rPr>
          <w:rFonts w:hint="eastAsia" w:ascii="宋体" w:hAnsi="宋体"/>
          <w:highlight w:val="none"/>
          <w:lang w:val="en-US" w:eastAsia="zh-CN"/>
        </w:rPr>
        <w:t>3</w:t>
      </w:r>
      <w:r>
        <w:rPr>
          <w:rFonts w:hint="eastAsia" w:ascii="宋体" w:hAnsi="宋体"/>
          <w:highlight w:val="none"/>
        </w:rPr>
        <w:t>外壳防护等级</w:t>
      </w:r>
      <w:bookmarkEnd w:id="121"/>
    </w:p>
    <w:p>
      <w:pPr>
        <w:autoSpaceDE w:val="0"/>
        <w:autoSpaceDN w:val="0"/>
        <w:spacing w:line="360" w:lineRule="auto"/>
        <w:ind w:firstLine="420" w:firstLineChars="200"/>
        <w:jc w:val="left"/>
        <w:rPr>
          <w:rFonts w:hint="eastAsia" w:ascii="宋体" w:hAnsi="宋体"/>
          <w:kern w:val="0"/>
          <w:szCs w:val="21"/>
        </w:rPr>
      </w:pPr>
      <w:r>
        <w:rPr>
          <w:rFonts w:ascii="宋体" w:hAnsi="宋体"/>
          <w:kern w:val="0"/>
          <w:szCs w:val="21"/>
        </w:rPr>
        <w:t>安装在室</w:t>
      </w:r>
      <w:r>
        <w:rPr>
          <w:rFonts w:hint="eastAsia" w:ascii="宋体" w:hAnsi="宋体"/>
          <w:kern w:val="0"/>
          <w:szCs w:val="21"/>
        </w:rPr>
        <w:t>内</w:t>
      </w:r>
      <w:r>
        <w:rPr>
          <w:rFonts w:ascii="宋体" w:hAnsi="宋体"/>
          <w:kern w:val="0"/>
          <w:szCs w:val="21"/>
        </w:rPr>
        <w:t>场所</w:t>
      </w:r>
      <w:r>
        <w:rPr>
          <w:rFonts w:hint="eastAsia" w:ascii="宋体" w:hAnsi="宋体"/>
          <w:kern w:val="0"/>
          <w:szCs w:val="21"/>
        </w:rPr>
        <w:t>，</w:t>
      </w:r>
      <w:r>
        <w:rPr>
          <w:rFonts w:ascii="宋体" w:hAnsi="宋体"/>
          <w:kern w:val="0"/>
          <w:szCs w:val="21"/>
        </w:rPr>
        <w:t>不低于IP</w:t>
      </w:r>
      <w:r>
        <w:rPr>
          <w:rFonts w:hint="eastAsia" w:ascii="宋体" w:hAnsi="宋体"/>
          <w:kern w:val="0"/>
          <w:szCs w:val="21"/>
        </w:rPr>
        <w:t>3</w:t>
      </w:r>
      <w:r>
        <w:rPr>
          <w:rFonts w:ascii="宋体" w:hAnsi="宋体"/>
          <w:kern w:val="0"/>
          <w:szCs w:val="21"/>
        </w:rPr>
        <w:t>0。</w:t>
      </w:r>
    </w:p>
    <w:p>
      <w:pPr>
        <w:spacing w:line="360" w:lineRule="auto"/>
        <w:rPr>
          <w:rStyle w:val="16"/>
          <w:rFonts w:hint="eastAsia" w:ascii="宋体" w:hAnsi="宋体"/>
        </w:rPr>
      </w:pPr>
      <w:r>
        <w:rPr>
          <w:rFonts w:hint="eastAsia" w:ascii="宋体" w:hAnsi="宋体"/>
          <w:lang w:val="en-US" w:eastAsia="zh-CN"/>
        </w:rPr>
        <w:t>7</w:t>
      </w:r>
      <w:r>
        <w:rPr>
          <w:rFonts w:hint="eastAsia" w:ascii="宋体" w:hAnsi="宋体"/>
        </w:rPr>
        <w:t>.1</w:t>
      </w:r>
      <w:r>
        <w:rPr>
          <w:rFonts w:ascii="宋体" w:hAnsi="宋体"/>
        </w:rPr>
        <w:t>.1</w:t>
      </w:r>
      <w:r>
        <w:rPr>
          <w:rFonts w:hint="eastAsia" w:ascii="宋体" w:hAnsi="宋体"/>
          <w:lang w:val="en-US" w:eastAsia="zh-CN"/>
        </w:rPr>
        <w:t>4</w:t>
      </w:r>
      <w:r>
        <w:rPr>
          <w:rFonts w:hint="eastAsia" w:ascii="宋体" w:hAnsi="宋体"/>
        </w:rPr>
        <w:t>机械振动性能</w:t>
      </w:r>
      <w:bookmarkEnd w:id="122"/>
    </w:p>
    <w:p>
      <w:pPr>
        <w:spacing w:line="360" w:lineRule="auto"/>
        <w:ind w:firstLine="420" w:firstLineChars="200"/>
        <w:rPr>
          <w:rFonts w:ascii="宋体" w:hAnsi="宋体"/>
          <w:kern w:val="0"/>
          <w:szCs w:val="21"/>
        </w:rPr>
      </w:pPr>
      <w:r>
        <w:rPr>
          <w:rFonts w:ascii="宋体" w:hAnsi="宋体"/>
          <w:szCs w:val="21"/>
        </w:rPr>
        <w:t>设备应能承受频率f为2～9Hz，振幅为0.3mm及f为9Hz～500Hz，加速度为1m/s2的振动。振动之后，设备不应发生损坏和零部件受振动脱落现象。</w:t>
      </w:r>
    </w:p>
    <w:p>
      <w:pPr>
        <w:spacing w:line="360" w:lineRule="auto"/>
        <w:rPr>
          <w:rStyle w:val="16"/>
          <w:rFonts w:hint="eastAsia" w:ascii="宋体" w:hAnsi="宋体"/>
        </w:rPr>
      </w:pPr>
      <w:bookmarkStart w:id="123" w:name="_Toc21730"/>
      <w:r>
        <w:rPr>
          <w:rFonts w:hint="eastAsia" w:ascii="宋体" w:hAnsi="宋体"/>
          <w:lang w:val="en-US" w:eastAsia="zh-CN"/>
        </w:rPr>
        <w:t>7</w:t>
      </w:r>
      <w:r>
        <w:rPr>
          <w:rFonts w:hint="eastAsia" w:ascii="宋体" w:hAnsi="宋体"/>
        </w:rPr>
        <w:t>.1</w:t>
      </w:r>
      <w:r>
        <w:rPr>
          <w:rFonts w:ascii="宋体" w:hAnsi="宋体"/>
        </w:rPr>
        <w:t>.1</w:t>
      </w:r>
      <w:r>
        <w:rPr>
          <w:rFonts w:hint="eastAsia" w:ascii="宋体" w:hAnsi="宋体"/>
          <w:lang w:val="en-US" w:eastAsia="zh-CN"/>
        </w:rPr>
        <w:t>5</w:t>
      </w:r>
      <w:r>
        <w:rPr>
          <w:rFonts w:hint="eastAsia" w:ascii="宋体" w:hAnsi="宋体"/>
        </w:rPr>
        <w:t>连续通电的稳定性</w:t>
      </w:r>
      <w:bookmarkEnd w:id="123"/>
    </w:p>
    <w:p>
      <w:pPr>
        <w:spacing w:line="360" w:lineRule="auto"/>
        <w:ind w:firstLine="420" w:firstLineChars="200"/>
        <w:rPr>
          <w:rFonts w:ascii="宋体" w:hAnsi="宋体"/>
          <w:kern w:val="0"/>
          <w:szCs w:val="21"/>
        </w:rPr>
      </w:pPr>
      <w:r>
        <w:rPr>
          <w:rFonts w:ascii="宋体" w:hAnsi="宋体"/>
          <w:szCs w:val="21"/>
        </w:rPr>
        <w:t>设备完成调试后，在出厂前进行不少于72h连续稳定的通电试验，交流电压为额定值。</w:t>
      </w:r>
    </w:p>
    <w:p>
      <w:pPr>
        <w:spacing w:line="360" w:lineRule="auto"/>
        <w:rPr>
          <w:rStyle w:val="16"/>
          <w:rFonts w:hint="eastAsia" w:ascii="宋体" w:hAnsi="宋体"/>
          <w:highlight w:val="none"/>
          <w:u w:val="none"/>
        </w:rPr>
      </w:pPr>
      <w:bookmarkStart w:id="124" w:name="_Toc25426"/>
      <w:r>
        <w:rPr>
          <w:rFonts w:hint="eastAsia" w:ascii="宋体" w:hAnsi="宋体"/>
          <w:highlight w:val="none"/>
          <w:u w:val="none"/>
          <w:lang w:val="en-US" w:eastAsia="zh-CN"/>
        </w:rPr>
        <w:t>7</w:t>
      </w:r>
      <w:r>
        <w:rPr>
          <w:rFonts w:hint="eastAsia" w:ascii="宋体" w:hAnsi="宋体"/>
          <w:highlight w:val="none"/>
          <w:u w:val="none"/>
        </w:rPr>
        <w:t>.1</w:t>
      </w:r>
      <w:r>
        <w:rPr>
          <w:rFonts w:ascii="宋体" w:hAnsi="宋体"/>
          <w:highlight w:val="none"/>
          <w:u w:val="none"/>
        </w:rPr>
        <w:t>.1</w:t>
      </w:r>
      <w:r>
        <w:rPr>
          <w:rFonts w:hint="eastAsia" w:ascii="宋体" w:hAnsi="宋体"/>
          <w:highlight w:val="none"/>
          <w:u w:val="none"/>
          <w:lang w:val="en-US" w:eastAsia="zh-CN"/>
        </w:rPr>
        <w:t>6</w:t>
      </w:r>
      <w:r>
        <w:rPr>
          <w:rFonts w:hint="eastAsia" w:ascii="宋体" w:hAnsi="宋体"/>
          <w:highlight w:val="none"/>
          <w:u w:val="none"/>
        </w:rPr>
        <w:t>温度</w:t>
      </w:r>
      <w:r>
        <w:rPr>
          <w:rStyle w:val="16"/>
          <w:rFonts w:hint="eastAsia" w:ascii="宋体" w:hAnsi="宋体"/>
          <w:highlight w:val="none"/>
          <w:u w:val="none"/>
        </w:rPr>
        <w:t>、</w:t>
      </w:r>
      <w:r>
        <w:rPr>
          <w:rFonts w:hint="eastAsia" w:ascii="宋体" w:hAnsi="宋体"/>
          <w:highlight w:val="none"/>
          <w:u w:val="none"/>
        </w:rPr>
        <w:t>湿度适应性能</w:t>
      </w:r>
      <w:bookmarkEnd w:id="124"/>
    </w:p>
    <w:p>
      <w:pPr>
        <w:spacing w:line="360" w:lineRule="auto"/>
        <w:ind w:firstLine="420" w:firstLineChars="200"/>
        <w:rPr>
          <w:rFonts w:ascii="宋体" w:hAnsi="宋体"/>
        </w:rPr>
      </w:pPr>
      <w:r>
        <w:rPr>
          <w:rFonts w:hint="eastAsia" w:ascii="宋体" w:hAnsi="宋体"/>
        </w:rPr>
        <w:t>（</w:t>
      </w:r>
      <w:r>
        <w:rPr>
          <w:rFonts w:ascii="宋体" w:hAnsi="宋体"/>
        </w:rPr>
        <w:t>1</w:t>
      </w:r>
      <w:r>
        <w:rPr>
          <w:rFonts w:hint="eastAsia" w:ascii="宋体" w:hAnsi="宋体"/>
        </w:rPr>
        <w:t>）装置</w:t>
      </w:r>
      <w:r>
        <w:rPr>
          <w:rFonts w:ascii="宋体" w:hAnsi="宋体"/>
        </w:rPr>
        <w:t>在正常使用条件下应连续正常运行；</w:t>
      </w:r>
    </w:p>
    <w:p>
      <w:pPr>
        <w:spacing w:line="360" w:lineRule="auto"/>
        <w:ind w:firstLine="420" w:firstLineChars="200"/>
        <w:rPr>
          <w:rFonts w:ascii="宋体" w:hAnsi="宋体"/>
        </w:rPr>
      </w:pPr>
      <w:r>
        <w:rPr>
          <w:rFonts w:hint="eastAsia" w:ascii="宋体" w:hAnsi="宋体"/>
        </w:rPr>
        <w:t>（</w:t>
      </w:r>
      <w:r>
        <w:rPr>
          <w:rFonts w:ascii="宋体" w:hAnsi="宋体"/>
        </w:rPr>
        <w:t>2</w:t>
      </w:r>
      <w:r>
        <w:rPr>
          <w:rFonts w:hint="eastAsia" w:ascii="宋体" w:hAnsi="宋体"/>
        </w:rPr>
        <w:t>）</w:t>
      </w:r>
      <w:r>
        <w:rPr>
          <w:rFonts w:hint="eastAsia" w:ascii="宋体" w:hAnsi="宋体"/>
          <w:lang w:val="en-US" w:eastAsia="zh-CN"/>
        </w:rPr>
        <w:t>设备启动后，试验箱温度由常温调整至</w:t>
      </w:r>
      <w:r>
        <w:rPr>
          <w:rFonts w:ascii="宋体" w:hAnsi="宋体"/>
        </w:rPr>
        <w:t>工作温度</w:t>
      </w:r>
      <w:r>
        <w:rPr>
          <w:rFonts w:hint="eastAsia" w:ascii="宋体" w:hAnsi="宋体"/>
          <w:highlight w:val="none"/>
          <w:lang w:val="en-US" w:eastAsia="zh-CN"/>
        </w:rPr>
        <w:t>范围</w:t>
      </w:r>
      <w:r>
        <w:rPr>
          <w:rFonts w:ascii="宋体" w:hAnsi="宋体"/>
          <w:highlight w:val="none"/>
        </w:rPr>
        <w:t>（-</w:t>
      </w:r>
      <w:r>
        <w:rPr>
          <w:rFonts w:hint="eastAsia" w:ascii="宋体" w:hAnsi="宋体"/>
          <w:highlight w:val="none"/>
          <w:lang w:val="en-US" w:eastAsia="zh-CN"/>
        </w:rPr>
        <w:t>10</w:t>
      </w:r>
      <w:r>
        <w:rPr>
          <w:rFonts w:hint="eastAsia" w:ascii="宋体" w:hAnsi="宋体"/>
          <w:highlight w:val="none"/>
        </w:rPr>
        <w:t>℃-</w:t>
      </w:r>
      <w:r>
        <w:rPr>
          <w:rFonts w:hint="eastAsia" w:ascii="宋体" w:hAnsi="宋体"/>
          <w:highlight w:val="none"/>
          <w:lang w:val="en-US" w:eastAsia="zh-CN"/>
        </w:rPr>
        <w:t>50</w:t>
      </w:r>
      <w:r>
        <w:rPr>
          <w:rFonts w:hint="eastAsia" w:ascii="宋体" w:hAnsi="宋体"/>
          <w:highlight w:val="none"/>
        </w:rPr>
        <w:t>℃</w:t>
      </w:r>
      <w:r>
        <w:rPr>
          <w:rFonts w:ascii="宋体" w:hAnsi="宋体"/>
          <w:highlight w:val="none"/>
        </w:rPr>
        <w:t>）</w:t>
      </w:r>
      <w:r>
        <w:rPr>
          <w:rFonts w:ascii="宋体" w:hAnsi="宋体"/>
        </w:rPr>
        <w:t>，</w:t>
      </w:r>
      <w:r>
        <w:rPr>
          <w:rFonts w:hint="eastAsia" w:ascii="宋体" w:hAnsi="宋体"/>
        </w:rPr>
        <w:t>装置</w:t>
      </w:r>
      <w:r>
        <w:rPr>
          <w:rFonts w:ascii="宋体" w:hAnsi="宋体"/>
        </w:rPr>
        <w:t>应能在连续工作</w:t>
      </w:r>
      <w:r>
        <w:rPr>
          <w:rFonts w:hint="eastAsia" w:ascii="宋体" w:hAnsi="宋体"/>
          <w:lang w:eastAsia="zh-CN"/>
        </w:rPr>
        <w:t>。</w:t>
      </w:r>
    </w:p>
    <w:p>
      <w:pPr>
        <w:spacing w:line="360" w:lineRule="auto"/>
        <w:rPr>
          <w:rStyle w:val="16"/>
          <w:rFonts w:hint="eastAsia" w:ascii="宋体" w:hAnsi="宋体"/>
        </w:rPr>
      </w:pPr>
      <w:bookmarkStart w:id="125" w:name="_Toc18680"/>
      <w:r>
        <w:rPr>
          <w:rFonts w:hint="eastAsia" w:ascii="宋体" w:hAnsi="宋体"/>
          <w:lang w:val="en-US" w:eastAsia="zh-CN"/>
        </w:rPr>
        <w:t>7</w:t>
      </w:r>
      <w:r>
        <w:rPr>
          <w:rFonts w:hint="eastAsia" w:ascii="宋体" w:hAnsi="宋体"/>
        </w:rPr>
        <w:t>.1</w:t>
      </w:r>
      <w:r>
        <w:rPr>
          <w:rFonts w:ascii="宋体" w:hAnsi="宋体"/>
        </w:rPr>
        <w:t>.1</w:t>
      </w:r>
      <w:r>
        <w:rPr>
          <w:rFonts w:hint="eastAsia" w:ascii="宋体" w:hAnsi="宋体"/>
          <w:lang w:val="en-US" w:eastAsia="zh-CN"/>
        </w:rPr>
        <w:t>7</w:t>
      </w:r>
      <w:r>
        <w:rPr>
          <w:rFonts w:hint="eastAsia" w:ascii="宋体" w:hAnsi="宋体"/>
        </w:rPr>
        <w:t>时钟误差</w:t>
      </w:r>
      <w:bookmarkEnd w:id="125"/>
    </w:p>
    <w:p>
      <w:pPr>
        <w:spacing w:line="360" w:lineRule="auto"/>
        <w:ind w:firstLine="420" w:firstLineChars="200"/>
        <w:rPr>
          <w:rFonts w:ascii="宋体" w:hAnsi="宋体"/>
        </w:rPr>
      </w:pPr>
      <w:r>
        <w:rPr>
          <w:rFonts w:hint="eastAsia" w:ascii="宋体" w:hAnsi="宋体"/>
        </w:rPr>
        <w:t>（</w:t>
      </w:r>
      <w:r>
        <w:rPr>
          <w:rFonts w:ascii="宋体" w:hAnsi="宋体"/>
        </w:rPr>
        <w:t>1</w:t>
      </w:r>
      <w:r>
        <w:rPr>
          <w:rFonts w:hint="eastAsia" w:ascii="宋体" w:hAnsi="宋体"/>
        </w:rPr>
        <w:t>）装置</w:t>
      </w:r>
      <w:r>
        <w:rPr>
          <w:rFonts w:ascii="宋体" w:hAnsi="宋体"/>
        </w:rPr>
        <w:t>内部时钟走时误差不大于±</w:t>
      </w:r>
      <w:r>
        <w:rPr>
          <w:rFonts w:hint="eastAsia" w:ascii="宋体" w:hAnsi="宋体"/>
        </w:rPr>
        <w:t>2</w:t>
      </w:r>
      <w:r>
        <w:rPr>
          <w:rFonts w:ascii="宋体" w:hAnsi="宋体"/>
        </w:rPr>
        <w:t>s/天；</w:t>
      </w:r>
    </w:p>
    <w:p>
      <w:pPr>
        <w:spacing w:line="360" w:lineRule="auto"/>
        <w:ind w:firstLine="420" w:firstLineChars="200"/>
        <w:rPr>
          <w:rFonts w:ascii="宋体" w:hAnsi="宋体"/>
        </w:rPr>
      </w:pPr>
      <w:r>
        <w:rPr>
          <w:rFonts w:hint="eastAsia" w:ascii="宋体" w:hAnsi="宋体"/>
        </w:rPr>
        <w:t>（</w:t>
      </w:r>
      <w:r>
        <w:rPr>
          <w:rFonts w:ascii="宋体" w:hAnsi="宋体"/>
        </w:rPr>
        <w:t>2</w:t>
      </w:r>
      <w:r>
        <w:rPr>
          <w:rFonts w:hint="eastAsia" w:ascii="宋体" w:hAnsi="宋体"/>
        </w:rPr>
        <w:t>）装置</w:t>
      </w:r>
      <w:r>
        <w:rPr>
          <w:rFonts w:ascii="宋体" w:hAnsi="宋体"/>
        </w:rPr>
        <w:t>与主站对时误差不超过±3s。</w:t>
      </w:r>
    </w:p>
    <w:p>
      <w:pPr>
        <w:spacing w:line="360" w:lineRule="auto"/>
        <w:rPr>
          <w:rStyle w:val="16"/>
          <w:rFonts w:hint="eastAsia" w:ascii="宋体" w:hAnsi="宋体"/>
        </w:rPr>
      </w:pPr>
      <w:bookmarkStart w:id="126" w:name="_Toc10266"/>
      <w:r>
        <w:rPr>
          <w:rFonts w:hint="eastAsia" w:ascii="宋体" w:hAnsi="宋体"/>
          <w:lang w:val="en-US" w:eastAsia="zh-CN"/>
        </w:rPr>
        <w:t>7</w:t>
      </w:r>
      <w:r>
        <w:rPr>
          <w:rFonts w:hint="eastAsia" w:ascii="宋体" w:hAnsi="宋体"/>
        </w:rPr>
        <w:t>.1</w:t>
      </w:r>
      <w:r>
        <w:rPr>
          <w:rFonts w:ascii="宋体" w:hAnsi="宋体"/>
        </w:rPr>
        <w:t>.1</w:t>
      </w:r>
      <w:r>
        <w:rPr>
          <w:rFonts w:hint="eastAsia" w:ascii="宋体" w:hAnsi="宋体"/>
          <w:lang w:val="en-US" w:eastAsia="zh-CN"/>
        </w:rPr>
        <w:t>8</w:t>
      </w:r>
      <w:r>
        <w:rPr>
          <w:rFonts w:hint="eastAsia" w:ascii="宋体" w:hAnsi="宋体"/>
        </w:rPr>
        <w:t>可靠性</w:t>
      </w:r>
      <w:bookmarkEnd w:id="126"/>
    </w:p>
    <w:p>
      <w:pPr>
        <w:pStyle w:val="18"/>
        <w:ind w:firstLine="420"/>
        <w:rPr>
          <w:rFonts w:ascii="宋体" w:hAnsi="宋体"/>
        </w:rPr>
      </w:pPr>
      <w:r>
        <w:rPr>
          <w:rFonts w:ascii="宋体" w:hAnsi="宋体"/>
        </w:rPr>
        <w:t>设备本体平均无故障工作时间（MTBF）应不低于50000h；</w:t>
      </w:r>
      <w:r>
        <w:rPr>
          <w:rFonts w:hint="eastAsia" w:ascii="宋体" w:hAnsi="宋体"/>
        </w:rPr>
        <w:t>装置</w:t>
      </w:r>
      <w:r>
        <w:rPr>
          <w:rFonts w:ascii="宋体" w:hAnsi="宋体"/>
        </w:rPr>
        <w:t>（不含电源）的使用寿命应不低于10年。</w:t>
      </w:r>
    </w:p>
    <w:p>
      <w:pPr>
        <w:numPr>
          <w:ilvl w:val="1"/>
          <w:numId w:val="1"/>
        </w:numPr>
        <w:snapToGrid w:val="0"/>
        <w:spacing w:line="360" w:lineRule="auto"/>
        <w:outlineLvl w:val="1"/>
        <w:rPr>
          <w:rFonts w:ascii="宋体" w:hAnsi="宋体"/>
        </w:rPr>
      </w:pPr>
      <w:bookmarkStart w:id="127" w:name="_Toc28673"/>
      <w:bookmarkStart w:id="128" w:name="_Toc28538847"/>
      <w:r>
        <w:rPr>
          <w:rFonts w:ascii="宋体" w:hAnsi="宋体"/>
        </w:rPr>
        <w:t>型式试验</w:t>
      </w:r>
      <w:bookmarkEnd w:id="127"/>
      <w:bookmarkEnd w:id="128"/>
    </w:p>
    <w:p>
      <w:pPr>
        <w:numPr>
          <w:ilvl w:val="2"/>
          <w:numId w:val="1"/>
        </w:numPr>
        <w:tabs>
          <w:tab w:val="left" w:pos="567"/>
        </w:tabs>
        <w:snapToGrid w:val="0"/>
        <w:spacing w:line="360" w:lineRule="auto"/>
        <w:rPr>
          <w:rFonts w:ascii="宋体" w:hAnsi="宋体"/>
        </w:rPr>
      </w:pPr>
      <w:bookmarkStart w:id="129" w:name="_Toc1225"/>
      <w:bookmarkStart w:id="130" w:name="_Toc410122655"/>
      <w:r>
        <w:rPr>
          <w:rFonts w:ascii="宋体" w:hAnsi="宋体"/>
        </w:rPr>
        <w:t>型式试验的时机</w:t>
      </w:r>
      <w:bookmarkEnd w:id="129"/>
      <w:bookmarkEnd w:id="130"/>
    </w:p>
    <w:p>
      <w:pPr>
        <w:snapToGrid w:val="0"/>
        <w:spacing w:line="360" w:lineRule="auto"/>
        <w:ind w:firstLine="420" w:firstLineChars="200"/>
        <w:rPr>
          <w:rFonts w:ascii="宋体" w:hAnsi="宋体"/>
          <w:szCs w:val="21"/>
        </w:rPr>
      </w:pPr>
      <w:r>
        <w:rPr>
          <w:rFonts w:ascii="宋体" w:hAnsi="宋体"/>
          <w:szCs w:val="21"/>
        </w:rPr>
        <w:t>在以下情况下应进行型式试验：</w:t>
      </w:r>
    </w:p>
    <w:p>
      <w:pPr>
        <w:numPr>
          <w:ilvl w:val="0"/>
          <w:numId w:val="4"/>
        </w:numPr>
        <w:snapToGrid w:val="0"/>
        <w:spacing w:line="360" w:lineRule="auto"/>
        <w:rPr>
          <w:rFonts w:ascii="宋体" w:hAnsi="宋体"/>
          <w:szCs w:val="21"/>
        </w:rPr>
      </w:pPr>
      <w:r>
        <w:rPr>
          <w:rFonts w:ascii="宋体" w:hAnsi="宋体"/>
          <w:szCs w:val="21"/>
        </w:rPr>
        <w:t>新产品定型或老产品转厂生产时；</w:t>
      </w:r>
    </w:p>
    <w:p>
      <w:pPr>
        <w:numPr>
          <w:ilvl w:val="0"/>
          <w:numId w:val="4"/>
        </w:numPr>
        <w:snapToGrid w:val="0"/>
        <w:spacing w:line="360" w:lineRule="auto"/>
        <w:rPr>
          <w:rFonts w:ascii="宋体" w:hAnsi="宋体"/>
          <w:szCs w:val="21"/>
        </w:rPr>
      </w:pPr>
      <w:r>
        <w:rPr>
          <w:rFonts w:ascii="宋体" w:hAnsi="宋体"/>
          <w:szCs w:val="21"/>
        </w:rPr>
        <w:t>正式生产后，在设计、工艺材料、结构有改变，并可能影响产品性能时；</w:t>
      </w:r>
    </w:p>
    <w:p>
      <w:pPr>
        <w:numPr>
          <w:ilvl w:val="0"/>
          <w:numId w:val="4"/>
        </w:numPr>
        <w:snapToGrid w:val="0"/>
        <w:spacing w:line="360" w:lineRule="auto"/>
        <w:rPr>
          <w:rFonts w:ascii="宋体" w:hAnsi="宋体"/>
          <w:szCs w:val="21"/>
        </w:rPr>
      </w:pPr>
      <w:r>
        <w:rPr>
          <w:rFonts w:ascii="宋体" w:hAnsi="宋体"/>
          <w:szCs w:val="21"/>
        </w:rPr>
        <w:t>合同规定有型式试验要求时；</w:t>
      </w:r>
    </w:p>
    <w:p>
      <w:pPr>
        <w:numPr>
          <w:ilvl w:val="0"/>
          <w:numId w:val="4"/>
        </w:numPr>
        <w:snapToGrid w:val="0"/>
        <w:spacing w:line="360" w:lineRule="auto"/>
        <w:rPr>
          <w:rFonts w:ascii="宋体" w:hAnsi="宋体"/>
          <w:szCs w:val="21"/>
        </w:rPr>
      </w:pPr>
      <w:r>
        <w:rPr>
          <w:rFonts w:ascii="宋体" w:hAnsi="宋体"/>
          <w:szCs w:val="21"/>
        </w:rPr>
        <w:t>国家质量监督机构提出进行型式试验的要求时；</w:t>
      </w:r>
    </w:p>
    <w:p>
      <w:pPr>
        <w:numPr>
          <w:ilvl w:val="0"/>
          <w:numId w:val="4"/>
        </w:numPr>
        <w:snapToGrid w:val="0"/>
        <w:spacing w:line="360" w:lineRule="auto"/>
        <w:rPr>
          <w:rFonts w:ascii="宋体" w:hAnsi="宋体"/>
          <w:szCs w:val="21"/>
        </w:rPr>
      </w:pPr>
      <w:r>
        <w:rPr>
          <w:rFonts w:ascii="宋体" w:hAnsi="宋体"/>
          <w:szCs w:val="21"/>
        </w:rPr>
        <w:t>型式试验周期三年。</w:t>
      </w:r>
    </w:p>
    <w:p>
      <w:pPr>
        <w:keepNext/>
        <w:numPr>
          <w:ilvl w:val="2"/>
          <w:numId w:val="1"/>
        </w:numPr>
        <w:tabs>
          <w:tab w:val="left" w:pos="567"/>
        </w:tabs>
        <w:snapToGrid w:val="0"/>
        <w:spacing w:line="360" w:lineRule="auto"/>
        <w:rPr>
          <w:rFonts w:ascii="宋体" w:hAnsi="宋体"/>
        </w:rPr>
      </w:pPr>
      <w:bookmarkStart w:id="131" w:name="_Toc32222"/>
      <w:bookmarkStart w:id="132" w:name="_Toc410122656"/>
      <w:r>
        <w:rPr>
          <w:rFonts w:ascii="宋体" w:hAnsi="宋体"/>
        </w:rPr>
        <w:t>型式试验项目</w:t>
      </w:r>
      <w:bookmarkEnd w:id="131"/>
      <w:bookmarkEnd w:id="132"/>
    </w:p>
    <w:p>
      <w:pPr>
        <w:snapToGrid w:val="0"/>
        <w:spacing w:line="360" w:lineRule="auto"/>
        <w:ind w:firstLine="420" w:firstLineChars="200"/>
        <w:rPr>
          <w:rFonts w:ascii="Times New Roman" w:hAnsi="Times New Roman" w:eastAsia="黑体"/>
          <w:szCs w:val="21"/>
        </w:rPr>
      </w:pPr>
      <w:r>
        <w:rPr>
          <w:rFonts w:ascii="Times New Roman" w:hAnsi="Times New Roman"/>
          <w:szCs w:val="21"/>
        </w:rPr>
        <w:t>型式试验要求如表</w:t>
      </w:r>
      <w:r>
        <w:rPr>
          <w:rFonts w:hint="eastAsia" w:ascii="Times New Roman" w:hAnsi="Times New Roman"/>
          <w:szCs w:val="21"/>
          <w:lang w:val="en-US" w:eastAsia="zh-CN"/>
        </w:rPr>
        <w:t>7</w:t>
      </w:r>
      <w:r>
        <w:rPr>
          <w:rFonts w:ascii="Times New Roman" w:hAnsi="Times New Roman"/>
          <w:szCs w:val="21"/>
        </w:rPr>
        <w:t>-1所示，主要检验功能以及可靠性，详细功能及可靠性清单详见</w:t>
      </w:r>
      <w:bookmarkStart w:id="133" w:name="_Toc283142574"/>
      <w:r>
        <w:rPr>
          <w:rFonts w:ascii="Times New Roman" w:hAnsi="Times New Roman"/>
          <w:szCs w:val="21"/>
        </w:rPr>
        <w:t>专用部分--技术参数和性能要求响应表</w:t>
      </w:r>
      <w:bookmarkEnd w:id="133"/>
      <w:r>
        <w:rPr>
          <w:rFonts w:ascii="Times New Roman" w:hAnsi="Times New Roman"/>
          <w:szCs w:val="21"/>
        </w:rPr>
        <w:t>。</w:t>
      </w:r>
    </w:p>
    <w:p>
      <w:pPr>
        <w:keepNext/>
        <w:snapToGrid w:val="0"/>
        <w:spacing w:line="360" w:lineRule="auto"/>
        <w:jc w:val="center"/>
        <w:rPr>
          <w:rFonts w:ascii="Times New Roman" w:hAnsi="Times New Roman"/>
          <w:snapToGrid w:val="0"/>
        </w:rPr>
      </w:pPr>
      <w:bookmarkStart w:id="134" w:name="OLE_LINK24"/>
      <w:r>
        <w:rPr>
          <w:rFonts w:ascii="Times New Roman" w:hAnsi="Times New Roman" w:eastAsia="黑体"/>
          <w:snapToGrid w:val="0"/>
          <w:kern w:val="0"/>
          <w:szCs w:val="21"/>
        </w:rPr>
        <w:t>表</w:t>
      </w:r>
      <w:r>
        <w:rPr>
          <w:rFonts w:hint="eastAsia" w:ascii="Times New Roman" w:hAnsi="Times New Roman" w:eastAsia="黑体"/>
          <w:snapToGrid w:val="0"/>
          <w:kern w:val="0"/>
          <w:szCs w:val="21"/>
          <w:lang w:val="en-US" w:eastAsia="zh-CN"/>
        </w:rPr>
        <w:t>7</w:t>
      </w:r>
      <w:r>
        <w:rPr>
          <w:rFonts w:ascii="Times New Roman" w:hAnsi="Times New Roman" w:eastAsia="黑体"/>
          <w:snapToGrid w:val="0"/>
          <w:kern w:val="0"/>
          <w:szCs w:val="21"/>
        </w:rPr>
        <w:t>-1试验项目及试验要求</w:t>
      </w:r>
      <w:bookmarkEnd w:id="134"/>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18"/>
        <w:gridCol w:w="1498"/>
        <w:gridCol w:w="3635"/>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18"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eastAsia="黑体"/>
                <w:sz w:val="18"/>
                <w:szCs w:val="18"/>
                <w:highlight w:val="none"/>
              </w:rPr>
            </w:pPr>
            <w:r>
              <w:rPr>
                <w:rFonts w:ascii="Times New Roman" w:hAnsi="Times New Roman" w:eastAsia="黑体"/>
                <w:sz w:val="18"/>
                <w:szCs w:val="18"/>
                <w:highlight w:val="none"/>
              </w:rPr>
              <w:t>序号</w:t>
            </w:r>
          </w:p>
          <w:p>
            <w:pPr>
              <w:adjustRightInd w:val="0"/>
              <w:snapToGrid w:val="0"/>
              <w:jc w:val="center"/>
              <w:textAlignment w:val="center"/>
              <w:rPr>
                <w:rFonts w:ascii="Times New Roman" w:hAnsi="Times New Roman" w:eastAsia="黑体"/>
                <w:sz w:val="18"/>
                <w:szCs w:val="18"/>
                <w:highlight w:val="none"/>
              </w:rPr>
            </w:pPr>
            <w:r>
              <w:rPr>
                <w:rFonts w:ascii="Times New Roman" w:hAnsi="Times New Roman" w:eastAsia="黑体"/>
                <w:sz w:val="18"/>
                <w:szCs w:val="18"/>
                <w:highlight w:val="none"/>
              </w:rPr>
              <w:t>及名称</w:t>
            </w:r>
          </w:p>
        </w:tc>
        <w:tc>
          <w:tcPr>
            <w:tcW w:w="1498"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rPr>
              <w:t>项目</w:t>
            </w:r>
          </w:p>
        </w:tc>
        <w:tc>
          <w:tcPr>
            <w:tcW w:w="3635"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rPr>
              <w:t>项目单位要求值</w:t>
            </w:r>
          </w:p>
        </w:tc>
        <w:tc>
          <w:tcPr>
            <w:tcW w:w="2192"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rPr>
              <w:t>投标人保证值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18" w:type="dxa"/>
            <w:vMerge w:val="restart"/>
            <w:tcBorders>
              <w:top w:val="single" w:color="auto" w:sz="4" w:space="0"/>
              <w:left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eastAsia="黑体"/>
                <w:sz w:val="18"/>
                <w:szCs w:val="18"/>
                <w:highlight w:val="none"/>
              </w:rPr>
            </w:pPr>
          </w:p>
          <w:p>
            <w:pPr>
              <w:adjustRightInd w:val="0"/>
              <w:snapToGrid w:val="0"/>
              <w:jc w:val="center"/>
              <w:textAlignment w:val="center"/>
              <w:rPr>
                <w:rFonts w:ascii="Times New Roman" w:hAnsi="Times New Roman" w:eastAsia="黑体"/>
                <w:sz w:val="18"/>
                <w:szCs w:val="18"/>
                <w:highlight w:val="none"/>
              </w:rPr>
            </w:pPr>
            <w:r>
              <w:rPr>
                <w:rFonts w:ascii="Times New Roman" w:hAnsi="Times New Roman" w:eastAsia="黑体"/>
                <w:sz w:val="18"/>
                <w:szCs w:val="18"/>
                <w:highlight w:val="none"/>
              </w:rPr>
              <w:t>1．EMC相关试验</w:t>
            </w:r>
          </w:p>
        </w:tc>
        <w:tc>
          <w:tcPr>
            <w:tcW w:w="1498"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快速瞬变电脉冲群抗扰性试验（EFT/B）</w:t>
            </w:r>
          </w:p>
        </w:tc>
        <w:tc>
          <w:tcPr>
            <w:tcW w:w="3635"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符合</w:t>
            </w:r>
            <w:r>
              <w:rPr>
                <w:rFonts w:ascii="Times New Roman" w:hAnsi="Times New Roman"/>
                <w:sz w:val="18"/>
                <w:szCs w:val="18"/>
                <w:highlight w:val="none"/>
                <w:lang w:val="en-US" w:eastAsia="zh-CN"/>
              </w:rPr>
              <w:t>IEC 61000-4-4</w:t>
            </w:r>
            <w:r>
              <w:rPr>
                <w:rFonts w:hint="eastAsia" w:ascii="Times New Roman" w:hAnsi="Times New Roman"/>
                <w:sz w:val="18"/>
                <w:szCs w:val="18"/>
                <w:highlight w:val="none"/>
                <w:lang w:val="en-US" w:eastAsia="zh-CN"/>
              </w:rPr>
              <w:t>或GB/T 17626.4标准。</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使用电磁兼容设备给电源施加干扰，干扰期间进行装置功能性能测试，要求装置抗干扰性能达到IV级B类:AC电源端口：±1kV</w:t>
            </w:r>
            <w:r>
              <w:rPr>
                <w:rFonts w:hint="eastAsia" w:ascii="Times New Roman" w:hAnsi="Times New Roman"/>
                <w:sz w:val="18"/>
                <w:szCs w:val="18"/>
                <w:highlight w:val="none"/>
                <w:lang w:val="en-US" w:eastAsia="zh-CN"/>
              </w:rPr>
              <w:t>，</w:t>
            </w:r>
            <w:r>
              <w:rPr>
                <w:rFonts w:ascii="Times New Roman" w:hAnsi="Times New Roman"/>
                <w:sz w:val="18"/>
                <w:szCs w:val="18"/>
                <w:highlight w:val="none"/>
                <w:lang w:val="en-US" w:eastAsia="zh-CN"/>
              </w:rPr>
              <w:t>网络线：±0.5kV</w:t>
            </w:r>
            <w:r>
              <w:rPr>
                <w:rFonts w:hint="eastAsia" w:ascii="Times New Roman" w:hAnsi="Times New Roman"/>
                <w:sz w:val="18"/>
                <w:szCs w:val="18"/>
                <w:highlight w:val="none"/>
                <w:lang w:val="en-US" w:eastAsia="zh-CN"/>
              </w:rPr>
              <w:t>，</w:t>
            </w:r>
            <w:r>
              <w:rPr>
                <w:rFonts w:ascii="Times New Roman" w:hAnsi="Times New Roman"/>
                <w:sz w:val="18"/>
                <w:szCs w:val="18"/>
                <w:highlight w:val="none"/>
                <w:lang w:val="en-US" w:eastAsia="zh-CN"/>
              </w:rPr>
              <w:t>串口线：±0.5kV</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重复频率：5kHz;100kHz性能判据：B</w:t>
            </w:r>
          </w:p>
        </w:tc>
        <w:tc>
          <w:tcPr>
            <w:tcW w:w="2192"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AC电源端口：±1kV</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网络线：±0.5kV</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串口线：±0.5kV</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重复频率：5kHz;100kHz</w:t>
            </w:r>
          </w:p>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lang w:val="en-US" w:eastAsia="zh-CN"/>
              </w:rPr>
              <w:t>性能判据：B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18" w:type="dxa"/>
            <w:vMerge w:val="continue"/>
            <w:tcBorders>
              <w:left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eastAsia="黑体"/>
                <w:sz w:val="18"/>
                <w:szCs w:val="18"/>
                <w:highlight w:val="none"/>
              </w:rPr>
            </w:pPr>
          </w:p>
        </w:tc>
        <w:tc>
          <w:tcPr>
            <w:tcW w:w="1498"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静电放电抗扰性试验（ESD）</w:t>
            </w:r>
          </w:p>
        </w:tc>
        <w:tc>
          <w:tcPr>
            <w:tcW w:w="3635"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符合IEC 61000-4-2</w:t>
            </w:r>
            <w:r>
              <w:rPr>
                <w:rFonts w:hint="eastAsia" w:ascii="Times New Roman" w:hAnsi="Times New Roman"/>
                <w:sz w:val="18"/>
                <w:szCs w:val="18"/>
                <w:highlight w:val="none"/>
                <w:lang w:val="en-US" w:eastAsia="zh-CN"/>
              </w:rPr>
              <w:t>或GB/T 17626.2</w:t>
            </w:r>
            <w:r>
              <w:rPr>
                <w:rFonts w:ascii="Times New Roman" w:hAnsi="Times New Roman"/>
                <w:sz w:val="18"/>
                <w:szCs w:val="18"/>
                <w:highlight w:val="none"/>
                <w:lang w:val="en-US" w:eastAsia="zh-CN"/>
              </w:rPr>
              <w:t>标准。</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使用电磁兼容设备给电源施加干扰，干扰期间进行装置功能性能测试，要求装置抗干扰性能达到IV级B类:接触放电：±4kV</w:t>
            </w:r>
            <w:r>
              <w:rPr>
                <w:rFonts w:hint="eastAsia" w:ascii="Times New Roman" w:hAnsi="Times New Roman"/>
                <w:sz w:val="18"/>
                <w:szCs w:val="18"/>
                <w:highlight w:val="none"/>
                <w:lang w:val="en-US" w:eastAsia="zh-CN"/>
              </w:rPr>
              <w:t>，</w:t>
            </w:r>
            <w:r>
              <w:rPr>
                <w:rFonts w:ascii="Times New Roman" w:hAnsi="Times New Roman"/>
                <w:sz w:val="18"/>
                <w:szCs w:val="18"/>
                <w:highlight w:val="none"/>
                <w:lang w:val="en-US" w:eastAsia="zh-CN"/>
              </w:rPr>
              <w:t>空气放电：±8kV性能判据：B</w:t>
            </w:r>
          </w:p>
        </w:tc>
        <w:tc>
          <w:tcPr>
            <w:tcW w:w="2192"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接触放电：±4kV</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空气放电：±8kV</w:t>
            </w:r>
          </w:p>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lang w:val="en-US" w:eastAsia="zh-CN"/>
              </w:rPr>
              <w:t>性能判据：B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18" w:type="dxa"/>
            <w:vMerge w:val="continue"/>
            <w:tcBorders>
              <w:left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eastAsia="黑体"/>
                <w:sz w:val="18"/>
                <w:szCs w:val="18"/>
                <w:highlight w:val="none"/>
              </w:rPr>
            </w:pPr>
          </w:p>
        </w:tc>
        <w:tc>
          <w:tcPr>
            <w:tcW w:w="1498"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trike w:val="0"/>
                <w:dstrike w:val="0"/>
                <w:sz w:val="18"/>
                <w:szCs w:val="18"/>
                <w:highlight w:val="none"/>
                <w:lang w:val="en-US" w:eastAsia="zh-CN"/>
              </w:rPr>
            </w:pPr>
            <w:r>
              <w:rPr>
                <w:rFonts w:ascii="Times New Roman" w:hAnsi="Times New Roman"/>
                <w:strike w:val="0"/>
                <w:dstrike w:val="0"/>
                <w:sz w:val="18"/>
                <w:szCs w:val="18"/>
                <w:highlight w:val="none"/>
                <w:lang w:val="en-US" w:eastAsia="zh-CN"/>
              </w:rPr>
              <w:t>传导骚扰抗扰性试验（CS）</w:t>
            </w:r>
          </w:p>
        </w:tc>
        <w:tc>
          <w:tcPr>
            <w:tcW w:w="3635"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trike w:val="0"/>
                <w:dstrike w:val="0"/>
                <w:sz w:val="18"/>
                <w:szCs w:val="18"/>
                <w:highlight w:val="none"/>
                <w:lang w:val="en-US" w:eastAsia="zh-CN"/>
              </w:rPr>
            </w:pPr>
            <w:r>
              <w:rPr>
                <w:rFonts w:hint="eastAsia" w:ascii="Times New Roman" w:hAnsi="Times New Roman"/>
                <w:strike w:val="0"/>
                <w:dstrike w:val="0"/>
                <w:sz w:val="18"/>
                <w:szCs w:val="18"/>
                <w:highlight w:val="none"/>
                <w:lang w:val="en-US" w:eastAsia="zh-CN"/>
              </w:rPr>
              <w:t>符合</w:t>
            </w:r>
            <w:r>
              <w:rPr>
                <w:rFonts w:ascii="Times New Roman" w:hAnsi="Times New Roman"/>
                <w:strike w:val="0"/>
                <w:dstrike w:val="0"/>
                <w:sz w:val="18"/>
                <w:szCs w:val="18"/>
                <w:highlight w:val="none"/>
                <w:lang w:val="en-US" w:eastAsia="zh-CN"/>
              </w:rPr>
              <w:t>IEC 61000-4-6</w:t>
            </w:r>
            <w:r>
              <w:rPr>
                <w:rFonts w:hint="eastAsia" w:ascii="Times New Roman" w:hAnsi="Times New Roman"/>
                <w:strike w:val="0"/>
                <w:dstrike w:val="0"/>
                <w:sz w:val="18"/>
                <w:szCs w:val="18"/>
                <w:highlight w:val="none"/>
                <w:lang w:val="en-US" w:eastAsia="zh-CN"/>
              </w:rPr>
              <w:t>或GB/T17626.6标准</w:t>
            </w:r>
          </w:p>
        </w:tc>
        <w:tc>
          <w:tcPr>
            <w:tcW w:w="2192"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trike w:val="0"/>
                <w:dstrike w:val="0"/>
                <w:sz w:val="18"/>
                <w:szCs w:val="18"/>
                <w:highlight w:val="none"/>
              </w:rPr>
            </w:pPr>
            <w:r>
              <w:rPr>
                <w:rFonts w:hint="eastAsia" w:ascii="Times New Roman" w:hAnsi="Times New Roman"/>
                <w:strike w:val="0"/>
                <w:dstrike w:val="0"/>
                <w:sz w:val="18"/>
                <w:szCs w:val="18"/>
                <w:highlight w:val="none"/>
                <w:lang w:val="en-US" w:eastAsia="zh-CN"/>
              </w:rPr>
              <w:t>符合</w:t>
            </w:r>
            <w:r>
              <w:rPr>
                <w:rFonts w:ascii="Times New Roman" w:hAnsi="Times New Roman"/>
                <w:strike w:val="0"/>
                <w:dstrike w:val="0"/>
                <w:sz w:val="18"/>
                <w:szCs w:val="18"/>
                <w:highlight w:val="none"/>
                <w:lang w:val="en-US" w:eastAsia="zh-CN"/>
              </w:rPr>
              <w:t>IEC 61000-4-6</w:t>
            </w:r>
            <w:r>
              <w:rPr>
                <w:rFonts w:hint="eastAsia" w:ascii="Times New Roman" w:hAnsi="Times New Roman"/>
                <w:strike w:val="0"/>
                <w:dstrike w:val="0"/>
                <w:sz w:val="18"/>
                <w:szCs w:val="18"/>
                <w:highlight w:val="none"/>
                <w:lang w:val="en-US" w:eastAsia="zh-CN"/>
              </w:rPr>
              <w:t>或GB/T17626.6标准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18" w:type="dxa"/>
            <w:vMerge w:val="continue"/>
            <w:tcBorders>
              <w:left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eastAsia="黑体"/>
                <w:sz w:val="18"/>
                <w:szCs w:val="18"/>
                <w:highlight w:val="none"/>
              </w:rPr>
            </w:pPr>
          </w:p>
        </w:tc>
        <w:tc>
          <w:tcPr>
            <w:tcW w:w="1498"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trike w:val="0"/>
                <w:dstrike w:val="0"/>
                <w:sz w:val="18"/>
                <w:szCs w:val="18"/>
                <w:highlight w:val="none"/>
                <w:lang w:val="en-US" w:eastAsia="zh-CN"/>
              </w:rPr>
            </w:pPr>
            <w:r>
              <w:rPr>
                <w:rFonts w:ascii="Times New Roman" w:hAnsi="Times New Roman"/>
                <w:strike w:val="0"/>
                <w:dstrike w:val="0"/>
                <w:sz w:val="18"/>
                <w:szCs w:val="18"/>
                <w:highlight w:val="none"/>
                <w:lang w:val="en-US" w:eastAsia="zh-CN"/>
              </w:rPr>
              <w:t>射频电磁场抗扰性试验（RS）</w:t>
            </w:r>
          </w:p>
        </w:tc>
        <w:tc>
          <w:tcPr>
            <w:tcW w:w="3635"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trike w:val="0"/>
                <w:dstrike w:val="0"/>
                <w:sz w:val="18"/>
                <w:szCs w:val="18"/>
                <w:highlight w:val="none"/>
                <w:lang w:val="en-US" w:eastAsia="zh-CN"/>
              </w:rPr>
            </w:pPr>
            <w:r>
              <w:rPr>
                <w:rFonts w:hint="eastAsia" w:ascii="Times New Roman" w:hAnsi="Times New Roman"/>
                <w:strike w:val="0"/>
                <w:dstrike w:val="0"/>
                <w:sz w:val="18"/>
                <w:szCs w:val="18"/>
                <w:highlight w:val="none"/>
                <w:lang w:val="en-US" w:eastAsia="zh-CN"/>
              </w:rPr>
              <w:t>符合</w:t>
            </w:r>
            <w:r>
              <w:rPr>
                <w:rFonts w:ascii="Times New Roman" w:hAnsi="Times New Roman"/>
                <w:strike w:val="0"/>
                <w:dstrike w:val="0"/>
                <w:sz w:val="18"/>
                <w:szCs w:val="18"/>
                <w:highlight w:val="none"/>
                <w:lang w:val="en-US" w:eastAsia="zh-CN"/>
              </w:rPr>
              <w:t>IEC 61000-4-3</w:t>
            </w:r>
            <w:r>
              <w:rPr>
                <w:rFonts w:hint="eastAsia" w:ascii="Times New Roman" w:hAnsi="Times New Roman"/>
                <w:strike w:val="0"/>
                <w:dstrike w:val="0"/>
                <w:sz w:val="18"/>
                <w:szCs w:val="18"/>
                <w:highlight w:val="none"/>
                <w:lang w:val="en-US" w:eastAsia="zh-CN"/>
              </w:rPr>
              <w:t>或GB/T17626.3标准</w:t>
            </w:r>
          </w:p>
        </w:tc>
        <w:tc>
          <w:tcPr>
            <w:tcW w:w="2192"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trike w:val="0"/>
                <w:dstrike w:val="0"/>
                <w:sz w:val="18"/>
                <w:szCs w:val="18"/>
                <w:highlight w:val="none"/>
              </w:rPr>
            </w:pPr>
            <w:r>
              <w:rPr>
                <w:rFonts w:hint="eastAsia" w:ascii="Times New Roman" w:hAnsi="Times New Roman"/>
                <w:strike w:val="0"/>
                <w:dstrike w:val="0"/>
                <w:sz w:val="18"/>
                <w:szCs w:val="18"/>
                <w:highlight w:val="none"/>
                <w:lang w:val="en-US" w:eastAsia="zh-CN"/>
              </w:rPr>
              <w:t>符合</w:t>
            </w:r>
            <w:r>
              <w:rPr>
                <w:rFonts w:ascii="Times New Roman" w:hAnsi="Times New Roman"/>
                <w:strike w:val="0"/>
                <w:dstrike w:val="0"/>
                <w:sz w:val="18"/>
                <w:szCs w:val="18"/>
                <w:highlight w:val="none"/>
                <w:lang w:val="en-US" w:eastAsia="zh-CN"/>
              </w:rPr>
              <w:t>IEC 61000-4-3</w:t>
            </w:r>
            <w:r>
              <w:rPr>
                <w:rFonts w:hint="eastAsia" w:ascii="Times New Roman" w:hAnsi="Times New Roman"/>
                <w:strike w:val="0"/>
                <w:dstrike w:val="0"/>
                <w:sz w:val="18"/>
                <w:szCs w:val="18"/>
                <w:highlight w:val="none"/>
                <w:lang w:val="en-US" w:eastAsia="zh-CN"/>
              </w:rPr>
              <w:t>或GB/T17626.3标准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18" w:type="dxa"/>
            <w:vMerge w:val="continue"/>
            <w:tcBorders>
              <w:left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eastAsia="黑体"/>
                <w:sz w:val="18"/>
                <w:szCs w:val="18"/>
                <w:highlight w:val="none"/>
              </w:rPr>
            </w:pPr>
          </w:p>
        </w:tc>
        <w:tc>
          <w:tcPr>
            <w:tcW w:w="1498"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浪涌（冲击）抗扰度试验</w:t>
            </w:r>
          </w:p>
        </w:tc>
        <w:tc>
          <w:tcPr>
            <w:tcW w:w="3635"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符合</w:t>
            </w:r>
            <w:r>
              <w:rPr>
                <w:rFonts w:ascii="Times New Roman" w:hAnsi="Times New Roman"/>
                <w:sz w:val="18"/>
                <w:szCs w:val="18"/>
                <w:highlight w:val="none"/>
                <w:lang w:val="en-US" w:eastAsia="zh-CN"/>
              </w:rPr>
              <w:t>IEC 61000-4-5</w:t>
            </w:r>
            <w:r>
              <w:rPr>
                <w:rFonts w:hint="eastAsia" w:ascii="Times New Roman" w:hAnsi="Times New Roman"/>
                <w:sz w:val="18"/>
                <w:szCs w:val="18"/>
                <w:highlight w:val="none"/>
                <w:lang w:val="en-US" w:eastAsia="zh-CN"/>
              </w:rPr>
              <w:t>或GB/T 17626.5标准</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使用电磁兼容设备给电源施加干扰，干扰期间进行装置功能性能测试，要求装置抗干扰性能达到IV级B类: AC电源端口：线对线：±1kV</w:t>
            </w:r>
            <w:r>
              <w:rPr>
                <w:rFonts w:hint="eastAsia" w:ascii="Times New Roman" w:hAnsi="Times New Roman"/>
                <w:sz w:val="18"/>
                <w:szCs w:val="18"/>
                <w:highlight w:val="none"/>
                <w:lang w:val="en-US" w:eastAsia="zh-CN"/>
              </w:rPr>
              <w:t>，</w:t>
            </w:r>
            <w:r>
              <w:rPr>
                <w:rFonts w:ascii="Times New Roman" w:hAnsi="Times New Roman"/>
                <w:sz w:val="18"/>
                <w:szCs w:val="18"/>
                <w:highlight w:val="none"/>
                <w:lang w:val="en-US" w:eastAsia="zh-CN"/>
              </w:rPr>
              <w:t>线对地：±2kV</w:t>
            </w:r>
            <w:r>
              <w:rPr>
                <w:rFonts w:hint="eastAsia" w:ascii="Times New Roman" w:hAnsi="Times New Roman"/>
                <w:sz w:val="18"/>
                <w:szCs w:val="18"/>
                <w:highlight w:val="none"/>
                <w:lang w:val="en-US" w:eastAsia="zh-CN"/>
              </w:rPr>
              <w:t>，</w:t>
            </w:r>
            <w:r>
              <w:rPr>
                <w:rFonts w:ascii="Times New Roman" w:hAnsi="Times New Roman"/>
                <w:sz w:val="18"/>
                <w:szCs w:val="18"/>
                <w:highlight w:val="none"/>
                <w:lang w:val="en-US" w:eastAsia="zh-CN"/>
              </w:rPr>
              <w:t>网络端口：±0.5kV</w:t>
            </w:r>
            <w:r>
              <w:rPr>
                <w:rFonts w:hint="eastAsia" w:ascii="Times New Roman" w:hAnsi="Times New Roman"/>
                <w:sz w:val="18"/>
                <w:szCs w:val="18"/>
                <w:highlight w:val="none"/>
                <w:lang w:val="en-US" w:eastAsia="zh-CN"/>
              </w:rPr>
              <w:t>，</w:t>
            </w:r>
            <w:r>
              <w:rPr>
                <w:rFonts w:ascii="Times New Roman" w:hAnsi="Times New Roman"/>
                <w:sz w:val="18"/>
                <w:szCs w:val="18"/>
                <w:highlight w:val="none"/>
                <w:lang w:val="en-US" w:eastAsia="zh-CN"/>
              </w:rPr>
              <w:t>串口线：±0.5kV性能判据：B</w:t>
            </w:r>
          </w:p>
        </w:tc>
        <w:tc>
          <w:tcPr>
            <w:tcW w:w="2192"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 xml:space="preserve"> </w:t>
            </w:r>
            <w:r>
              <w:rPr>
                <w:rFonts w:hint="eastAsia" w:ascii="Times New Roman" w:hAnsi="Times New Roman"/>
                <w:sz w:val="18"/>
                <w:szCs w:val="18"/>
                <w:highlight w:val="none"/>
                <w:lang w:val="en-US" w:eastAsia="zh-CN"/>
              </w:rPr>
              <w:t>符合</w:t>
            </w:r>
            <w:r>
              <w:rPr>
                <w:rFonts w:ascii="Times New Roman" w:hAnsi="Times New Roman"/>
                <w:sz w:val="18"/>
                <w:szCs w:val="18"/>
                <w:highlight w:val="none"/>
                <w:lang w:val="en-US" w:eastAsia="zh-CN"/>
              </w:rPr>
              <w:t>IEC 61000-4-5</w:t>
            </w:r>
            <w:r>
              <w:rPr>
                <w:rFonts w:hint="eastAsia" w:ascii="Times New Roman" w:hAnsi="Times New Roman"/>
                <w:sz w:val="18"/>
                <w:szCs w:val="18"/>
                <w:highlight w:val="none"/>
                <w:lang w:val="en-US" w:eastAsia="zh-CN"/>
              </w:rPr>
              <w:t>或GB/T 17626.5标准</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AC电源端口：</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线对线：±1kV</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线对地：±2kV</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网络端口：±0.5kV</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串口线：±0.5kV</w:t>
            </w:r>
          </w:p>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lang w:val="en-US" w:eastAsia="zh-CN"/>
              </w:rPr>
              <w:t>性能判据：B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18" w:type="dxa"/>
            <w:vMerge w:val="continue"/>
            <w:tcBorders>
              <w:left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eastAsia="黑体"/>
                <w:sz w:val="18"/>
                <w:szCs w:val="18"/>
                <w:highlight w:val="none"/>
              </w:rPr>
            </w:pPr>
          </w:p>
        </w:tc>
        <w:tc>
          <w:tcPr>
            <w:tcW w:w="1498"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交流电源暂降、暂时中断抗扰度</w:t>
            </w:r>
          </w:p>
        </w:tc>
        <w:tc>
          <w:tcPr>
            <w:tcW w:w="3635"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符合IEC 61000-4-11</w:t>
            </w:r>
            <w:r>
              <w:rPr>
                <w:rFonts w:hint="eastAsia" w:ascii="Times New Roman" w:hAnsi="Times New Roman"/>
                <w:sz w:val="18"/>
                <w:szCs w:val="18"/>
                <w:highlight w:val="none"/>
                <w:lang w:val="en-US" w:eastAsia="zh-CN"/>
              </w:rPr>
              <w:t>或GB/T 17626.11</w:t>
            </w:r>
            <w:r>
              <w:rPr>
                <w:rFonts w:ascii="Times New Roman" w:hAnsi="Times New Roman"/>
                <w:sz w:val="18"/>
                <w:szCs w:val="18"/>
                <w:highlight w:val="none"/>
                <w:lang w:val="en-US" w:eastAsia="zh-CN"/>
              </w:rPr>
              <w:t>标准</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使用电磁兼容设备给电源施加干扰，干扰期间进行装置功能性能测试，要求装置抗干扰性能达到</w:t>
            </w:r>
          </w:p>
          <w:p>
            <w:pPr>
              <w:adjustRightInd w:val="0"/>
              <w:snapToGrid w:val="0"/>
              <w:jc w:val="center"/>
              <w:textAlignment w:val="center"/>
              <w:rPr>
                <w:rFonts w:hint="eastAsia" w:ascii="Times New Roman" w:hAnsi="Times New Roman"/>
                <w:sz w:val="18"/>
                <w:szCs w:val="18"/>
                <w:highlight w:val="none"/>
                <w:lang w:val="en-US" w:eastAsia="zh-CN"/>
              </w:rPr>
            </w:pPr>
            <w:r>
              <w:rPr>
                <w:rFonts w:ascii="Times New Roman" w:hAnsi="Times New Roman"/>
                <w:sz w:val="18"/>
                <w:szCs w:val="18"/>
                <w:highlight w:val="none"/>
                <w:lang w:val="en-US" w:eastAsia="zh-CN"/>
              </w:rPr>
              <w:t>电压暂降：</w:t>
            </w:r>
          </w:p>
          <w:p>
            <w:pPr>
              <w:adjustRightInd w:val="0"/>
              <w:snapToGrid w:val="0"/>
              <w:jc w:val="center"/>
              <w:textAlignment w:val="center"/>
              <w:rPr>
                <w:rFonts w:hint="eastAsia" w:ascii="Times New Roman" w:hAnsi="Times New Roman"/>
                <w:sz w:val="18"/>
                <w:szCs w:val="18"/>
                <w:highlight w:val="none"/>
                <w:lang w:val="en-US" w:eastAsia="zh-CN"/>
              </w:rPr>
            </w:pPr>
            <w:r>
              <w:rPr>
                <w:rFonts w:ascii="Times New Roman" w:hAnsi="Times New Roman"/>
                <w:sz w:val="18"/>
                <w:szCs w:val="18"/>
                <w:highlight w:val="none"/>
                <w:lang w:val="en-US" w:eastAsia="zh-CN"/>
              </w:rPr>
              <w:t>0%，持续时间：1 cycles；</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70%，持续时间：25 cycles；</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性能判据：B</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短时中断：</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0%，持续时间：250 cycles 性能判据：C</w:t>
            </w:r>
          </w:p>
        </w:tc>
        <w:tc>
          <w:tcPr>
            <w:tcW w:w="2192"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hint="eastAsia" w:ascii="Times New Roman" w:hAnsi="Times New Roman"/>
                <w:sz w:val="18"/>
                <w:szCs w:val="18"/>
                <w:highlight w:val="none"/>
                <w:lang w:val="en-US" w:eastAsia="zh-CN"/>
              </w:rPr>
            </w:pPr>
            <w:r>
              <w:rPr>
                <w:rFonts w:ascii="Times New Roman" w:hAnsi="Times New Roman"/>
                <w:sz w:val="18"/>
                <w:szCs w:val="18"/>
                <w:highlight w:val="none"/>
                <w:lang w:val="en-US" w:eastAsia="zh-CN"/>
              </w:rPr>
              <w:t>电压暂降：</w:t>
            </w:r>
          </w:p>
          <w:p>
            <w:pPr>
              <w:adjustRightInd w:val="0"/>
              <w:snapToGrid w:val="0"/>
              <w:jc w:val="center"/>
              <w:textAlignment w:val="center"/>
              <w:rPr>
                <w:rFonts w:hint="eastAsia" w:ascii="Times New Roman" w:hAnsi="Times New Roman"/>
                <w:sz w:val="18"/>
                <w:szCs w:val="18"/>
                <w:highlight w:val="none"/>
                <w:lang w:val="en-US" w:eastAsia="zh-CN"/>
              </w:rPr>
            </w:pPr>
            <w:r>
              <w:rPr>
                <w:rFonts w:ascii="Times New Roman" w:hAnsi="Times New Roman"/>
                <w:sz w:val="18"/>
                <w:szCs w:val="18"/>
                <w:highlight w:val="none"/>
                <w:lang w:val="en-US" w:eastAsia="zh-CN"/>
              </w:rPr>
              <w:t>0%，持续时间：1 cycles；</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70%，持续时间：25 cycles；</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性能判据：B</w:t>
            </w:r>
          </w:p>
          <w:p>
            <w:pPr>
              <w:adjustRightInd w:val="0"/>
              <w:snapToGrid w:val="0"/>
              <w:jc w:val="center"/>
              <w:textAlignment w:val="center"/>
              <w:rPr>
                <w:rFonts w:ascii="Times New Roman" w:hAnsi="Times New Roman"/>
                <w:sz w:val="18"/>
                <w:szCs w:val="18"/>
                <w:highlight w:val="none"/>
                <w:lang w:val="en-US" w:eastAsia="zh-CN"/>
              </w:rPr>
            </w:pPr>
            <w:r>
              <w:rPr>
                <w:rFonts w:ascii="Times New Roman" w:hAnsi="Times New Roman"/>
                <w:sz w:val="18"/>
                <w:szCs w:val="18"/>
                <w:highlight w:val="none"/>
                <w:lang w:val="en-US" w:eastAsia="zh-CN"/>
              </w:rPr>
              <w:t>短时中断：</w:t>
            </w:r>
          </w:p>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lang w:val="en-US" w:eastAsia="zh-CN"/>
              </w:rPr>
              <w:t>0%，持续时间：250 cycles 性能判据：C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18" w:type="dxa"/>
            <w:vMerge w:val="restart"/>
            <w:tcBorders>
              <w:top w:val="single" w:color="auto" w:sz="4" w:space="0"/>
              <w:left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eastAsia="黑体"/>
                <w:sz w:val="18"/>
                <w:szCs w:val="18"/>
                <w:highlight w:val="none"/>
              </w:rPr>
            </w:pPr>
            <w:r>
              <w:rPr>
                <w:rFonts w:hint="eastAsia" w:ascii="Times New Roman" w:hAnsi="Times New Roman" w:eastAsia="黑体"/>
                <w:sz w:val="18"/>
                <w:szCs w:val="18"/>
                <w:highlight w:val="none"/>
              </w:rPr>
              <w:t>2</w:t>
            </w:r>
            <w:r>
              <w:rPr>
                <w:rFonts w:ascii="Times New Roman" w:hAnsi="Times New Roman" w:eastAsia="黑体"/>
                <w:sz w:val="18"/>
                <w:szCs w:val="18"/>
                <w:highlight w:val="none"/>
              </w:rPr>
              <w:t>．防雷（冲击电流8/20us，正负级各5次）</w:t>
            </w:r>
          </w:p>
        </w:tc>
        <w:tc>
          <w:tcPr>
            <w:tcW w:w="1498"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rPr>
              <w:t>IO口</w:t>
            </w:r>
          </w:p>
        </w:tc>
        <w:tc>
          <w:tcPr>
            <w:tcW w:w="3635"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rPr>
              <w:t>差模3kA，共模3kA</w:t>
            </w:r>
          </w:p>
        </w:tc>
        <w:tc>
          <w:tcPr>
            <w:tcW w:w="2192"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rPr>
              <w:t>差模3kA，共模3kA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18" w:type="dxa"/>
            <w:vMerge w:val="continue"/>
            <w:tcBorders>
              <w:left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eastAsia="黑体"/>
                <w:sz w:val="18"/>
                <w:szCs w:val="18"/>
                <w:highlight w:val="none"/>
              </w:rPr>
            </w:pPr>
          </w:p>
        </w:tc>
        <w:tc>
          <w:tcPr>
            <w:tcW w:w="1498"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rPr>
              <w:t>串口、以太网口</w:t>
            </w:r>
          </w:p>
        </w:tc>
        <w:tc>
          <w:tcPr>
            <w:tcW w:w="3635"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rPr>
              <w:t>差模3kA，共模3kA</w:t>
            </w:r>
          </w:p>
        </w:tc>
        <w:tc>
          <w:tcPr>
            <w:tcW w:w="2192"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rPr>
              <w:t>差模3kA，共模3kA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18" w:type="dxa"/>
            <w:vMerge w:val="continue"/>
            <w:tcBorders>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eastAsia="黑体"/>
                <w:sz w:val="18"/>
                <w:szCs w:val="18"/>
                <w:highlight w:val="none"/>
              </w:rPr>
            </w:pPr>
          </w:p>
        </w:tc>
        <w:tc>
          <w:tcPr>
            <w:tcW w:w="1498"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rPr>
              <w:t>电源口</w:t>
            </w:r>
          </w:p>
        </w:tc>
        <w:tc>
          <w:tcPr>
            <w:tcW w:w="3635"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rPr>
              <w:t>差模5kA，共模5kA</w:t>
            </w:r>
          </w:p>
        </w:tc>
        <w:tc>
          <w:tcPr>
            <w:tcW w:w="2192" w:type="dxa"/>
            <w:tcBorders>
              <w:top w:val="single" w:color="auto" w:sz="4" w:space="0"/>
              <w:left w:val="single" w:color="auto" w:sz="4" w:space="0"/>
              <w:bottom w:val="single" w:color="auto" w:sz="4" w:space="0"/>
              <w:right w:val="single" w:color="auto" w:sz="4" w:space="0"/>
            </w:tcBorders>
            <w:noWrap w:val="0"/>
            <w:tcMar>
              <w:left w:w="57" w:type="dxa"/>
              <w:right w:w="57" w:type="dxa"/>
            </w:tcMar>
            <w:vAlign w:val="center"/>
          </w:tcPr>
          <w:p>
            <w:pPr>
              <w:adjustRightInd w:val="0"/>
              <w:snapToGrid w:val="0"/>
              <w:jc w:val="center"/>
              <w:textAlignment w:val="center"/>
              <w:rPr>
                <w:rFonts w:ascii="Times New Roman" w:hAnsi="Times New Roman"/>
                <w:sz w:val="18"/>
                <w:szCs w:val="18"/>
                <w:highlight w:val="none"/>
              </w:rPr>
            </w:pPr>
            <w:r>
              <w:rPr>
                <w:rFonts w:ascii="Times New Roman" w:hAnsi="Times New Roman"/>
                <w:sz w:val="18"/>
                <w:szCs w:val="18"/>
                <w:highlight w:val="none"/>
              </w:rPr>
              <w:t>差模5kA，共模5kA</w:t>
            </w:r>
          </w:p>
        </w:tc>
      </w:tr>
    </w:tbl>
    <w:p>
      <w:pPr>
        <w:pStyle w:val="2"/>
      </w:pPr>
    </w:p>
    <w:p>
      <w:pPr>
        <w:numPr>
          <w:ilvl w:val="3"/>
          <w:numId w:val="1"/>
        </w:numPr>
        <w:snapToGrid w:val="0"/>
        <w:spacing w:line="360" w:lineRule="auto"/>
        <w:rPr>
          <w:rFonts w:hint="eastAsia" w:ascii="宋体" w:hAnsi="宋体"/>
          <w:szCs w:val="21"/>
        </w:rPr>
      </w:pPr>
      <w:r>
        <w:rPr>
          <w:rFonts w:hint="eastAsia" w:ascii="宋体" w:hAnsi="宋体"/>
          <w:szCs w:val="21"/>
        </w:rPr>
        <w:t>绝缘性能试验</w:t>
      </w:r>
    </w:p>
    <w:p>
      <w:pPr>
        <w:snapToGrid w:val="0"/>
        <w:spacing w:line="360" w:lineRule="auto"/>
        <w:ind w:firstLine="420" w:firstLineChars="200"/>
        <w:rPr>
          <w:rFonts w:hint="eastAsia" w:ascii="宋体" w:hAnsi="宋体"/>
          <w:szCs w:val="21"/>
        </w:rPr>
      </w:pPr>
      <w:r>
        <w:rPr>
          <w:rFonts w:hint="eastAsia" w:ascii="宋体" w:hAnsi="宋体"/>
          <w:szCs w:val="21"/>
        </w:rPr>
        <w:t xml:space="preserve">（1）正常条件绝缘电阻试验 </w:t>
      </w:r>
    </w:p>
    <w:p>
      <w:pPr>
        <w:snapToGrid w:val="0"/>
        <w:spacing w:line="360" w:lineRule="auto"/>
        <w:ind w:firstLine="420" w:firstLineChars="200"/>
        <w:rPr>
          <w:rFonts w:hint="eastAsia" w:ascii="宋体" w:hAnsi="宋体"/>
          <w:szCs w:val="21"/>
        </w:rPr>
      </w:pPr>
      <w:r>
        <w:rPr>
          <w:rFonts w:hint="eastAsia" w:ascii="宋体" w:hAnsi="宋体"/>
          <w:szCs w:val="21"/>
        </w:rPr>
        <w:t>设备的接口回路和电源回路，按</w:t>
      </w:r>
      <w:r>
        <w:rPr>
          <w:rFonts w:hint="eastAsia" w:ascii="宋体" w:hAnsi="宋体"/>
          <w:szCs w:val="21"/>
          <w:lang w:val="en-US" w:eastAsia="zh-CN"/>
        </w:rPr>
        <w:t>7</w:t>
      </w:r>
      <w:r>
        <w:rPr>
          <w:rFonts w:hint="eastAsia" w:ascii="宋体" w:hAnsi="宋体"/>
          <w:szCs w:val="21"/>
        </w:rPr>
        <w:t xml:space="preserve">.1.1中的规定，用相应电压的兆欧表测量绝缘电阻，测量时间不小于5s。其测量结果应满足规定的要求。 </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（2）绝缘强度试验 </w:t>
      </w:r>
    </w:p>
    <w:p>
      <w:pPr>
        <w:snapToGrid w:val="0"/>
        <w:spacing w:line="360" w:lineRule="auto"/>
        <w:ind w:firstLine="420" w:firstLineChars="200"/>
        <w:rPr>
          <w:rFonts w:hint="eastAsia" w:ascii="宋体" w:hAnsi="宋体"/>
          <w:szCs w:val="21"/>
        </w:rPr>
      </w:pPr>
      <w:r>
        <w:rPr>
          <w:rFonts w:hint="eastAsia" w:ascii="宋体" w:hAnsi="宋体"/>
          <w:szCs w:val="21"/>
        </w:rPr>
        <w:t>设备的接口回路和电源回路，按</w:t>
      </w:r>
      <w:r>
        <w:rPr>
          <w:rFonts w:hint="eastAsia" w:ascii="宋体" w:hAnsi="宋体"/>
          <w:szCs w:val="21"/>
          <w:lang w:val="en-US" w:eastAsia="zh-CN"/>
        </w:rPr>
        <w:t>7</w:t>
      </w:r>
      <w:r>
        <w:rPr>
          <w:rFonts w:hint="eastAsia" w:ascii="宋体" w:hAnsi="宋体"/>
          <w:szCs w:val="21"/>
        </w:rPr>
        <w:t xml:space="preserve">.1.2中的规定，用工频耐压测试仪进行绝缘强度试验。试验电压从0开始，在5s内逐渐升到规定值并保持1min，随后迅速安全放电。其测试结果应满足规定的要求。 </w:t>
      </w:r>
    </w:p>
    <w:p>
      <w:pPr>
        <w:numPr>
          <w:ilvl w:val="3"/>
          <w:numId w:val="1"/>
        </w:numPr>
        <w:snapToGrid w:val="0"/>
        <w:spacing w:line="360" w:lineRule="auto"/>
        <w:rPr>
          <w:rFonts w:hint="eastAsia" w:ascii="宋体" w:hAnsi="宋体"/>
          <w:szCs w:val="21"/>
          <w:highlight w:val="none"/>
        </w:rPr>
      </w:pPr>
      <w:r>
        <w:rPr>
          <w:rFonts w:hint="eastAsia" w:ascii="宋体" w:hAnsi="宋体"/>
          <w:szCs w:val="21"/>
          <w:highlight w:val="none"/>
        </w:rPr>
        <w:t>整机功耗试验</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用伏安法测试其整机的功耗。其结果</w:t>
      </w:r>
      <w:r>
        <w:rPr>
          <w:rFonts w:hint="eastAsia" w:ascii="宋体" w:hAnsi="宋体"/>
          <w:szCs w:val="21"/>
          <w:highlight w:val="none"/>
          <w:lang w:val="en-US" w:eastAsia="zh-CN"/>
        </w:rPr>
        <w:t>应不大于60W</w:t>
      </w:r>
      <w:r>
        <w:rPr>
          <w:rFonts w:hint="eastAsia" w:ascii="宋体" w:hAnsi="宋体"/>
          <w:szCs w:val="21"/>
          <w:highlight w:val="none"/>
        </w:rPr>
        <w:t xml:space="preserve">。 </w:t>
      </w:r>
    </w:p>
    <w:p>
      <w:pPr>
        <w:numPr>
          <w:ilvl w:val="3"/>
          <w:numId w:val="1"/>
        </w:numPr>
        <w:snapToGrid w:val="0"/>
        <w:spacing w:line="360" w:lineRule="auto"/>
        <w:rPr>
          <w:rFonts w:hint="eastAsia" w:ascii="宋体" w:hAnsi="宋体"/>
          <w:szCs w:val="21"/>
        </w:rPr>
      </w:pPr>
      <w:r>
        <w:rPr>
          <w:rFonts w:hint="eastAsia" w:ascii="宋体" w:hAnsi="宋体"/>
          <w:szCs w:val="21"/>
        </w:rPr>
        <w:t xml:space="preserve">连续通电稳定性试验 </w:t>
      </w:r>
    </w:p>
    <w:p>
      <w:pPr>
        <w:snapToGrid w:val="0"/>
        <w:spacing w:line="360" w:lineRule="auto"/>
        <w:ind w:firstLine="420" w:firstLineChars="200"/>
        <w:rPr>
          <w:rFonts w:hint="eastAsia" w:ascii="宋体" w:hAnsi="宋体"/>
          <w:szCs w:val="21"/>
        </w:rPr>
      </w:pPr>
      <w:r>
        <w:rPr>
          <w:rFonts w:hint="eastAsia" w:ascii="宋体" w:hAnsi="宋体"/>
          <w:szCs w:val="21"/>
        </w:rPr>
        <w:t>连续通电72h，而且在72h期间每8h抽测一下，进行试验，其测试结果应满足5.</w:t>
      </w:r>
      <w:r>
        <w:rPr>
          <w:rFonts w:hint="eastAsia" w:ascii="宋体" w:hAnsi="宋体"/>
          <w:szCs w:val="21"/>
          <w:lang w:val="en-US" w:eastAsia="zh-CN"/>
        </w:rPr>
        <w:t>2</w:t>
      </w:r>
      <w:r>
        <w:rPr>
          <w:rFonts w:hint="eastAsia" w:ascii="宋体" w:hAnsi="宋体"/>
          <w:szCs w:val="21"/>
        </w:rPr>
        <w:t>的功能要求。连续通电72h后，进行试验，其测试结果应满足5.</w:t>
      </w:r>
      <w:r>
        <w:rPr>
          <w:rFonts w:hint="eastAsia" w:ascii="宋体" w:hAnsi="宋体"/>
          <w:szCs w:val="21"/>
          <w:lang w:val="en-US" w:eastAsia="zh-CN"/>
        </w:rPr>
        <w:t>2</w:t>
      </w:r>
      <w:r>
        <w:rPr>
          <w:rFonts w:hint="eastAsia" w:ascii="宋体" w:hAnsi="宋体"/>
          <w:szCs w:val="21"/>
        </w:rPr>
        <w:t xml:space="preserve">的技术要求。 </w:t>
      </w:r>
    </w:p>
    <w:p>
      <w:pPr>
        <w:numPr>
          <w:ilvl w:val="3"/>
          <w:numId w:val="1"/>
        </w:numPr>
        <w:snapToGrid w:val="0"/>
        <w:spacing w:line="360" w:lineRule="auto"/>
        <w:rPr>
          <w:rFonts w:hint="eastAsia" w:ascii="宋体" w:hAnsi="宋体"/>
          <w:szCs w:val="21"/>
        </w:rPr>
      </w:pPr>
      <w:r>
        <w:rPr>
          <w:rFonts w:hint="eastAsia" w:ascii="宋体" w:hAnsi="宋体"/>
          <w:szCs w:val="21"/>
        </w:rPr>
        <w:t xml:space="preserve">可靠性质量跟踪 </w:t>
      </w:r>
    </w:p>
    <w:p>
      <w:pPr>
        <w:snapToGrid w:val="0"/>
        <w:spacing w:line="360" w:lineRule="auto"/>
        <w:ind w:firstLine="420" w:firstLineChars="200"/>
        <w:rPr>
          <w:rFonts w:hint="eastAsia" w:ascii="宋体" w:hAnsi="宋体"/>
          <w:szCs w:val="21"/>
        </w:rPr>
      </w:pPr>
      <w:r>
        <w:rPr>
          <w:rFonts w:hint="eastAsia" w:ascii="宋体" w:hAnsi="宋体"/>
          <w:szCs w:val="21"/>
        </w:rPr>
        <w:t>对投入运行的检测装置质量跟踪，平均无故障工作时间（MTBF）应不低于8760h。</w:t>
      </w:r>
    </w:p>
    <w:p>
      <w:pPr>
        <w:numPr>
          <w:ilvl w:val="2"/>
          <w:numId w:val="1"/>
        </w:numPr>
        <w:tabs>
          <w:tab w:val="left" w:pos="567"/>
        </w:tabs>
        <w:snapToGrid w:val="0"/>
        <w:spacing w:line="360" w:lineRule="auto"/>
        <w:rPr>
          <w:rFonts w:ascii="宋体" w:hAnsi="宋体"/>
        </w:rPr>
      </w:pPr>
      <w:bookmarkStart w:id="135" w:name="_Toc26691"/>
      <w:bookmarkStart w:id="136" w:name="_Toc410122657"/>
      <w:r>
        <w:rPr>
          <w:rFonts w:ascii="宋体" w:hAnsi="宋体"/>
        </w:rPr>
        <w:t>型式试验要求</w:t>
      </w:r>
      <w:bookmarkEnd w:id="135"/>
      <w:bookmarkEnd w:id="136"/>
    </w:p>
    <w:p>
      <w:pPr>
        <w:snapToGrid w:val="0"/>
        <w:spacing w:line="360" w:lineRule="auto"/>
        <w:ind w:firstLine="420" w:firstLineChars="200"/>
        <w:rPr>
          <w:rFonts w:ascii="宋体" w:hAnsi="宋体"/>
          <w:szCs w:val="21"/>
        </w:rPr>
      </w:pPr>
      <w:r>
        <w:rPr>
          <w:rFonts w:ascii="宋体" w:hAnsi="宋体"/>
          <w:szCs w:val="21"/>
        </w:rPr>
        <w:t>型式试验在1套样品上进行，试验中途不得更换样品。</w:t>
      </w:r>
    </w:p>
    <w:p>
      <w:pPr>
        <w:snapToGrid w:val="0"/>
        <w:spacing w:line="360" w:lineRule="auto"/>
        <w:ind w:firstLine="420" w:firstLineChars="200"/>
        <w:rPr>
          <w:rFonts w:ascii="宋体" w:hAnsi="宋体"/>
          <w:szCs w:val="21"/>
        </w:rPr>
      </w:pPr>
      <w:r>
        <w:rPr>
          <w:rFonts w:ascii="宋体" w:hAnsi="宋体"/>
          <w:szCs w:val="21"/>
        </w:rPr>
        <w:t>型式试验各项目全部符合技术要求为合格。发现有不符合技术要求的项目应分析原因，处理缺陷。对产品进行整改后，再按全部型式试验项目进行试验。</w:t>
      </w:r>
    </w:p>
    <w:p>
      <w:pPr>
        <w:numPr>
          <w:ilvl w:val="1"/>
          <w:numId w:val="1"/>
        </w:numPr>
        <w:snapToGrid w:val="0"/>
        <w:spacing w:line="360" w:lineRule="auto"/>
        <w:outlineLvl w:val="1"/>
        <w:rPr>
          <w:rFonts w:ascii="宋体" w:hAnsi="宋体"/>
        </w:rPr>
      </w:pPr>
      <w:bookmarkStart w:id="137" w:name="_Toc29782"/>
      <w:bookmarkStart w:id="138" w:name="_Toc28538848"/>
      <w:r>
        <w:rPr>
          <w:rFonts w:ascii="宋体" w:hAnsi="宋体"/>
        </w:rPr>
        <w:t>出厂试验</w:t>
      </w:r>
      <w:bookmarkEnd w:id="137"/>
      <w:bookmarkEnd w:id="138"/>
    </w:p>
    <w:p>
      <w:pPr>
        <w:snapToGrid w:val="0"/>
        <w:spacing w:line="360" w:lineRule="auto"/>
        <w:ind w:firstLine="420" w:firstLineChars="200"/>
        <w:rPr>
          <w:rFonts w:ascii="宋体" w:hAnsi="宋体"/>
          <w:szCs w:val="21"/>
        </w:rPr>
      </w:pPr>
      <w:r>
        <w:rPr>
          <w:rFonts w:ascii="宋体" w:hAnsi="宋体"/>
          <w:szCs w:val="21"/>
        </w:rPr>
        <w:t>产品出厂之前，必须按照南方电网相关设备验收规范进行出厂验收试验。全部出厂试验项目合格后才发放产品合格证。试验后如果有的项目不符合规范要求，必须返修合格后再发放产品合格证。</w:t>
      </w:r>
      <w:r>
        <w:rPr>
          <w:rFonts w:hint="eastAsia" w:ascii="宋体" w:hAnsi="宋体"/>
          <w:szCs w:val="21"/>
        </w:rPr>
        <w:t>每批产品按照GB/T 2828.1—2012规定，选取一般检验水平为S-2，接收质量限（AQL）为4.0，进行抽样。</w:t>
      </w:r>
    </w:p>
    <w:p>
      <w:pPr>
        <w:numPr>
          <w:ilvl w:val="0"/>
          <w:numId w:val="5"/>
        </w:numPr>
        <w:tabs>
          <w:tab w:val="left" w:pos="709"/>
        </w:tabs>
        <w:snapToGrid w:val="0"/>
        <w:spacing w:line="360" w:lineRule="auto"/>
        <w:ind w:left="0" w:firstLine="420" w:firstLineChars="200"/>
        <w:rPr>
          <w:rFonts w:ascii="宋体" w:hAnsi="宋体"/>
          <w:szCs w:val="21"/>
        </w:rPr>
      </w:pPr>
      <w:r>
        <w:rPr>
          <w:rFonts w:ascii="宋体" w:hAnsi="宋体"/>
          <w:szCs w:val="21"/>
        </w:rPr>
        <w:t>投标方向招标方提交设备详细的工厂验收大纲，该大纲至少应包括：试验日期、试验接线、试验项目、试验方法，以及测量仪器和仪表等。该大纲经设计联络会议讨论修改后，经招标方确认后执行。</w:t>
      </w:r>
    </w:p>
    <w:p>
      <w:pPr>
        <w:numPr>
          <w:ilvl w:val="0"/>
          <w:numId w:val="5"/>
        </w:numPr>
        <w:tabs>
          <w:tab w:val="left" w:pos="709"/>
        </w:tabs>
        <w:snapToGrid w:val="0"/>
        <w:spacing w:line="360" w:lineRule="auto"/>
        <w:ind w:left="0" w:firstLine="420" w:firstLineChars="200"/>
        <w:rPr>
          <w:rFonts w:ascii="宋体" w:hAnsi="宋体"/>
          <w:szCs w:val="21"/>
        </w:rPr>
      </w:pPr>
      <w:r>
        <w:rPr>
          <w:rFonts w:ascii="宋体" w:hAnsi="宋体"/>
          <w:szCs w:val="21"/>
        </w:rPr>
        <w:t>投标方应确认提供的设备满足标书要求。</w:t>
      </w:r>
    </w:p>
    <w:p>
      <w:pPr>
        <w:numPr>
          <w:ilvl w:val="0"/>
          <w:numId w:val="5"/>
        </w:numPr>
        <w:tabs>
          <w:tab w:val="left" w:pos="709"/>
        </w:tabs>
        <w:snapToGrid w:val="0"/>
        <w:spacing w:line="360" w:lineRule="auto"/>
        <w:ind w:left="0" w:firstLine="420" w:firstLineChars="200"/>
        <w:rPr>
          <w:rFonts w:ascii="宋体" w:hAnsi="宋体"/>
          <w:szCs w:val="21"/>
        </w:rPr>
      </w:pPr>
      <w:r>
        <w:rPr>
          <w:rFonts w:ascii="宋体" w:hAnsi="宋体"/>
          <w:szCs w:val="21"/>
        </w:rPr>
        <w:t>投标方应按本规范书的要求，向招标方提供工厂试验报告，有关设备的试验报告，同时提供设备和软件的使用和测试说明书。</w:t>
      </w:r>
    </w:p>
    <w:p>
      <w:pPr>
        <w:numPr>
          <w:ilvl w:val="0"/>
          <w:numId w:val="5"/>
        </w:numPr>
        <w:tabs>
          <w:tab w:val="left" w:pos="709"/>
        </w:tabs>
        <w:snapToGrid w:val="0"/>
        <w:spacing w:line="360" w:lineRule="auto"/>
        <w:ind w:left="0" w:firstLine="420" w:firstLineChars="200"/>
        <w:rPr>
          <w:rFonts w:ascii="宋体" w:hAnsi="宋体"/>
          <w:szCs w:val="21"/>
        </w:rPr>
      </w:pPr>
      <w:r>
        <w:rPr>
          <w:rFonts w:ascii="宋体" w:hAnsi="宋体"/>
          <w:szCs w:val="21"/>
        </w:rPr>
        <w:t>在工厂验收试验期间，投标方应向招标方参加试验的工作人员提供检查、测试和记录设备。</w:t>
      </w:r>
    </w:p>
    <w:p>
      <w:pPr>
        <w:numPr>
          <w:ilvl w:val="0"/>
          <w:numId w:val="5"/>
        </w:numPr>
        <w:tabs>
          <w:tab w:val="left" w:pos="709"/>
        </w:tabs>
        <w:snapToGrid w:val="0"/>
        <w:spacing w:line="360" w:lineRule="auto"/>
        <w:ind w:left="0" w:firstLine="420" w:firstLineChars="200"/>
        <w:rPr>
          <w:rFonts w:ascii="宋体" w:hAnsi="宋体"/>
          <w:szCs w:val="21"/>
        </w:rPr>
      </w:pPr>
      <w:r>
        <w:rPr>
          <w:rFonts w:ascii="宋体" w:hAnsi="宋体"/>
          <w:szCs w:val="21"/>
        </w:rPr>
        <w:t>招标方参加工厂验收试验的工作人员将不签署任何有关系统性能的证明书，招标方参加工厂验收试验并不意味着解除投标方保证系统质量的责任，也不能代替设备到现场后的检查和测试。</w:t>
      </w:r>
    </w:p>
    <w:p>
      <w:pPr>
        <w:numPr>
          <w:ilvl w:val="0"/>
          <w:numId w:val="5"/>
        </w:numPr>
        <w:tabs>
          <w:tab w:val="left" w:pos="709"/>
        </w:tabs>
        <w:snapToGrid w:val="0"/>
        <w:spacing w:line="360" w:lineRule="auto"/>
        <w:ind w:left="0" w:firstLine="420" w:firstLineChars="200"/>
        <w:rPr>
          <w:rFonts w:ascii="宋体" w:hAnsi="宋体"/>
          <w:szCs w:val="21"/>
        </w:rPr>
      </w:pPr>
      <w:r>
        <w:rPr>
          <w:rFonts w:ascii="宋体" w:hAnsi="宋体"/>
          <w:szCs w:val="21"/>
        </w:rPr>
        <w:t>工厂验收试验在工厂试验的基础上进行，主要根据规范书要求进行系统的功能和性能试验，以便确认。</w:t>
      </w:r>
    </w:p>
    <w:p>
      <w:pPr>
        <w:numPr>
          <w:ilvl w:val="0"/>
          <w:numId w:val="5"/>
        </w:numPr>
        <w:tabs>
          <w:tab w:val="left" w:pos="709"/>
        </w:tabs>
        <w:snapToGrid w:val="0"/>
        <w:spacing w:line="360" w:lineRule="auto"/>
        <w:ind w:left="0" w:firstLine="420" w:firstLineChars="200"/>
        <w:rPr>
          <w:rFonts w:ascii="宋体" w:hAnsi="宋体"/>
          <w:szCs w:val="21"/>
        </w:rPr>
      </w:pPr>
      <w:r>
        <w:rPr>
          <w:rFonts w:ascii="宋体" w:hAnsi="宋体"/>
          <w:szCs w:val="21"/>
        </w:rPr>
        <w:t>工厂验收试验应包括系统性能试验、功能试验和稳定试验。</w:t>
      </w:r>
    </w:p>
    <w:p>
      <w:pPr>
        <w:numPr>
          <w:ilvl w:val="0"/>
          <w:numId w:val="5"/>
        </w:numPr>
        <w:tabs>
          <w:tab w:val="left" w:pos="709"/>
        </w:tabs>
        <w:snapToGrid w:val="0"/>
        <w:spacing w:line="360" w:lineRule="auto"/>
        <w:ind w:left="0" w:firstLine="420" w:firstLineChars="200"/>
        <w:rPr>
          <w:rFonts w:ascii="宋体" w:hAnsi="宋体"/>
          <w:szCs w:val="21"/>
        </w:rPr>
      </w:pPr>
      <w:r>
        <w:rPr>
          <w:rFonts w:ascii="宋体" w:hAnsi="宋体"/>
          <w:szCs w:val="21"/>
        </w:rPr>
        <w:t>工厂验收试验要有完整、且双方签字的试验报告。</w:t>
      </w:r>
    </w:p>
    <w:p>
      <w:pPr>
        <w:numPr>
          <w:ilvl w:val="0"/>
          <w:numId w:val="5"/>
        </w:numPr>
        <w:tabs>
          <w:tab w:val="left" w:pos="709"/>
        </w:tabs>
        <w:snapToGrid w:val="0"/>
        <w:spacing w:line="360" w:lineRule="auto"/>
        <w:ind w:left="0" w:firstLine="420" w:firstLineChars="200"/>
        <w:rPr>
          <w:rFonts w:ascii="宋体" w:hAnsi="宋体"/>
          <w:szCs w:val="21"/>
        </w:rPr>
      </w:pPr>
      <w:r>
        <w:rPr>
          <w:rFonts w:ascii="宋体" w:hAnsi="宋体"/>
          <w:szCs w:val="21"/>
        </w:rPr>
        <w:t>完成所有工厂验收试验后，经招标方参加工厂验收试验人员认可后，设备可以装运至现场。</w:t>
      </w:r>
    </w:p>
    <w:p>
      <w:pPr>
        <w:numPr>
          <w:ilvl w:val="1"/>
          <w:numId w:val="1"/>
        </w:numPr>
        <w:snapToGrid w:val="0"/>
        <w:spacing w:line="360" w:lineRule="auto"/>
        <w:outlineLvl w:val="1"/>
        <w:rPr>
          <w:rFonts w:ascii="宋体" w:hAnsi="宋体"/>
        </w:rPr>
      </w:pPr>
      <w:bookmarkStart w:id="139" w:name="_Toc28538849"/>
      <w:bookmarkStart w:id="140" w:name="_Toc18891"/>
      <w:bookmarkStart w:id="141" w:name="_Toc289214780"/>
      <w:r>
        <w:rPr>
          <w:rFonts w:ascii="宋体" w:hAnsi="宋体"/>
        </w:rPr>
        <w:t>现场试验及调试</w:t>
      </w:r>
      <w:bookmarkEnd w:id="139"/>
      <w:bookmarkEnd w:id="140"/>
      <w:bookmarkEnd w:id="141"/>
    </w:p>
    <w:p>
      <w:pPr>
        <w:numPr>
          <w:ilvl w:val="0"/>
          <w:numId w:val="6"/>
        </w:numPr>
        <w:tabs>
          <w:tab w:val="left" w:pos="709"/>
        </w:tabs>
        <w:snapToGrid w:val="0"/>
        <w:spacing w:line="360" w:lineRule="auto"/>
        <w:ind w:left="0" w:firstLine="420" w:firstLineChars="200"/>
        <w:rPr>
          <w:rFonts w:ascii="宋体" w:hAnsi="宋体"/>
          <w:szCs w:val="21"/>
        </w:rPr>
      </w:pPr>
      <w:r>
        <w:rPr>
          <w:rFonts w:ascii="宋体" w:hAnsi="宋体"/>
          <w:szCs w:val="21"/>
        </w:rPr>
        <w:t>设备到现场后，应进行抽检，抽检合格后方可进入现场安装。抽检不合格，全部返回原厂整改，再次到现场进行抽检。</w:t>
      </w:r>
      <w:r>
        <w:rPr>
          <w:rFonts w:hint="eastAsia" w:ascii="宋体" w:hAnsi="宋体"/>
          <w:szCs w:val="21"/>
        </w:rPr>
        <w:t>抽样试验按批进行，在一批产品中随机抽取试验样品，试验项目参照GB/T2317.4-2008或按客户要求进行抽样试验。</w:t>
      </w:r>
    </w:p>
    <w:p>
      <w:pPr>
        <w:numPr>
          <w:ilvl w:val="0"/>
          <w:numId w:val="6"/>
        </w:numPr>
        <w:tabs>
          <w:tab w:val="left" w:pos="709"/>
        </w:tabs>
        <w:snapToGrid w:val="0"/>
        <w:spacing w:line="360" w:lineRule="auto"/>
        <w:ind w:left="0" w:firstLine="420" w:firstLineChars="200"/>
        <w:rPr>
          <w:rFonts w:ascii="宋体" w:hAnsi="宋体"/>
          <w:szCs w:val="21"/>
        </w:rPr>
      </w:pPr>
      <w:r>
        <w:rPr>
          <w:rFonts w:ascii="宋体" w:hAnsi="宋体"/>
          <w:szCs w:val="21"/>
        </w:rPr>
        <w:t>合同设备的安装、调试，将由投标方在招标方监督下进行。</w:t>
      </w:r>
    </w:p>
    <w:p>
      <w:pPr>
        <w:numPr>
          <w:ilvl w:val="0"/>
          <w:numId w:val="6"/>
        </w:numPr>
        <w:tabs>
          <w:tab w:val="left" w:pos="709"/>
        </w:tabs>
        <w:snapToGrid w:val="0"/>
        <w:spacing w:line="360" w:lineRule="auto"/>
        <w:ind w:left="0" w:firstLine="420" w:firstLineChars="200"/>
        <w:rPr>
          <w:rFonts w:ascii="宋体" w:hAnsi="宋体"/>
          <w:szCs w:val="21"/>
        </w:rPr>
      </w:pPr>
      <w:r>
        <w:rPr>
          <w:rFonts w:ascii="宋体" w:hAnsi="宋体"/>
          <w:szCs w:val="21"/>
        </w:rPr>
        <w:t>如果在安装、调试、试运行及质保期内，设备发生异常，由投标方负责免费更换。</w:t>
      </w:r>
    </w:p>
    <w:p>
      <w:pPr>
        <w:numPr>
          <w:ilvl w:val="0"/>
          <w:numId w:val="6"/>
        </w:numPr>
        <w:tabs>
          <w:tab w:val="left" w:pos="709"/>
        </w:tabs>
        <w:snapToGrid w:val="0"/>
        <w:spacing w:line="360" w:lineRule="auto"/>
        <w:ind w:left="0" w:firstLine="420" w:firstLineChars="200"/>
        <w:rPr>
          <w:rFonts w:ascii="宋体" w:hAnsi="宋体"/>
          <w:szCs w:val="21"/>
        </w:rPr>
      </w:pPr>
      <w:r>
        <w:rPr>
          <w:rFonts w:ascii="宋体" w:hAnsi="宋体"/>
          <w:szCs w:val="21"/>
        </w:rPr>
        <w:t>现场验收试验的时间和条件由招标方根据现场安装和调试的进度确定。投标方应负责培训招标方技术人员，使其掌握系统维护的各项技能。</w:t>
      </w:r>
    </w:p>
    <w:p>
      <w:pPr>
        <w:numPr>
          <w:ilvl w:val="0"/>
          <w:numId w:val="6"/>
        </w:numPr>
        <w:tabs>
          <w:tab w:val="left" w:pos="709"/>
        </w:tabs>
        <w:snapToGrid w:val="0"/>
        <w:spacing w:line="360" w:lineRule="auto"/>
        <w:ind w:left="0" w:firstLine="420" w:firstLineChars="200"/>
        <w:rPr>
          <w:rFonts w:ascii="宋体" w:hAnsi="宋体"/>
          <w:szCs w:val="21"/>
        </w:rPr>
      </w:pPr>
      <w:r>
        <w:rPr>
          <w:rFonts w:ascii="宋体" w:hAnsi="宋体"/>
          <w:szCs w:val="21"/>
        </w:rPr>
        <w:t>现场验收试验主要目的是检验系统的各项功能是否实现，系统的性能指标是否达到。</w:t>
      </w:r>
    </w:p>
    <w:p>
      <w:pPr>
        <w:numPr>
          <w:ilvl w:val="0"/>
          <w:numId w:val="6"/>
        </w:numPr>
        <w:tabs>
          <w:tab w:val="left" w:pos="709"/>
        </w:tabs>
        <w:snapToGrid w:val="0"/>
        <w:spacing w:line="360" w:lineRule="auto"/>
        <w:ind w:left="0" w:firstLine="420" w:firstLineChars="200"/>
        <w:rPr>
          <w:rFonts w:ascii="宋体" w:hAnsi="宋体"/>
          <w:szCs w:val="21"/>
        </w:rPr>
      </w:pPr>
      <w:r>
        <w:rPr>
          <w:rFonts w:ascii="宋体" w:hAnsi="宋体"/>
          <w:szCs w:val="21"/>
        </w:rPr>
        <w:t>现场验收结束后，进行72小时的稳定性试验，试验要求同工厂验收试验。</w:t>
      </w:r>
    </w:p>
    <w:p>
      <w:pPr>
        <w:numPr>
          <w:ilvl w:val="0"/>
          <w:numId w:val="6"/>
        </w:numPr>
        <w:tabs>
          <w:tab w:val="left" w:pos="709"/>
        </w:tabs>
        <w:snapToGrid w:val="0"/>
        <w:spacing w:line="360" w:lineRule="auto"/>
        <w:ind w:left="0" w:firstLine="420" w:firstLineChars="200"/>
        <w:rPr>
          <w:rFonts w:ascii="宋体" w:hAnsi="宋体"/>
          <w:szCs w:val="21"/>
        </w:rPr>
      </w:pPr>
      <w:r>
        <w:rPr>
          <w:rFonts w:ascii="宋体" w:hAnsi="宋体"/>
          <w:szCs w:val="21"/>
        </w:rPr>
        <w:t>72小时稳定性试验结束后，标志现场验收试验结束，双方将签字确认试验结果。</w:t>
      </w:r>
    </w:p>
    <w:p>
      <w:pPr>
        <w:numPr>
          <w:ilvl w:val="0"/>
          <w:numId w:val="6"/>
        </w:numPr>
        <w:tabs>
          <w:tab w:val="left" w:pos="709"/>
        </w:tabs>
        <w:snapToGrid w:val="0"/>
        <w:spacing w:line="360" w:lineRule="auto"/>
        <w:ind w:left="0" w:firstLine="420" w:firstLineChars="200"/>
        <w:rPr>
          <w:rFonts w:ascii="宋体" w:hAnsi="宋体"/>
          <w:szCs w:val="21"/>
        </w:rPr>
      </w:pPr>
      <w:r>
        <w:rPr>
          <w:rFonts w:ascii="宋体" w:hAnsi="宋体"/>
          <w:szCs w:val="21"/>
        </w:rPr>
        <w:t>在试验和调试期间所有损坏的供货范围内设备，投标方应免费给予更换。</w:t>
      </w:r>
    </w:p>
    <w:p>
      <w:pPr>
        <w:numPr>
          <w:ilvl w:val="0"/>
          <w:numId w:val="6"/>
        </w:numPr>
        <w:tabs>
          <w:tab w:val="left" w:pos="709"/>
        </w:tabs>
        <w:snapToGrid w:val="0"/>
        <w:spacing w:line="360" w:lineRule="auto"/>
        <w:ind w:left="0" w:firstLine="420" w:firstLineChars="200"/>
        <w:rPr>
          <w:rFonts w:ascii="宋体" w:hAnsi="宋体"/>
          <w:szCs w:val="21"/>
        </w:rPr>
      </w:pPr>
      <w:r>
        <w:rPr>
          <w:rFonts w:ascii="宋体" w:hAnsi="宋体"/>
          <w:szCs w:val="21"/>
        </w:rPr>
        <w:t>验收试验结束后，投标方的现场技术人员应负责完整备份系统软件，并提供给招标方。</w:t>
      </w:r>
    </w:p>
    <w:p/>
    <w:p>
      <w:pPr>
        <w:pStyle w:val="4"/>
        <w:numPr>
          <w:ilvl w:val="0"/>
          <w:numId w:val="1"/>
        </w:numPr>
        <w:tabs>
          <w:tab w:val="left" w:pos="425"/>
          <w:tab w:val="left" w:pos="432"/>
        </w:tabs>
        <w:spacing w:before="0" w:after="0" w:line="360" w:lineRule="auto"/>
        <w:rPr>
          <w:rFonts w:ascii="宋体" w:hAnsi="宋体"/>
          <w:sz w:val="21"/>
          <w:szCs w:val="21"/>
        </w:rPr>
      </w:pPr>
      <w:bookmarkStart w:id="142" w:name="_Toc28538850"/>
      <w:bookmarkStart w:id="143" w:name="_Toc2572"/>
      <w:bookmarkStart w:id="144" w:name="_Toc282993355"/>
      <w:bookmarkStart w:id="145" w:name="_Toc395186734"/>
      <w:bookmarkStart w:id="146" w:name="_Toc292025359"/>
      <w:r>
        <w:rPr>
          <w:rFonts w:ascii="宋体" w:hAnsi="宋体"/>
          <w:sz w:val="21"/>
          <w:szCs w:val="21"/>
        </w:rPr>
        <w:t>产品对环境的影响</w:t>
      </w:r>
      <w:bookmarkEnd w:id="142"/>
      <w:bookmarkEnd w:id="143"/>
    </w:p>
    <w:p>
      <w:pPr>
        <w:numPr>
          <w:ilvl w:val="0"/>
          <w:numId w:val="7"/>
        </w:numPr>
        <w:adjustRightInd w:val="0"/>
        <w:snapToGrid w:val="0"/>
        <w:spacing w:line="360" w:lineRule="auto"/>
        <w:ind w:left="0" w:firstLine="420" w:firstLineChars="200"/>
        <w:rPr>
          <w:rFonts w:ascii="宋体" w:hAnsi="宋体"/>
        </w:rPr>
      </w:pPr>
      <w:r>
        <w:rPr>
          <w:rFonts w:ascii="宋体" w:hAnsi="宋体"/>
        </w:rPr>
        <w:t>应满足GB/T 11022-2011第12章的要求。</w:t>
      </w:r>
    </w:p>
    <w:p>
      <w:pPr>
        <w:numPr>
          <w:ilvl w:val="0"/>
          <w:numId w:val="7"/>
        </w:numPr>
        <w:adjustRightInd w:val="0"/>
        <w:snapToGrid w:val="0"/>
        <w:spacing w:line="360" w:lineRule="auto"/>
        <w:ind w:left="0" w:firstLine="420" w:firstLineChars="200"/>
        <w:rPr>
          <w:rFonts w:ascii="宋体" w:hAnsi="宋体"/>
        </w:rPr>
      </w:pPr>
      <w:r>
        <w:rPr>
          <w:rFonts w:ascii="宋体" w:hAnsi="宋体"/>
        </w:rPr>
        <w:t>坚持以资源节约型和环境友好型的原则，同时应考虑降低投资成本和提高运行经济性。</w:t>
      </w:r>
    </w:p>
    <w:p>
      <w:pPr>
        <w:numPr>
          <w:ilvl w:val="0"/>
          <w:numId w:val="7"/>
        </w:numPr>
        <w:adjustRightInd w:val="0"/>
        <w:snapToGrid w:val="0"/>
        <w:spacing w:line="360" w:lineRule="auto"/>
        <w:ind w:left="0" w:firstLine="420" w:firstLineChars="200"/>
        <w:rPr>
          <w:rFonts w:ascii="宋体" w:hAnsi="宋体"/>
        </w:rPr>
      </w:pPr>
      <w:r>
        <w:rPr>
          <w:rFonts w:ascii="宋体" w:hAnsi="宋体"/>
        </w:rPr>
        <w:t>应对噪声、工频电场和磁场、高频电磁波、通信干扰等方面采取必要的防治措施，并满足国家相关标准的要求。</w:t>
      </w:r>
    </w:p>
    <w:p>
      <w:pPr>
        <w:numPr>
          <w:ilvl w:val="0"/>
          <w:numId w:val="7"/>
        </w:numPr>
        <w:adjustRightInd w:val="0"/>
        <w:snapToGrid w:val="0"/>
        <w:spacing w:line="360" w:lineRule="auto"/>
        <w:ind w:left="0" w:firstLine="420" w:firstLineChars="200"/>
        <w:rPr>
          <w:rFonts w:ascii="宋体" w:hAnsi="宋体"/>
        </w:rPr>
      </w:pPr>
      <w:r>
        <w:rPr>
          <w:rFonts w:ascii="宋体" w:hAnsi="宋体"/>
        </w:rPr>
        <w:t>推广采用高可靠性、小型化和节能型设备。</w:t>
      </w:r>
    </w:p>
    <w:p>
      <w:pPr>
        <w:numPr>
          <w:ilvl w:val="0"/>
          <w:numId w:val="7"/>
        </w:numPr>
        <w:adjustRightInd w:val="0"/>
        <w:snapToGrid w:val="0"/>
        <w:spacing w:line="360" w:lineRule="auto"/>
        <w:ind w:left="0" w:firstLine="420" w:firstLineChars="200"/>
        <w:rPr>
          <w:rFonts w:ascii="宋体" w:hAnsi="宋体"/>
        </w:rPr>
      </w:pPr>
      <w:r>
        <w:rPr>
          <w:rFonts w:ascii="宋体" w:hAnsi="宋体"/>
        </w:rPr>
        <w:t>优先选用损耗低的产品。</w:t>
      </w:r>
    </w:p>
    <w:p>
      <w:pPr>
        <w:numPr>
          <w:ilvl w:val="0"/>
          <w:numId w:val="7"/>
        </w:numPr>
        <w:adjustRightInd w:val="0"/>
        <w:snapToGrid w:val="0"/>
        <w:spacing w:line="360" w:lineRule="auto"/>
        <w:ind w:left="0" w:firstLine="420" w:firstLineChars="200"/>
        <w:rPr>
          <w:rFonts w:ascii="宋体" w:hAnsi="宋体"/>
        </w:rPr>
      </w:pPr>
      <w:r>
        <w:rPr>
          <w:rFonts w:ascii="宋体" w:hAnsi="宋体"/>
        </w:rPr>
        <w:t>制造厂应该提供设备对环境影响所需要的材料。任何已知的化学危险和环境危害应在设备手册或使用说明中明确。</w:t>
      </w:r>
    </w:p>
    <w:p>
      <w:pPr>
        <w:numPr>
          <w:ilvl w:val="0"/>
          <w:numId w:val="7"/>
        </w:numPr>
        <w:adjustRightInd w:val="0"/>
        <w:snapToGrid w:val="0"/>
        <w:spacing w:line="360" w:lineRule="auto"/>
        <w:ind w:left="0" w:firstLine="420" w:firstLineChars="200"/>
        <w:rPr>
          <w:rFonts w:ascii="宋体" w:hAnsi="宋体"/>
        </w:rPr>
      </w:pPr>
      <w:r>
        <w:rPr>
          <w:rFonts w:ascii="宋体" w:hAnsi="宋体"/>
        </w:rPr>
        <w:t>制造厂应该对有关设备的不同材料的使用寿命和拆除的程序给予必要的指导，对再循环使用的可能性给予简要说明。</w:t>
      </w:r>
    </w:p>
    <w:bookmarkEnd w:id="144"/>
    <w:bookmarkEnd w:id="145"/>
    <w:bookmarkEnd w:id="146"/>
    <w:p>
      <w:pPr>
        <w:pStyle w:val="4"/>
        <w:numPr>
          <w:ilvl w:val="0"/>
          <w:numId w:val="1"/>
        </w:numPr>
        <w:tabs>
          <w:tab w:val="left" w:pos="425"/>
        </w:tabs>
        <w:spacing w:before="0" w:after="0" w:line="360" w:lineRule="auto"/>
        <w:rPr>
          <w:rFonts w:ascii="宋体" w:hAnsi="宋体"/>
          <w:sz w:val="21"/>
          <w:szCs w:val="21"/>
        </w:rPr>
      </w:pPr>
      <w:bookmarkStart w:id="147" w:name="_Toc282993358"/>
      <w:bookmarkStart w:id="148" w:name="_Toc282433757"/>
      <w:bookmarkStart w:id="149" w:name="_Toc279695206"/>
      <w:bookmarkStart w:id="150" w:name="_Toc292025360"/>
      <w:bookmarkStart w:id="151" w:name="_Toc23937"/>
      <w:bookmarkStart w:id="152" w:name="_Toc28538852"/>
      <w:bookmarkStart w:id="153" w:name="_Toc395186735"/>
      <w:r>
        <w:rPr>
          <w:rFonts w:ascii="宋体" w:hAnsi="宋体"/>
          <w:sz w:val="21"/>
          <w:szCs w:val="21"/>
        </w:rPr>
        <w:t>技术文件</w:t>
      </w:r>
      <w:bookmarkEnd w:id="147"/>
      <w:bookmarkEnd w:id="148"/>
      <w:bookmarkEnd w:id="149"/>
      <w:r>
        <w:rPr>
          <w:rFonts w:ascii="宋体" w:hAnsi="宋体"/>
          <w:sz w:val="21"/>
          <w:szCs w:val="21"/>
        </w:rPr>
        <w:t>要求</w:t>
      </w:r>
      <w:bookmarkEnd w:id="150"/>
      <w:bookmarkEnd w:id="151"/>
      <w:bookmarkEnd w:id="152"/>
      <w:bookmarkEnd w:id="153"/>
    </w:p>
    <w:p>
      <w:pPr>
        <w:numPr>
          <w:ilvl w:val="1"/>
          <w:numId w:val="1"/>
        </w:numPr>
        <w:spacing w:line="360" w:lineRule="auto"/>
        <w:outlineLvl w:val="1"/>
        <w:rPr>
          <w:rFonts w:ascii="宋体" w:hAnsi="宋体"/>
        </w:rPr>
      </w:pPr>
      <w:bookmarkStart w:id="154" w:name="_Toc395186736"/>
      <w:bookmarkStart w:id="155" w:name="_Toc14936"/>
      <w:bookmarkStart w:id="156" w:name="_Toc292025361"/>
      <w:bookmarkStart w:id="157" w:name="_Toc28538853"/>
      <w:r>
        <w:rPr>
          <w:rFonts w:ascii="宋体" w:hAnsi="宋体"/>
        </w:rPr>
        <w:t>一般要求</w:t>
      </w:r>
      <w:bookmarkEnd w:id="154"/>
      <w:bookmarkEnd w:id="155"/>
      <w:bookmarkEnd w:id="156"/>
      <w:bookmarkEnd w:id="157"/>
    </w:p>
    <w:p>
      <w:pPr>
        <w:numPr>
          <w:ilvl w:val="0"/>
          <w:numId w:val="8"/>
        </w:numPr>
        <w:tabs>
          <w:tab w:val="left" w:pos="709"/>
        </w:tabs>
        <w:snapToGrid w:val="0"/>
        <w:spacing w:line="360" w:lineRule="auto"/>
        <w:ind w:left="0" w:firstLine="426"/>
        <w:rPr>
          <w:rFonts w:ascii="宋体" w:hAnsi="宋体"/>
          <w:szCs w:val="21"/>
        </w:rPr>
      </w:pPr>
      <w:r>
        <w:rPr>
          <w:rFonts w:ascii="宋体" w:hAnsi="宋体"/>
          <w:szCs w:val="21"/>
        </w:rPr>
        <w:t>投标方提供的图纸、资料、文件应使用国家法定单位制即国际单位制，语言为中文。</w:t>
      </w:r>
    </w:p>
    <w:p>
      <w:pPr>
        <w:numPr>
          <w:ilvl w:val="0"/>
          <w:numId w:val="8"/>
        </w:numPr>
        <w:tabs>
          <w:tab w:val="left" w:pos="709"/>
        </w:tabs>
        <w:snapToGrid w:val="0"/>
        <w:spacing w:line="360" w:lineRule="auto"/>
        <w:ind w:left="0" w:firstLine="426"/>
        <w:rPr>
          <w:rFonts w:ascii="宋体" w:hAnsi="宋体"/>
          <w:szCs w:val="21"/>
        </w:rPr>
      </w:pPr>
      <w:r>
        <w:rPr>
          <w:rFonts w:ascii="宋体" w:hAnsi="宋体"/>
          <w:szCs w:val="21"/>
        </w:rPr>
        <w:t>资料的组织结构清晰、逻辑性强。资料内容耍正确、准确、一致、清晰、完整，满足工程要求。</w:t>
      </w:r>
    </w:p>
    <w:p>
      <w:pPr>
        <w:numPr>
          <w:ilvl w:val="0"/>
          <w:numId w:val="8"/>
        </w:numPr>
        <w:tabs>
          <w:tab w:val="left" w:pos="709"/>
        </w:tabs>
        <w:snapToGrid w:val="0"/>
        <w:spacing w:line="360" w:lineRule="auto"/>
        <w:ind w:left="0" w:firstLine="426"/>
        <w:rPr>
          <w:rFonts w:ascii="宋体" w:hAnsi="宋体"/>
          <w:szCs w:val="21"/>
        </w:rPr>
      </w:pPr>
      <w:r>
        <w:rPr>
          <w:rFonts w:ascii="宋体" w:hAnsi="宋体"/>
          <w:szCs w:val="21"/>
        </w:rPr>
        <w:t>投标方资料的提交及时充分，满足工程进度要求。在合同谈判日或收到中标通知书后（以先到为准），在项目单位在专用部分规定的时间内给出全部最终技术资料，经招标方确认后不能更改。</w:t>
      </w:r>
    </w:p>
    <w:p>
      <w:pPr>
        <w:numPr>
          <w:ilvl w:val="0"/>
          <w:numId w:val="8"/>
        </w:numPr>
        <w:tabs>
          <w:tab w:val="left" w:pos="709"/>
        </w:tabs>
        <w:snapToGrid w:val="0"/>
        <w:spacing w:line="360" w:lineRule="auto"/>
        <w:ind w:left="0" w:firstLine="426"/>
        <w:rPr>
          <w:rFonts w:ascii="宋体" w:hAnsi="宋体"/>
          <w:szCs w:val="21"/>
        </w:rPr>
      </w:pPr>
      <w:r>
        <w:rPr>
          <w:rFonts w:ascii="宋体" w:hAnsi="宋体"/>
          <w:szCs w:val="21"/>
        </w:rPr>
        <w:t>对于其它没有列入合同技术资料清单，却是工程所必需的文件和资料，一经发现，投标方也应及时免费提供。如项目工程为多台设备构成，后续设备有改进时，投标方应及时免费提供新的技术资料。</w:t>
      </w:r>
    </w:p>
    <w:p>
      <w:pPr>
        <w:numPr>
          <w:ilvl w:val="0"/>
          <w:numId w:val="8"/>
        </w:numPr>
        <w:tabs>
          <w:tab w:val="left" w:pos="709"/>
        </w:tabs>
        <w:snapToGrid w:val="0"/>
        <w:spacing w:line="360" w:lineRule="auto"/>
        <w:ind w:left="0" w:firstLine="426"/>
        <w:rPr>
          <w:rFonts w:ascii="宋体" w:hAnsi="宋体"/>
          <w:szCs w:val="21"/>
        </w:rPr>
      </w:pPr>
      <w:r>
        <w:rPr>
          <w:rFonts w:ascii="宋体" w:hAnsi="宋体"/>
          <w:szCs w:val="21"/>
        </w:rPr>
        <w:t>“工厂图纸”包括制造、装配、安装和布置图、接线图、控制图、材料和设备的清单或表格、标准图、设计计算书、说明书、样本、小册子、特性图表、试验报告，以及涉及到与材料、设备和管道系统设计有关的图纸和说明等。</w:t>
      </w:r>
    </w:p>
    <w:p>
      <w:pPr>
        <w:numPr>
          <w:ilvl w:val="0"/>
          <w:numId w:val="8"/>
        </w:numPr>
        <w:tabs>
          <w:tab w:val="left" w:pos="709"/>
        </w:tabs>
        <w:snapToGrid w:val="0"/>
        <w:spacing w:line="360" w:lineRule="auto"/>
        <w:ind w:left="0" w:firstLine="426"/>
        <w:rPr>
          <w:rFonts w:ascii="宋体" w:hAnsi="宋体"/>
          <w:szCs w:val="21"/>
        </w:rPr>
      </w:pPr>
      <w:r>
        <w:rPr>
          <w:rFonts w:ascii="宋体" w:hAnsi="宋体"/>
          <w:szCs w:val="21"/>
        </w:rPr>
        <w:t>投标方应将“工厂图纸”提交给招标方审查认可。未经审查认可，不得进行备料和工厂生产。</w:t>
      </w:r>
    </w:p>
    <w:p>
      <w:pPr>
        <w:numPr>
          <w:ilvl w:val="0"/>
          <w:numId w:val="8"/>
        </w:numPr>
        <w:tabs>
          <w:tab w:val="left" w:pos="709"/>
        </w:tabs>
        <w:snapToGrid w:val="0"/>
        <w:spacing w:line="360" w:lineRule="auto"/>
        <w:ind w:left="0" w:firstLine="426"/>
        <w:rPr>
          <w:rFonts w:ascii="宋体" w:hAnsi="宋体"/>
          <w:szCs w:val="21"/>
        </w:rPr>
      </w:pPr>
      <w:r>
        <w:rPr>
          <w:rFonts w:ascii="宋体" w:hAnsi="宋体"/>
          <w:szCs w:val="21"/>
        </w:rPr>
        <w:t>投标方提供的设备及附件规格、重量或接线有变化时，应及时书面通知招标方。</w:t>
      </w:r>
    </w:p>
    <w:p>
      <w:pPr>
        <w:numPr>
          <w:ilvl w:val="0"/>
          <w:numId w:val="8"/>
        </w:numPr>
        <w:tabs>
          <w:tab w:val="left" w:pos="709"/>
        </w:tabs>
        <w:snapToGrid w:val="0"/>
        <w:spacing w:line="360" w:lineRule="auto"/>
        <w:ind w:left="0" w:firstLine="426"/>
        <w:rPr>
          <w:rFonts w:ascii="宋体" w:hAnsi="宋体"/>
          <w:szCs w:val="21"/>
        </w:rPr>
      </w:pPr>
      <w:r>
        <w:rPr>
          <w:rFonts w:ascii="宋体" w:hAnsi="宋体"/>
          <w:szCs w:val="21"/>
        </w:rPr>
        <w:t>现场安装和试验在投标方的技术指导和监督下由招标方完成，在安装过程中，如发现有质量问题，投标方应及时解决，并提供备品、备件，做好销售服务工作。</w:t>
      </w:r>
    </w:p>
    <w:p>
      <w:pPr>
        <w:numPr>
          <w:ilvl w:val="0"/>
          <w:numId w:val="8"/>
        </w:numPr>
        <w:tabs>
          <w:tab w:val="left" w:pos="709"/>
        </w:tabs>
        <w:snapToGrid w:val="0"/>
        <w:spacing w:line="360" w:lineRule="auto"/>
        <w:ind w:left="0" w:firstLine="426"/>
        <w:rPr>
          <w:rFonts w:ascii="宋体" w:hAnsi="宋体"/>
          <w:szCs w:val="21"/>
        </w:rPr>
      </w:pPr>
      <w:r>
        <w:rPr>
          <w:rFonts w:ascii="宋体" w:hAnsi="宋体"/>
          <w:szCs w:val="21"/>
        </w:rPr>
        <w:t>投标方协助招标方按标准检查安装质量，及时处理调试投运过程中出现的问题。当发生设备质量问题，应及时采取措施解决。</w:t>
      </w:r>
    </w:p>
    <w:p>
      <w:pPr>
        <w:numPr>
          <w:ilvl w:val="0"/>
          <w:numId w:val="8"/>
        </w:numPr>
        <w:tabs>
          <w:tab w:val="left" w:pos="709"/>
        </w:tabs>
        <w:snapToGrid w:val="0"/>
        <w:spacing w:line="360" w:lineRule="auto"/>
        <w:ind w:left="0" w:firstLine="426"/>
        <w:rPr>
          <w:rFonts w:ascii="宋体" w:hAnsi="宋体"/>
          <w:szCs w:val="21"/>
        </w:rPr>
      </w:pPr>
      <w:r>
        <w:rPr>
          <w:rFonts w:ascii="宋体" w:hAnsi="宋体"/>
          <w:szCs w:val="21"/>
        </w:rPr>
        <w:t>投标方应选派有经验的技术人员，对安装和运行人员免费培训，具体培训人次及时间等要求见技术规范书（专用部分）。</w:t>
      </w:r>
    </w:p>
    <w:p>
      <w:pPr>
        <w:numPr>
          <w:ilvl w:val="0"/>
          <w:numId w:val="8"/>
        </w:numPr>
        <w:tabs>
          <w:tab w:val="left" w:pos="709"/>
        </w:tabs>
        <w:snapToGrid w:val="0"/>
        <w:spacing w:line="360" w:lineRule="auto"/>
        <w:ind w:left="0" w:firstLine="426"/>
        <w:rPr>
          <w:rFonts w:ascii="宋体" w:hAnsi="宋体"/>
          <w:szCs w:val="21"/>
        </w:rPr>
      </w:pPr>
      <w:r>
        <w:rPr>
          <w:rFonts w:ascii="宋体" w:hAnsi="宋体"/>
          <w:szCs w:val="21"/>
        </w:rPr>
        <w:t>投标方应协助招标方解决设备运行中出现的问题。</w:t>
      </w:r>
    </w:p>
    <w:p>
      <w:pPr>
        <w:numPr>
          <w:ilvl w:val="0"/>
          <w:numId w:val="8"/>
        </w:numPr>
        <w:tabs>
          <w:tab w:val="left" w:pos="709"/>
        </w:tabs>
        <w:snapToGrid w:val="0"/>
        <w:spacing w:line="360" w:lineRule="auto"/>
        <w:ind w:left="0" w:firstLine="426"/>
        <w:rPr>
          <w:rFonts w:ascii="宋体" w:hAnsi="宋体"/>
          <w:szCs w:val="21"/>
        </w:rPr>
      </w:pPr>
      <w:r>
        <w:rPr>
          <w:rFonts w:ascii="宋体" w:hAnsi="宋体"/>
          <w:szCs w:val="21"/>
        </w:rPr>
        <w:t>投标方应在</w:t>
      </w:r>
      <w:r>
        <w:rPr>
          <w:rFonts w:hint="eastAsia" w:ascii="宋体" w:hAnsi="宋体"/>
          <w:szCs w:val="21"/>
        </w:rPr>
        <w:t>8</w:t>
      </w:r>
      <w:r>
        <w:rPr>
          <w:rFonts w:ascii="宋体" w:hAnsi="宋体"/>
          <w:szCs w:val="21"/>
        </w:rPr>
        <w:t>年使用寿命期限内，提供设备所需备品备件。</w:t>
      </w:r>
    </w:p>
    <w:p>
      <w:pPr>
        <w:numPr>
          <w:ilvl w:val="1"/>
          <w:numId w:val="1"/>
        </w:numPr>
        <w:spacing w:line="360" w:lineRule="auto"/>
        <w:outlineLvl w:val="1"/>
        <w:rPr>
          <w:rFonts w:ascii="宋体" w:hAnsi="宋体"/>
        </w:rPr>
      </w:pPr>
      <w:bookmarkStart w:id="158" w:name="_Toc27009"/>
      <w:bookmarkStart w:id="159" w:name="_Toc404621467"/>
      <w:bookmarkStart w:id="160" w:name="_Toc28538854"/>
      <w:bookmarkStart w:id="161" w:name="_Toc395186737"/>
      <w:bookmarkStart w:id="162" w:name="_Toc292025362"/>
      <w:r>
        <w:rPr>
          <w:rFonts w:ascii="宋体" w:hAnsi="宋体"/>
        </w:rPr>
        <w:t>资料文件</w:t>
      </w:r>
      <w:bookmarkEnd w:id="158"/>
      <w:bookmarkEnd w:id="159"/>
      <w:bookmarkEnd w:id="160"/>
    </w:p>
    <w:p>
      <w:pPr>
        <w:numPr>
          <w:ilvl w:val="2"/>
          <w:numId w:val="9"/>
        </w:numPr>
        <w:tabs>
          <w:tab w:val="left" w:pos="567"/>
        </w:tabs>
        <w:spacing w:line="360" w:lineRule="auto"/>
        <w:rPr>
          <w:rFonts w:ascii="宋体" w:hAnsi="宋体"/>
          <w:szCs w:val="21"/>
        </w:rPr>
      </w:pPr>
      <w:r>
        <w:rPr>
          <w:rFonts w:ascii="宋体" w:hAnsi="宋体"/>
          <w:szCs w:val="21"/>
        </w:rPr>
        <w:t>随同投标文件一起提供的一般性资料，详见表9.1。</w:t>
      </w:r>
    </w:p>
    <w:p>
      <w:pPr>
        <w:spacing w:line="360" w:lineRule="auto"/>
        <w:jc w:val="center"/>
        <w:rPr>
          <w:rFonts w:ascii="宋体" w:hAnsi="宋体"/>
          <w:szCs w:val="21"/>
        </w:rPr>
      </w:pPr>
      <w:r>
        <w:rPr>
          <w:rFonts w:ascii="宋体" w:hAnsi="宋体"/>
          <w:szCs w:val="21"/>
        </w:rPr>
        <w:t>表9.1 随同投标文件需提供的资料</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34"/>
        <w:gridCol w:w="67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034" w:type="dxa"/>
            <w:vAlign w:val="center"/>
          </w:tcPr>
          <w:p>
            <w:pPr>
              <w:pStyle w:val="13"/>
            </w:pPr>
            <w:r>
              <w:t>序号</w:t>
            </w:r>
          </w:p>
        </w:tc>
        <w:tc>
          <w:tcPr>
            <w:tcW w:w="6729" w:type="dxa"/>
            <w:vAlign w:val="center"/>
          </w:tcPr>
          <w:p>
            <w:pPr>
              <w:pStyle w:val="13"/>
            </w:pPr>
            <w:r>
              <w:t>需提供的资料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034" w:type="dxa"/>
            <w:vAlign w:val="center"/>
          </w:tcPr>
          <w:p>
            <w:pPr>
              <w:pStyle w:val="13"/>
            </w:pPr>
            <w:r>
              <w:t>1</w:t>
            </w:r>
          </w:p>
        </w:tc>
        <w:tc>
          <w:tcPr>
            <w:tcW w:w="6729" w:type="dxa"/>
            <w:vAlign w:val="center"/>
          </w:tcPr>
          <w:p>
            <w:pPr>
              <w:pStyle w:val="13"/>
            </w:pPr>
            <w:r>
              <w:t>第三方检测报告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034" w:type="dxa"/>
            <w:vAlign w:val="center"/>
          </w:tcPr>
          <w:p>
            <w:pPr>
              <w:pStyle w:val="13"/>
            </w:pPr>
            <w:r>
              <w:t>2</w:t>
            </w:r>
          </w:p>
        </w:tc>
        <w:tc>
          <w:tcPr>
            <w:tcW w:w="6729" w:type="dxa"/>
            <w:vAlign w:val="center"/>
          </w:tcPr>
          <w:p>
            <w:pPr>
              <w:pStyle w:val="13"/>
            </w:pPr>
            <w:r>
              <w:t>质量管理体系认证证书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034" w:type="dxa"/>
            <w:vAlign w:val="center"/>
          </w:tcPr>
          <w:p>
            <w:pPr>
              <w:pStyle w:val="13"/>
            </w:pPr>
            <w:r>
              <w:t>3</w:t>
            </w:r>
          </w:p>
        </w:tc>
        <w:tc>
          <w:tcPr>
            <w:tcW w:w="6729" w:type="dxa"/>
            <w:vAlign w:val="center"/>
          </w:tcPr>
          <w:p>
            <w:pPr>
              <w:pStyle w:val="13"/>
            </w:pPr>
            <w:r>
              <w:t>质量相关认证证书等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034" w:type="dxa"/>
            <w:vAlign w:val="center"/>
          </w:tcPr>
          <w:p>
            <w:pPr>
              <w:pStyle w:val="13"/>
            </w:pPr>
            <w:r>
              <w:t>4</w:t>
            </w:r>
          </w:p>
        </w:tc>
        <w:tc>
          <w:tcPr>
            <w:tcW w:w="6729" w:type="dxa"/>
            <w:vAlign w:val="center"/>
          </w:tcPr>
          <w:p>
            <w:pPr>
              <w:pStyle w:val="13"/>
            </w:pPr>
            <w:r>
              <w:t>包装清单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034" w:type="dxa"/>
            <w:vAlign w:val="center"/>
          </w:tcPr>
          <w:p>
            <w:pPr>
              <w:pStyle w:val="13"/>
            </w:pPr>
            <w:r>
              <w:t>5</w:t>
            </w:r>
          </w:p>
        </w:tc>
        <w:tc>
          <w:tcPr>
            <w:tcW w:w="6729" w:type="dxa"/>
            <w:vAlign w:val="center"/>
          </w:tcPr>
          <w:p>
            <w:pPr>
              <w:pStyle w:val="13"/>
            </w:pPr>
            <w:r>
              <w:t>出厂合格证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034" w:type="dxa"/>
            <w:vAlign w:val="center"/>
          </w:tcPr>
          <w:p>
            <w:pPr>
              <w:pStyle w:val="13"/>
            </w:pPr>
            <w:r>
              <w:t>6</w:t>
            </w:r>
          </w:p>
        </w:tc>
        <w:tc>
          <w:tcPr>
            <w:tcW w:w="6729" w:type="dxa"/>
            <w:vAlign w:val="center"/>
          </w:tcPr>
          <w:p>
            <w:pPr>
              <w:pStyle w:val="13"/>
            </w:pPr>
            <w:r>
              <w:t>出厂检验报告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034" w:type="dxa"/>
            <w:vAlign w:val="center"/>
          </w:tcPr>
          <w:p>
            <w:pPr>
              <w:pStyle w:val="13"/>
            </w:pPr>
            <w:r>
              <w:t>7</w:t>
            </w:r>
          </w:p>
        </w:tc>
        <w:tc>
          <w:tcPr>
            <w:tcW w:w="6729" w:type="dxa"/>
            <w:vAlign w:val="center"/>
          </w:tcPr>
          <w:p>
            <w:pPr>
              <w:pStyle w:val="13"/>
            </w:pPr>
            <w:r>
              <w:t>产品安装使用说明书</w:t>
            </w:r>
          </w:p>
        </w:tc>
      </w:tr>
    </w:tbl>
    <w:p>
      <w:pPr>
        <w:numPr>
          <w:ilvl w:val="2"/>
          <w:numId w:val="9"/>
        </w:numPr>
        <w:tabs>
          <w:tab w:val="left" w:pos="567"/>
        </w:tabs>
        <w:snapToGrid w:val="0"/>
        <w:spacing w:before="312" w:beforeLines="100" w:line="360" w:lineRule="auto"/>
        <w:rPr>
          <w:rFonts w:ascii="宋体" w:hAnsi="宋体"/>
          <w:szCs w:val="21"/>
        </w:rPr>
      </w:pPr>
      <w:r>
        <w:rPr>
          <w:rFonts w:ascii="宋体" w:hAnsi="宋体"/>
          <w:szCs w:val="21"/>
        </w:rPr>
        <w:t>在技术协议签订10天内，投标方向招标方提供包括但不限于下列图纸资料及其AutoCAD格式的电子文档光盘2份，纸质版6套。</w:t>
      </w:r>
    </w:p>
    <w:p>
      <w:pPr>
        <w:numPr>
          <w:ilvl w:val="0"/>
          <w:numId w:val="10"/>
        </w:numPr>
        <w:spacing w:line="360" w:lineRule="auto"/>
        <w:rPr>
          <w:rFonts w:ascii="宋体" w:hAnsi="宋体"/>
        </w:rPr>
      </w:pPr>
      <w:r>
        <w:rPr>
          <w:rFonts w:ascii="宋体" w:hAnsi="宋体"/>
        </w:rPr>
        <w:t>投标方应承诺提供招标方提出的所有所需资料、图纸、文件供工程设计、安装、运维使用。</w:t>
      </w:r>
    </w:p>
    <w:p>
      <w:pPr>
        <w:numPr>
          <w:ilvl w:val="0"/>
          <w:numId w:val="10"/>
        </w:numPr>
        <w:spacing w:line="360" w:lineRule="auto"/>
        <w:rPr>
          <w:rFonts w:ascii="宋体" w:hAnsi="宋体"/>
        </w:rPr>
      </w:pPr>
      <w:r>
        <w:rPr>
          <w:rFonts w:ascii="宋体" w:hAnsi="宋体"/>
        </w:rPr>
        <w:t>技术数据表及相关技术资料。</w:t>
      </w:r>
    </w:p>
    <w:p>
      <w:pPr>
        <w:numPr>
          <w:ilvl w:val="0"/>
          <w:numId w:val="10"/>
        </w:numPr>
        <w:spacing w:line="360" w:lineRule="auto"/>
        <w:rPr>
          <w:rFonts w:ascii="宋体" w:hAnsi="宋体"/>
        </w:rPr>
      </w:pPr>
      <w:r>
        <w:rPr>
          <w:rFonts w:ascii="宋体" w:hAnsi="宋体"/>
        </w:rPr>
        <w:t>同型产品通过型式试验的最新说明文件。</w:t>
      </w:r>
    </w:p>
    <w:p>
      <w:pPr>
        <w:numPr>
          <w:ilvl w:val="0"/>
          <w:numId w:val="10"/>
        </w:numPr>
        <w:spacing w:line="360" w:lineRule="auto"/>
        <w:rPr>
          <w:rFonts w:ascii="宋体" w:hAnsi="宋体"/>
        </w:rPr>
      </w:pPr>
      <w:r>
        <w:rPr>
          <w:rFonts w:ascii="宋体" w:hAnsi="宋体"/>
        </w:rPr>
        <w:t>具有同类设备安装地点名称、投运时间、运行情况的记录。</w:t>
      </w:r>
    </w:p>
    <w:p>
      <w:pPr>
        <w:numPr>
          <w:ilvl w:val="0"/>
          <w:numId w:val="10"/>
        </w:numPr>
        <w:spacing w:line="360" w:lineRule="auto"/>
        <w:rPr>
          <w:rFonts w:ascii="宋体" w:hAnsi="宋体"/>
        </w:rPr>
      </w:pPr>
      <w:r>
        <w:rPr>
          <w:rFonts w:ascii="宋体" w:hAnsi="宋体"/>
        </w:rPr>
        <w:t>设备适用的标准说明。</w:t>
      </w:r>
    </w:p>
    <w:p>
      <w:pPr>
        <w:numPr>
          <w:ilvl w:val="0"/>
          <w:numId w:val="10"/>
        </w:numPr>
        <w:spacing w:line="360" w:lineRule="auto"/>
        <w:rPr>
          <w:rFonts w:ascii="宋体" w:hAnsi="宋体"/>
        </w:rPr>
      </w:pPr>
      <w:r>
        <w:rPr>
          <w:rFonts w:ascii="宋体" w:hAnsi="宋体"/>
        </w:rPr>
        <w:t>提供图纸计划及生产制造、交货进度计划。</w:t>
      </w:r>
    </w:p>
    <w:p>
      <w:pPr>
        <w:numPr>
          <w:ilvl w:val="0"/>
          <w:numId w:val="10"/>
        </w:numPr>
        <w:spacing w:line="360" w:lineRule="auto"/>
        <w:rPr>
          <w:rFonts w:ascii="宋体" w:hAnsi="宋体"/>
        </w:rPr>
      </w:pPr>
      <w:r>
        <w:rPr>
          <w:rFonts w:ascii="宋体" w:hAnsi="宋体"/>
        </w:rPr>
        <w:t>图纸和技术文件，包括安装、运行和维护等说明书及试验报告。</w:t>
      </w:r>
    </w:p>
    <w:p>
      <w:pPr>
        <w:numPr>
          <w:ilvl w:val="2"/>
          <w:numId w:val="9"/>
        </w:numPr>
        <w:tabs>
          <w:tab w:val="left" w:pos="567"/>
        </w:tabs>
        <w:snapToGrid w:val="0"/>
        <w:spacing w:line="360" w:lineRule="auto"/>
        <w:rPr>
          <w:rFonts w:ascii="宋体" w:hAnsi="宋体"/>
          <w:szCs w:val="21"/>
        </w:rPr>
      </w:pPr>
      <w:r>
        <w:rPr>
          <w:rFonts w:ascii="宋体" w:hAnsi="宋体"/>
          <w:szCs w:val="21"/>
        </w:rPr>
        <w:t>设备供货时，开箱资料除了9.2.2条所规定的图纸资料外，还应提供下列资料，均为一式8份：</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1）设备安装、运行、维护说明书(中文或中英文对照，并提供电子版)，安装作业指导书，包括一次本体装配作业指导书、二次安装调试作业指导、关键质量控制点、质量管理措施和相关工艺的指导性文件；</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2）部件、易损件、备品备件及专用工器具清单；</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3）设备出厂试验报告、产品合格证、控制器软件版本号和硬件版本号等；</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4）装箱清单。</w:t>
      </w:r>
    </w:p>
    <w:p>
      <w:pPr>
        <w:snapToGrid w:val="0"/>
        <w:spacing w:line="360" w:lineRule="auto"/>
        <w:rPr>
          <w:rFonts w:eastAsiaTheme="minorEastAsia" w:cstheme="minorBidi"/>
          <w:szCs w:val="21"/>
        </w:rPr>
      </w:pPr>
      <w:bookmarkStart w:id="163" w:name="_Toc404621468"/>
      <w:bookmarkStart w:id="164" w:name="_Toc27881"/>
      <w:bookmarkStart w:id="165" w:name="_Toc28538855"/>
      <w:r>
        <w:rPr>
          <w:rFonts w:hint="eastAsia" w:eastAsiaTheme="minorEastAsia" w:cstheme="minorBidi"/>
          <w:szCs w:val="21"/>
        </w:rPr>
        <w:t>9.3设计联络</w:t>
      </w:r>
      <w:bookmarkEnd w:id="163"/>
      <w:bookmarkEnd w:id="164"/>
      <w:bookmarkEnd w:id="165"/>
    </w:p>
    <w:p>
      <w:pPr>
        <w:snapToGrid w:val="0"/>
        <w:spacing w:line="360" w:lineRule="auto"/>
        <w:ind w:firstLine="420" w:firstLineChars="200"/>
        <w:rPr>
          <w:rFonts w:eastAsiaTheme="minorEastAsia" w:cstheme="minorBidi"/>
          <w:szCs w:val="21"/>
        </w:rPr>
      </w:pPr>
      <w:r>
        <w:rPr>
          <w:rFonts w:hint="eastAsia" w:eastAsiaTheme="minorEastAsia" w:cstheme="minorBidi"/>
          <w:szCs w:val="21"/>
        </w:rPr>
        <w:t xml:space="preserve">1）投标方应在技术协议签订后的在专用部分要求的时间内向招标方提供正式版的用于设计、设备监造和检验、现场安装和调试以及运行维护方面的图纸、说明书和有关技术资料，同时向招标方设计代表提供拷贝磁盘2份（图纸为AutoCAD版、文字资料为Word版）。 </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2）投标方应按设计需要随时开展设计联络工作，提供设计所需的相关资料，以保证招标方工期要求。</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3）投标方提供的图纸必须经招标方代表确认。</w:t>
      </w:r>
    </w:p>
    <w:bookmarkEnd w:id="161"/>
    <w:bookmarkEnd w:id="162"/>
    <w:p>
      <w:pPr>
        <w:snapToGrid w:val="0"/>
        <w:spacing w:line="360" w:lineRule="auto"/>
        <w:rPr>
          <w:rFonts w:eastAsiaTheme="minorEastAsia" w:cstheme="minorBidi"/>
          <w:b/>
          <w:bCs/>
          <w:szCs w:val="21"/>
        </w:rPr>
      </w:pPr>
      <w:bookmarkStart w:id="166" w:name="_Toc19006"/>
      <w:bookmarkStart w:id="167" w:name="_Toc28538856"/>
      <w:bookmarkStart w:id="168" w:name="_Toc404621469"/>
      <w:r>
        <w:rPr>
          <w:rFonts w:hint="eastAsia" w:eastAsiaTheme="minorEastAsia" w:cstheme="minorBidi"/>
          <w:b/>
          <w:bCs/>
          <w:szCs w:val="21"/>
        </w:rPr>
        <w:t>10 监造、包装、运输和贮存及质量保证</w:t>
      </w:r>
      <w:bookmarkEnd w:id="166"/>
      <w:bookmarkEnd w:id="167"/>
      <w:bookmarkEnd w:id="168"/>
    </w:p>
    <w:p>
      <w:pPr>
        <w:snapToGrid w:val="0"/>
        <w:spacing w:line="360" w:lineRule="auto"/>
        <w:rPr>
          <w:rFonts w:eastAsiaTheme="minorEastAsia" w:cstheme="minorBidi"/>
          <w:szCs w:val="21"/>
        </w:rPr>
      </w:pPr>
      <w:bookmarkStart w:id="169" w:name="_Toc27908"/>
      <w:bookmarkStart w:id="170" w:name="_Toc28538857"/>
      <w:bookmarkStart w:id="171" w:name="_Toc404621470"/>
      <w:r>
        <w:rPr>
          <w:rFonts w:hint="eastAsia" w:eastAsiaTheme="minorEastAsia" w:cstheme="minorBidi"/>
          <w:szCs w:val="21"/>
        </w:rPr>
        <w:t>10.1监造</w:t>
      </w:r>
      <w:bookmarkEnd w:id="169"/>
      <w:bookmarkEnd w:id="170"/>
    </w:p>
    <w:p>
      <w:pPr>
        <w:snapToGrid w:val="0"/>
        <w:spacing w:line="360" w:lineRule="auto"/>
        <w:ind w:firstLine="420" w:firstLineChars="200"/>
        <w:rPr>
          <w:rFonts w:eastAsiaTheme="minorEastAsia" w:cstheme="minorBidi"/>
          <w:szCs w:val="21"/>
        </w:rPr>
      </w:pPr>
      <w:r>
        <w:rPr>
          <w:rFonts w:hint="eastAsia" w:eastAsiaTheme="minorEastAsia" w:cstheme="minorBidi"/>
          <w:szCs w:val="21"/>
        </w:rPr>
        <w:t>1）投标方必须在签订合同后10天之内以书面形式提供所供设备的制造进度表。根据需要招标方可随时进厂监造。监造和检验人员有权了解生产过程、查询质量记录和参加各种试验。</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2）监造范围包括设备的设计、加工、制造、储运、材料采购、组装和试验等重要过程，关键部件的质量控制，进行见证、检验和审核。</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3）运行单位的工厂监造和检验工作，不减少投标方对产品的质量责任，监造和检验人员不签署任何质量证明。</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4）投标方应在出厂前提前至少5个工作日书面通知招标方进行出厂试验监督。</w:t>
      </w:r>
    </w:p>
    <w:p>
      <w:pPr>
        <w:snapToGrid w:val="0"/>
        <w:spacing w:line="360" w:lineRule="auto"/>
        <w:rPr>
          <w:rFonts w:eastAsiaTheme="minorEastAsia" w:cstheme="minorBidi"/>
          <w:szCs w:val="21"/>
        </w:rPr>
      </w:pPr>
      <w:bookmarkStart w:id="172" w:name="_Toc28538858"/>
      <w:bookmarkStart w:id="173" w:name="_Toc16397"/>
      <w:r>
        <w:rPr>
          <w:rFonts w:hint="eastAsia" w:eastAsiaTheme="minorEastAsia" w:cstheme="minorBidi"/>
          <w:szCs w:val="21"/>
        </w:rPr>
        <w:t>10.2包装</w:t>
      </w:r>
      <w:bookmarkEnd w:id="171"/>
      <w:bookmarkEnd w:id="172"/>
      <w:bookmarkEnd w:id="173"/>
    </w:p>
    <w:p>
      <w:pPr>
        <w:snapToGrid w:val="0"/>
        <w:spacing w:line="360" w:lineRule="auto"/>
        <w:ind w:firstLine="420" w:firstLineChars="200"/>
        <w:rPr>
          <w:rFonts w:eastAsiaTheme="minorEastAsia" w:cstheme="minorBidi"/>
          <w:szCs w:val="21"/>
        </w:rPr>
      </w:pPr>
      <w:r>
        <w:rPr>
          <w:rFonts w:hint="eastAsia" w:eastAsiaTheme="minorEastAsia" w:cstheme="minorBidi"/>
          <w:szCs w:val="21"/>
        </w:rPr>
        <w:t>1）要严格按照制造厂给出的说明书对设备进行包装、运输和储存。制造厂应在交货前的适当时间提供设备的运输和储存说明书。</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2）设备制造完成并通过试验后应及时包装，否则应得到切实的保护。其包装也应符合铁路、公路和海运部门的有关规定。</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3）包装箱上应有运输及起吊标志：“向上”、“防潮”、“小心轻放”、“由此吊起”等字样明显的包装储运图示标志，并应标明设备的订货号和发货号。</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4）设备及附件的包装应能保证各零部件在运输过程中不致遭到脏污、损坏、变形、丢失及受潮。对于其中的绝缘部件及由有机绝缘材料制成的绝缘件应特别加以保护，以免损坏和受潮。对于外露的接触表面，应有预防腐蚀的措施。所有运输措施均应经过验证。凡有运输损坏，应由制造厂负责赔偿。</w:t>
      </w:r>
    </w:p>
    <w:p>
      <w:pPr>
        <w:snapToGrid w:val="0"/>
        <w:spacing w:line="360" w:lineRule="auto"/>
        <w:rPr>
          <w:rFonts w:eastAsiaTheme="minorEastAsia" w:cstheme="minorBidi"/>
          <w:szCs w:val="21"/>
        </w:rPr>
      </w:pPr>
      <w:bookmarkStart w:id="174" w:name="_Toc28538859"/>
      <w:bookmarkStart w:id="175" w:name="_Toc4562"/>
      <w:r>
        <w:rPr>
          <w:rFonts w:hint="eastAsia" w:eastAsiaTheme="minorEastAsia" w:cstheme="minorBidi"/>
          <w:szCs w:val="21"/>
        </w:rPr>
        <w:t>10.3运输</w:t>
      </w:r>
      <w:bookmarkEnd w:id="174"/>
      <w:bookmarkEnd w:id="175"/>
    </w:p>
    <w:p>
      <w:pPr>
        <w:snapToGrid w:val="0"/>
        <w:spacing w:line="360" w:lineRule="auto"/>
        <w:ind w:firstLine="420" w:firstLineChars="200"/>
        <w:rPr>
          <w:rFonts w:eastAsiaTheme="minorEastAsia" w:cstheme="minorBidi"/>
          <w:szCs w:val="21"/>
        </w:rPr>
      </w:pPr>
      <w:r>
        <w:rPr>
          <w:rFonts w:hint="eastAsia" w:eastAsiaTheme="minorEastAsia" w:cstheme="minorBidi"/>
          <w:szCs w:val="21"/>
        </w:rPr>
        <w:t>1）整体运输时，设备内部元件应不得移位、损坏和受潮，不得影响安装。</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2）单独运输的零部件应有标志，便于用户安装装配。</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3）整体产品或分别运输的部件，都要适合于运输及装卸的要求。</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4）随同运输的产品应附有装箱清单，产品所需提供的技术资料应完整无缺。</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5）设备在运输和装卸时，应按照DL/T 1071《电力大件运输规范》在要求进行。</w:t>
      </w:r>
    </w:p>
    <w:p>
      <w:pPr>
        <w:snapToGrid w:val="0"/>
        <w:spacing w:line="360" w:lineRule="auto"/>
        <w:rPr>
          <w:rFonts w:eastAsiaTheme="minorEastAsia" w:cstheme="minorBidi"/>
          <w:szCs w:val="21"/>
        </w:rPr>
      </w:pPr>
      <w:bookmarkStart w:id="176" w:name="_Toc1298"/>
      <w:bookmarkStart w:id="177" w:name="_Toc28538860"/>
      <w:r>
        <w:rPr>
          <w:rFonts w:hint="eastAsia" w:eastAsiaTheme="minorEastAsia" w:cstheme="minorBidi"/>
          <w:szCs w:val="21"/>
        </w:rPr>
        <w:t>10.4安装指导</w:t>
      </w:r>
      <w:bookmarkEnd w:id="176"/>
      <w:bookmarkEnd w:id="177"/>
    </w:p>
    <w:p>
      <w:pPr>
        <w:snapToGrid w:val="0"/>
        <w:spacing w:line="360" w:lineRule="auto"/>
        <w:ind w:firstLine="420" w:firstLineChars="200"/>
        <w:rPr>
          <w:rFonts w:eastAsiaTheme="minorEastAsia" w:cstheme="minorBidi"/>
          <w:szCs w:val="21"/>
        </w:rPr>
      </w:pPr>
      <w:r>
        <w:rPr>
          <w:rFonts w:hint="eastAsia" w:eastAsiaTheme="minorEastAsia" w:cstheme="minorBidi"/>
          <w:szCs w:val="21"/>
        </w:rPr>
        <w:t>制造厂在安装和启动时应安排技术人员提供现场安装指导服务，提出技术建议，并有对运行人员提供相关培训的义务。</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设备在现场搬运、吊装就位和安装时，应按照GB 26164.1-2010《电业安全工作规程 第1部分：热力和机械》的要求进行。</w:t>
      </w:r>
    </w:p>
    <w:p>
      <w:pPr>
        <w:snapToGrid w:val="0"/>
        <w:spacing w:line="360" w:lineRule="auto"/>
        <w:rPr>
          <w:rFonts w:eastAsiaTheme="minorEastAsia" w:cstheme="minorBidi"/>
          <w:szCs w:val="21"/>
        </w:rPr>
      </w:pPr>
      <w:bookmarkStart w:id="178" w:name="_Toc22039"/>
      <w:bookmarkStart w:id="179" w:name="_Toc28538861"/>
      <w:r>
        <w:rPr>
          <w:rFonts w:hint="eastAsia" w:eastAsiaTheme="minorEastAsia" w:cstheme="minorBidi"/>
          <w:szCs w:val="21"/>
        </w:rPr>
        <w:t>10.5质量保证</w:t>
      </w:r>
      <w:bookmarkEnd w:id="178"/>
      <w:bookmarkEnd w:id="179"/>
    </w:p>
    <w:p>
      <w:pPr>
        <w:snapToGrid w:val="0"/>
        <w:spacing w:line="360" w:lineRule="auto"/>
        <w:ind w:firstLine="420" w:firstLineChars="200"/>
        <w:rPr>
          <w:rFonts w:eastAsiaTheme="minorEastAsia" w:cstheme="minorBidi"/>
          <w:szCs w:val="21"/>
        </w:rPr>
      </w:pPr>
      <w:r>
        <w:rPr>
          <w:rFonts w:hint="eastAsia" w:eastAsiaTheme="minorEastAsia" w:cstheme="minorBidi"/>
          <w:szCs w:val="21"/>
        </w:rPr>
        <w:t>1）全部设备必须是全新的，持久耐用的，应满足作为一个完整产品所能满足的全部要求。投标方应保证设备在规定的使用条件下运行、并按使用说明书进行安装和维护、预期寿命应不少于8年。</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2）投标方应对其整组设备在到货后提供不少于三年的“三包”质量保证。质保期后，设备生命周期内，投标方应保证备品备件的供应满足投标服务响应要求。如发生产品损坏，投标方应及时为本组装置提供维修部件，并按最近的投标价提供。</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3）在现场安装时非对接需要对货物进行开盖处理的，质量保证期应延长一年。在货物质量保证期内，现场开盖处理的间隔的质量保证期重新计算，并延长一年。</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4）投标方保证其提供的产品是全新的、未使用过的，所有合同货物本体、附件及螺栓、螺帽、阀门等部件必须防腐防锈，质保期内不得出现锈蚀、开裂，否则应无条件更换；质保期后但在投运8年内，出现喷漆脱落、锈蚀等任何影响合同货物外观的损坏，投标方应免费处理。投标方保证其产品在正确安装、正常操作情况下，运行安全、可靠。在合同货物质量保证期内，如发现投标方提供的合同货物有缺陷，不符合合同约定时，招标方可向投标方提出索赔。</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5）订购的新型产品除应满足本标准外，投标方还应提供该产品的鉴定证书。</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6）投标方应保证制造过程中的所有工艺、材料试验等（包括投标方的外购件在内）均应符合本标准的规定。若招标方根据运行经验指定投标方提供某种外购零部件，投标方应积极配合。</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7）附属及配套设备必须满足有关行业标准的要求，并提供试验报告和产品合格证。</w:t>
      </w:r>
    </w:p>
    <w:p>
      <w:pPr>
        <w:snapToGrid w:val="0"/>
        <w:spacing w:line="360" w:lineRule="auto"/>
        <w:ind w:firstLine="420" w:firstLineChars="200"/>
        <w:rPr>
          <w:rFonts w:eastAsiaTheme="minorEastAsia" w:cstheme="minorBidi"/>
          <w:szCs w:val="21"/>
        </w:rPr>
      </w:pPr>
      <w:r>
        <w:rPr>
          <w:rFonts w:hint="eastAsia" w:eastAsiaTheme="minorEastAsia" w:cstheme="minorBidi"/>
          <w:szCs w:val="21"/>
        </w:rPr>
        <w:t>8）投标方应有遵守本标准中各条款和工作项目的ISO9000-GB/T19000质量保证体系，该质量保证体系已经通过国家认证并在正常运转。</w:t>
      </w:r>
    </w:p>
    <w:p/>
    <w:sectPr>
      <w:headerReference r:id="rId4" w:type="default"/>
      <w:footerReference r:id="rId5"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视频处理单元技术规范书(通用部分)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BC6F48"/>
    <w:multiLevelType w:val="multilevel"/>
    <w:tmpl w:val="03BC6F48"/>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12864658"/>
    <w:multiLevelType w:val="multilevel"/>
    <w:tmpl w:val="12864658"/>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1E013549"/>
    <w:multiLevelType w:val="multilevel"/>
    <w:tmpl w:val="1E013549"/>
    <w:lvl w:ilvl="0" w:tentative="0">
      <w:start w:val="1"/>
      <w:numFmt w:val="decimal"/>
      <w:lvlText w:val="%1)"/>
      <w:lvlJc w:val="left"/>
      <w:pPr>
        <w:ind w:left="1155" w:hanging="420"/>
      </w:p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abstractNum w:abstractNumId="3">
    <w:nsid w:val="26716E7E"/>
    <w:multiLevelType w:val="multilevel"/>
    <w:tmpl w:val="26716E7E"/>
    <w:lvl w:ilvl="0" w:tentative="0">
      <w:start w:val="1"/>
      <w:numFmt w:val="decimal"/>
      <w:lvlText w:val="%1"/>
      <w:lvlJc w:val="left"/>
      <w:pPr>
        <w:ind w:left="0" w:firstLine="0"/>
      </w:pPr>
      <w:rPr>
        <w:rFonts w:hint="eastAsia"/>
      </w:rPr>
    </w:lvl>
    <w:lvl w:ilvl="1" w:tentative="0">
      <w:start w:val="1"/>
      <w:numFmt w:val="decimal"/>
      <w:lvlText w:val="6.%2"/>
      <w:lvlJc w:val="left"/>
      <w:pPr>
        <w:ind w:left="0" w:firstLine="0"/>
      </w:pPr>
      <w:rPr>
        <w:rFonts w:hint="eastAsia"/>
      </w:rPr>
    </w:lvl>
    <w:lvl w:ilvl="2" w:tentative="0">
      <w:start w:val="1"/>
      <w:numFmt w:val="decimal"/>
      <w:lvlText w:val="9.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4">
    <w:nsid w:val="268F79E5"/>
    <w:multiLevelType w:val="multilevel"/>
    <w:tmpl w:val="268F79E5"/>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9B15EC5"/>
    <w:multiLevelType w:val="multilevel"/>
    <w:tmpl w:val="49B15EC5"/>
    <w:lvl w:ilvl="0" w:tentative="0">
      <w:start w:val="1"/>
      <w:numFmt w:val="decimal"/>
      <w:lvlText w:val="%1)"/>
      <w:lvlJc w:val="left"/>
      <w:pPr>
        <w:ind w:left="1155" w:hanging="420"/>
      </w:p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abstractNum w:abstractNumId="6">
    <w:nsid w:val="503A0B7D"/>
    <w:multiLevelType w:val="multilevel"/>
    <w:tmpl w:val="503A0B7D"/>
    <w:lvl w:ilvl="0" w:tentative="0">
      <w:start w:val="1"/>
      <w:numFmt w:val="decimal"/>
      <w:lvlText w:val="%1）"/>
      <w:lvlJc w:val="left"/>
      <w:pPr>
        <w:ind w:left="780" w:hanging="360"/>
      </w:pPr>
      <w:rPr>
        <w:rFonts w:hint="default" w:ascii="Times New Roman" w:hAnsi="Times New Roman"/>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532F7C4C"/>
    <w:multiLevelType w:val="multilevel"/>
    <w:tmpl w:val="532F7C4C"/>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3156666"/>
    <w:multiLevelType w:val="multilevel"/>
    <w:tmpl w:val="63156666"/>
    <w:lvl w:ilvl="0" w:tentative="0">
      <w:start w:val="1"/>
      <w:numFmt w:val="decimal"/>
      <w:lvlText w:val="%1"/>
      <w:lvlJc w:val="left"/>
      <w:pPr>
        <w:ind w:left="0" w:firstLine="0"/>
      </w:pPr>
      <w:rPr>
        <w:rFonts w:hint="eastAsia" w:ascii="黑体" w:hAnsi="黑体" w:eastAsia="黑体"/>
      </w:rPr>
    </w:lvl>
    <w:lvl w:ilvl="1" w:tentative="0">
      <w:start w:val="1"/>
      <w:numFmt w:val="decimal"/>
      <w:lvlText w:val="%1.%2"/>
      <w:lvlJc w:val="left"/>
      <w:pPr>
        <w:ind w:left="0" w:firstLine="0"/>
      </w:pPr>
      <w:rPr>
        <w:rFonts w:hint="eastAsia"/>
      </w:rPr>
    </w:lvl>
    <w:lvl w:ilvl="2" w:tentative="0">
      <w:start w:val="1"/>
      <w:numFmt w:val="decimal"/>
      <w:lvlText w:val="%1.%2.%3"/>
      <w:lvlJc w:val="left"/>
      <w:pPr>
        <w:ind w:left="0" w:firstLine="0"/>
      </w:pPr>
      <w:rPr>
        <w:rFonts w:hint="default" w:ascii="Times New Roman" w:hAnsi="Times New Roman" w:cs="Times New Roman"/>
      </w:rPr>
    </w:lvl>
    <w:lvl w:ilvl="3" w:tentative="0">
      <w:start w:val="1"/>
      <w:numFmt w:val="decimal"/>
      <w:lvlText w:val="%1.%2.%3.%4"/>
      <w:lvlJc w:val="left"/>
      <w:pPr>
        <w:ind w:left="0" w:firstLine="0"/>
      </w:pPr>
      <w:rPr>
        <w:rFonts w:hint="default" w:ascii="Times New Roman" w:hAnsi="Times New Roman" w:cs="Times New Roman"/>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9">
    <w:nsid w:val="6C055118"/>
    <w:multiLevelType w:val="multilevel"/>
    <w:tmpl w:val="6C055118"/>
    <w:lvl w:ilvl="0" w:tentative="0">
      <w:start w:val="1"/>
      <w:numFmt w:val="decimal"/>
      <w:lvlText w:val="%1)"/>
      <w:lvlJc w:val="left"/>
      <w:pPr>
        <w:ind w:left="840" w:hanging="420"/>
      </w:pPr>
    </w:lvl>
    <w:lvl w:ilvl="1" w:tentative="0">
      <w:start w:val="1"/>
      <w:numFmt w:val="lowerLetter"/>
      <w:lvlText w:val="%2）"/>
      <w:lvlJc w:val="left"/>
      <w:pPr>
        <w:ind w:left="1530" w:hanging="69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8"/>
  </w:num>
  <w:num w:numId="2">
    <w:abstractNumId w:val="5"/>
  </w:num>
  <w:num w:numId="3">
    <w:abstractNumId w:val="2"/>
  </w:num>
  <w:num w:numId="4">
    <w:abstractNumId w:val="1"/>
  </w:num>
  <w:num w:numId="5">
    <w:abstractNumId w:val="7"/>
  </w:num>
  <w:num w:numId="6">
    <w:abstractNumId w:val="0"/>
  </w:num>
  <w:num w:numId="7">
    <w:abstractNumId w:val="9"/>
  </w:num>
  <w:num w:numId="8">
    <w:abstractNumId w:val="4"/>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1C2C6B"/>
    <w:rsid w:val="0023267A"/>
    <w:rsid w:val="003573EE"/>
    <w:rsid w:val="0055171D"/>
    <w:rsid w:val="005D100F"/>
    <w:rsid w:val="006E417B"/>
    <w:rsid w:val="007448E0"/>
    <w:rsid w:val="007F2B0D"/>
    <w:rsid w:val="00A31F13"/>
    <w:rsid w:val="00A64225"/>
    <w:rsid w:val="00B05EF8"/>
    <w:rsid w:val="00BA2152"/>
    <w:rsid w:val="00C05019"/>
    <w:rsid w:val="00C72D59"/>
    <w:rsid w:val="00C837DC"/>
    <w:rsid w:val="01011D81"/>
    <w:rsid w:val="01071EB9"/>
    <w:rsid w:val="011B6B41"/>
    <w:rsid w:val="012914AF"/>
    <w:rsid w:val="01362F9D"/>
    <w:rsid w:val="01421273"/>
    <w:rsid w:val="014C73D9"/>
    <w:rsid w:val="01764EC8"/>
    <w:rsid w:val="01767071"/>
    <w:rsid w:val="0178039C"/>
    <w:rsid w:val="017F3999"/>
    <w:rsid w:val="018B0179"/>
    <w:rsid w:val="0191606D"/>
    <w:rsid w:val="019D2B2F"/>
    <w:rsid w:val="01BB5668"/>
    <w:rsid w:val="01BE4F1D"/>
    <w:rsid w:val="01C228E6"/>
    <w:rsid w:val="01E64857"/>
    <w:rsid w:val="021523F7"/>
    <w:rsid w:val="02185713"/>
    <w:rsid w:val="023D64B2"/>
    <w:rsid w:val="02504CDF"/>
    <w:rsid w:val="02817564"/>
    <w:rsid w:val="029F18E7"/>
    <w:rsid w:val="02B17C77"/>
    <w:rsid w:val="02B64FA6"/>
    <w:rsid w:val="02DD293B"/>
    <w:rsid w:val="02E26402"/>
    <w:rsid w:val="031533B1"/>
    <w:rsid w:val="03364762"/>
    <w:rsid w:val="0339746A"/>
    <w:rsid w:val="03421555"/>
    <w:rsid w:val="036237EC"/>
    <w:rsid w:val="03655E0E"/>
    <w:rsid w:val="036E37E1"/>
    <w:rsid w:val="037176CC"/>
    <w:rsid w:val="03724341"/>
    <w:rsid w:val="037340A5"/>
    <w:rsid w:val="0379243C"/>
    <w:rsid w:val="037D0F4E"/>
    <w:rsid w:val="0390419B"/>
    <w:rsid w:val="03BB109D"/>
    <w:rsid w:val="03DF3A8E"/>
    <w:rsid w:val="03E84E6F"/>
    <w:rsid w:val="03F84FDB"/>
    <w:rsid w:val="03FA5579"/>
    <w:rsid w:val="040A55E7"/>
    <w:rsid w:val="040D14F5"/>
    <w:rsid w:val="0420026F"/>
    <w:rsid w:val="043426C8"/>
    <w:rsid w:val="045D4597"/>
    <w:rsid w:val="04783E62"/>
    <w:rsid w:val="047B5DF9"/>
    <w:rsid w:val="04825F78"/>
    <w:rsid w:val="04A030C9"/>
    <w:rsid w:val="04A83FAC"/>
    <w:rsid w:val="04B37FCB"/>
    <w:rsid w:val="04BB3688"/>
    <w:rsid w:val="04D50384"/>
    <w:rsid w:val="04DC2652"/>
    <w:rsid w:val="04E93527"/>
    <w:rsid w:val="04EC22CF"/>
    <w:rsid w:val="04ED6E24"/>
    <w:rsid w:val="05012275"/>
    <w:rsid w:val="05132434"/>
    <w:rsid w:val="051B4CE2"/>
    <w:rsid w:val="051E4A94"/>
    <w:rsid w:val="05465F84"/>
    <w:rsid w:val="056637B1"/>
    <w:rsid w:val="0567426F"/>
    <w:rsid w:val="0573719D"/>
    <w:rsid w:val="058B4594"/>
    <w:rsid w:val="05AF6B8E"/>
    <w:rsid w:val="05DF7978"/>
    <w:rsid w:val="05E6282F"/>
    <w:rsid w:val="05EC1365"/>
    <w:rsid w:val="05F9179A"/>
    <w:rsid w:val="06181C4C"/>
    <w:rsid w:val="062B4F4B"/>
    <w:rsid w:val="06330EC2"/>
    <w:rsid w:val="06490716"/>
    <w:rsid w:val="065D5C0D"/>
    <w:rsid w:val="066223A6"/>
    <w:rsid w:val="06641642"/>
    <w:rsid w:val="06683C4F"/>
    <w:rsid w:val="06822CC2"/>
    <w:rsid w:val="069A7B57"/>
    <w:rsid w:val="06A754A5"/>
    <w:rsid w:val="06B900BC"/>
    <w:rsid w:val="06BE696E"/>
    <w:rsid w:val="06D21889"/>
    <w:rsid w:val="06DE1D39"/>
    <w:rsid w:val="06F03A48"/>
    <w:rsid w:val="06F90A69"/>
    <w:rsid w:val="070334B1"/>
    <w:rsid w:val="070D6381"/>
    <w:rsid w:val="070F7664"/>
    <w:rsid w:val="0711481E"/>
    <w:rsid w:val="07235445"/>
    <w:rsid w:val="072D7AE0"/>
    <w:rsid w:val="07307831"/>
    <w:rsid w:val="073B7BFE"/>
    <w:rsid w:val="074767FF"/>
    <w:rsid w:val="077F6E2D"/>
    <w:rsid w:val="078B1DEF"/>
    <w:rsid w:val="07903DF5"/>
    <w:rsid w:val="07924BC0"/>
    <w:rsid w:val="079A691E"/>
    <w:rsid w:val="07B02C71"/>
    <w:rsid w:val="07C330B3"/>
    <w:rsid w:val="07D312BC"/>
    <w:rsid w:val="07DC277B"/>
    <w:rsid w:val="07F01549"/>
    <w:rsid w:val="07FC374F"/>
    <w:rsid w:val="080E5ECF"/>
    <w:rsid w:val="082B796A"/>
    <w:rsid w:val="082D1807"/>
    <w:rsid w:val="082E6D66"/>
    <w:rsid w:val="083D22DD"/>
    <w:rsid w:val="08501CB9"/>
    <w:rsid w:val="08703A9A"/>
    <w:rsid w:val="087B70C8"/>
    <w:rsid w:val="087C1CDD"/>
    <w:rsid w:val="089D4B83"/>
    <w:rsid w:val="089E5773"/>
    <w:rsid w:val="08BE3BF6"/>
    <w:rsid w:val="08BF465A"/>
    <w:rsid w:val="08C70F32"/>
    <w:rsid w:val="090C7C42"/>
    <w:rsid w:val="09185A44"/>
    <w:rsid w:val="091C069B"/>
    <w:rsid w:val="091C1E6C"/>
    <w:rsid w:val="091C2929"/>
    <w:rsid w:val="092810E3"/>
    <w:rsid w:val="09290873"/>
    <w:rsid w:val="094110C0"/>
    <w:rsid w:val="095A1521"/>
    <w:rsid w:val="095C0608"/>
    <w:rsid w:val="095D0E73"/>
    <w:rsid w:val="098940BC"/>
    <w:rsid w:val="098D31A1"/>
    <w:rsid w:val="09AF1E88"/>
    <w:rsid w:val="09B6157A"/>
    <w:rsid w:val="09DA463F"/>
    <w:rsid w:val="09DC5C5F"/>
    <w:rsid w:val="09E51715"/>
    <w:rsid w:val="09F30B67"/>
    <w:rsid w:val="09F77BFB"/>
    <w:rsid w:val="09FA503C"/>
    <w:rsid w:val="09FC24AF"/>
    <w:rsid w:val="0A0A1DF0"/>
    <w:rsid w:val="0A0A45DD"/>
    <w:rsid w:val="0A180827"/>
    <w:rsid w:val="0A187395"/>
    <w:rsid w:val="0A2C1E30"/>
    <w:rsid w:val="0A456823"/>
    <w:rsid w:val="0A4E3164"/>
    <w:rsid w:val="0A640401"/>
    <w:rsid w:val="0A9E2494"/>
    <w:rsid w:val="0AC47CED"/>
    <w:rsid w:val="0ACC39D3"/>
    <w:rsid w:val="0AE83A31"/>
    <w:rsid w:val="0AFB52F9"/>
    <w:rsid w:val="0AFF088D"/>
    <w:rsid w:val="0B07796B"/>
    <w:rsid w:val="0B17240F"/>
    <w:rsid w:val="0B1F76D1"/>
    <w:rsid w:val="0B3B0A2A"/>
    <w:rsid w:val="0B516DD6"/>
    <w:rsid w:val="0B554D15"/>
    <w:rsid w:val="0B84578C"/>
    <w:rsid w:val="0B8D61D5"/>
    <w:rsid w:val="0B9847B0"/>
    <w:rsid w:val="0BAE730A"/>
    <w:rsid w:val="0BB13F82"/>
    <w:rsid w:val="0BB80271"/>
    <w:rsid w:val="0BBD0FBD"/>
    <w:rsid w:val="0BC5045F"/>
    <w:rsid w:val="0BD02A45"/>
    <w:rsid w:val="0BD70673"/>
    <w:rsid w:val="0BDC2C73"/>
    <w:rsid w:val="0BE5632B"/>
    <w:rsid w:val="0BF01ACD"/>
    <w:rsid w:val="0C040B6D"/>
    <w:rsid w:val="0C231D29"/>
    <w:rsid w:val="0C3469B1"/>
    <w:rsid w:val="0C4257F8"/>
    <w:rsid w:val="0C4369DF"/>
    <w:rsid w:val="0C4D254D"/>
    <w:rsid w:val="0C4D473F"/>
    <w:rsid w:val="0C565161"/>
    <w:rsid w:val="0C577F47"/>
    <w:rsid w:val="0C6B3DE8"/>
    <w:rsid w:val="0C701C7D"/>
    <w:rsid w:val="0C843145"/>
    <w:rsid w:val="0C870E65"/>
    <w:rsid w:val="0CAA5C76"/>
    <w:rsid w:val="0CCF5152"/>
    <w:rsid w:val="0CDD4310"/>
    <w:rsid w:val="0CF26DA4"/>
    <w:rsid w:val="0CF463AE"/>
    <w:rsid w:val="0CF81FC0"/>
    <w:rsid w:val="0D0849AE"/>
    <w:rsid w:val="0D130392"/>
    <w:rsid w:val="0D43231C"/>
    <w:rsid w:val="0D4B11B9"/>
    <w:rsid w:val="0D5227CD"/>
    <w:rsid w:val="0D7306B5"/>
    <w:rsid w:val="0D7D4AF3"/>
    <w:rsid w:val="0D882814"/>
    <w:rsid w:val="0D8854F5"/>
    <w:rsid w:val="0D8D53BE"/>
    <w:rsid w:val="0D9B6AC9"/>
    <w:rsid w:val="0DAD6BCE"/>
    <w:rsid w:val="0DB000D7"/>
    <w:rsid w:val="0DBB1D32"/>
    <w:rsid w:val="0DD01920"/>
    <w:rsid w:val="0DDE509C"/>
    <w:rsid w:val="0DFC755D"/>
    <w:rsid w:val="0E045E99"/>
    <w:rsid w:val="0E19145F"/>
    <w:rsid w:val="0E2E7C6D"/>
    <w:rsid w:val="0E346BF5"/>
    <w:rsid w:val="0E36237D"/>
    <w:rsid w:val="0E387A85"/>
    <w:rsid w:val="0E4238BE"/>
    <w:rsid w:val="0E463FEA"/>
    <w:rsid w:val="0E4A62BA"/>
    <w:rsid w:val="0E510210"/>
    <w:rsid w:val="0E59746C"/>
    <w:rsid w:val="0E68739C"/>
    <w:rsid w:val="0E7C2BF1"/>
    <w:rsid w:val="0E893B54"/>
    <w:rsid w:val="0E8D138E"/>
    <w:rsid w:val="0E9A1AED"/>
    <w:rsid w:val="0E9D5EAD"/>
    <w:rsid w:val="0EB45322"/>
    <w:rsid w:val="0EB860DB"/>
    <w:rsid w:val="0EBF3D4A"/>
    <w:rsid w:val="0ED24511"/>
    <w:rsid w:val="0EEF2BFD"/>
    <w:rsid w:val="0EF71129"/>
    <w:rsid w:val="0F2B103D"/>
    <w:rsid w:val="0F4E0850"/>
    <w:rsid w:val="0F56558B"/>
    <w:rsid w:val="0F741BE9"/>
    <w:rsid w:val="0F774356"/>
    <w:rsid w:val="0F7F20A2"/>
    <w:rsid w:val="0F807FD1"/>
    <w:rsid w:val="0F897E55"/>
    <w:rsid w:val="0FA37A51"/>
    <w:rsid w:val="0FA43EA4"/>
    <w:rsid w:val="0FC5537E"/>
    <w:rsid w:val="0FD06671"/>
    <w:rsid w:val="0FE3208E"/>
    <w:rsid w:val="0FE44CF7"/>
    <w:rsid w:val="0FE725C1"/>
    <w:rsid w:val="1024301D"/>
    <w:rsid w:val="10250FB0"/>
    <w:rsid w:val="102A5B27"/>
    <w:rsid w:val="103207AC"/>
    <w:rsid w:val="10574759"/>
    <w:rsid w:val="10613A7A"/>
    <w:rsid w:val="106812E4"/>
    <w:rsid w:val="10720CC6"/>
    <w:rsid w:val="10761048"/>
    <w:rsid w:val="10766C9F"/>
    <w:rsid w:val="10804910"/>
    <w:rsid w:val="10826455"/>
    <w:rsid w:val="10872790"/>
    <w:rsid w:val="108E7E20"/>
    <w:rsid w:val="10A5039D"/>
    <w:rsid w:val="10AB3484"/>
    <w:rsid w:val="10B84A6A"/>
    <w:rsid w:val="10D30660"/>
    <w:rsid w:val="10D55339"/>
    <w:rsid w:val="10DE425B"/>
    <w:rsid w:val="10E374AE"/>
    <w:rsid w:val="10F80DF3"/>
    <w:rsid w:val="110150AB"/>
    <w:rsid w:val="110C435D"/>
    <w:rsid w:val="11242AB0"/>
    <w:rsid w:val="112C0B33"/>
    <w:rsid w:val="11326F3A"/>
    <w:rsid w:val="113B03AC"/>
    <w:rsid w:val="11433B39"/>
    <w:rsid w:val="11501127"/>
    <w:rsid w:val="1165529A"/>
    <w:rsid w:val="116872CC"/>
    <w:rsid w:val="117649ED"/>
    <w:rsid w:val="117C3DBF"/>
    <w:rsid w:val="117E6616"/>
    <w:rsid w:val="11852545"/>
    <w:rsid w:val="1198766D"/>
    <w:rsid w:val="11A03D28"/>
    <w:rsid w:val="11B468DA"/>
    <w:rsid w:val="11C60989"/>
    <w:rsid w:val="11D07F4B"/>
    <w:rsid w:val="11D52C7B"/>
    <w:rsid w:val="11DA02B6"/>
    <w:rsid w:val="11E87E90"/>
    <w:rsid w:val="11EE1744"/>
    <w:rsid w:val="11F57EC9"/>
    <w:rsid w:val="11F6502F"/>
    <w:rsid w:val="12075BD2"/>
    <w:rsid w:val="12082498"/>
    <w:rsid w:val="123D7196"/>
    <w:rsid w:val="12477EB2"/>
    <w:rsid w:val="124A2699"/>
    <w:rsid w:val="12506EF0"/>
    <w:rsid w:val="12550EA4"/>
    <w:rsid w:val="1262462C"/>
    <w:rsid w:val="128C787A"/>
    <w:rsid w:val="12924B19"/>
    <w:rsid w:val="12971060"/>
    <w:rsid w:val="12AD2AE2"/>
    <w:rsid w:val="12BD37AC"/>
    <w:rsid w:val="12C91D8A"/>
    <w:rsid w:val="12E1628A"/>
    <w:rsid w:val="12E40669"/>
    <w:rsid w:val="12E40AEC"/>
    <w:rsid w:val="12F157FF"/>
    <w:rsid w:val="12FC3BD1"/>
    <w:rsid w:val="1305461B"/>
    <w:rsid w:val="13097E5E"/>
    <w:rsid w:val="130D55CF"/>
    <w:rsid w:val="13160572"/>
    <w:rsid w:val="131C3D2E"/>
    <w:rsid w:val="13214432"/>
    <w:rsid w:val="13301863"/>
    <w:rsid w:val="1336098F"/>
    <w:rsid w:val="133A349E"/>
    <w:rsid w:val="133B4A60"/>
    <w:rsid w:val="133C0FC0"/>
    <w:rsid w:val="13422D4F"/>
    <w:rsid w:val="13471D61"/>
    <w:rsid w:val="134A16FB"/>
    <w:rsid w:val="1353675C"/>
    <w:rsid w:val="139D30BB"/>
    <w:rsid w:val="13CB3477"/>
    <w:rsid w:val="13D42554"/>
    <w:rsid w:val="13EE3A40"/>
    <w:rsid w:val="140569C1"/>
    <w:rsid w:val="14086A35"/>
    <w:rsid w:val="1438072B"/>
    <w:rsid w:val="143F075A"/>
    <w:rsid w:val="144D30AB"/>
    <w:rsid w:val="145C1107"/>
    <w:rsid w:val="146D635D"/>
    <w:rsid w:val="147B37FD"/>
    <w:rsid w:val="14970EC4"/>
    <w:rsid w:val="149D40F7"/>
    <w:rsid w:val="149F2794"/>
    <w:rsid w:val="14D9336A"/>
    <w:rsid w:val="14E650CA"/>
    <w:rsid w:val="14EA6B21"/>
    <w:rsid w:val="14FC394F"/>
    <w:rsid w:val="150C1248"/>
    <w:rsid w:val="15367991"/>
    <w:rsid w:val="153C6228"/>
    <w:rsid w:val="15623523"/>
    <w:rsid w:val="157C194F"/>
    <w:rsid w:val="158A44F2"/>
    <w:rsid w:val="158C3135"/>
    <w:rsid w:val="15A45331"/>
    <w:rsid w:val="15C822CE"/>
    <w:rsid w:val="15CF6FB3"/>
    <w:rsid w:val="15D8349F"/>
    <w:rsid w:val="15E135C0"/>
    <w:rsid w:val="15ED4F43"/>
    <w:rsid w:val="1606697D"/>
    <w:rsid w:val="1618528E"/>
    <w:rsid w:val="16360585"/>
    <w:rsid w:val="163860AA"/>
    <w:rsid w:val="164140FF"/>
    <w:rsid w:val="16461FF5"/>
    <w:rsid w:val="165C4068"/>
    <w:rsid w:val="166C095B"/>
    <w:rsid w:val="166F523F"/>
    <w:rsid w:val="16813BFE"/>
    <w:rsid w:val="16A51162"/>
    <w:rsid w:val="16A562A8"/>
    <w:rsid w:val="16C86536"/>
    <w:rsid w:val="16C93686"/>
    <w:rsid w:val="16CC0AC4"/>
    <w:rsid w:val="16EE753D"/>
    <w:rsid w:val="16F16750"/>
    <w:rsid w:val="16F41CC1"/>
    <w:rsid w:val="17580DE2"/>
    <w:rsid w:val="17630878"/>
    <w:rsid w:val="176F43FF"/>
    <w:rsid w:val="17736C15"/>
    <w:rsid w:val="178C55CE"/>
    <w:rsid w:val="179C563D"/>
    <w:rsid w:val="17A03EED"/>
    <w:rsid w:val="17AC07DD"/>
    <w:rsid w:val="17CE0A98"/>
    <w:rsid w:val="17E573B8"/>
    <w:rsid w:val="17F02245"/>
    <w:rsid w:val="17F026E0"/>
    <w:rsid w:val="180128DA"/>
    <w:rsid w:val="181D1E68"/>
    <w:rsid w:val="183114DC"/>
    <w:rsid w:val="183254C4"/>
    <w:rsid w:val="184764F4"/>
    <w:rsid w:val="184C451C"/>
    <w:rsid w:val="1853761F"/>
    <w:rsid w:val="186A075D"/>
    <w:rsid w:val="187614AD"/>
    <w:rsid w:val="18924B64"/>
    <w:rsid w:val="18A168F1"/>
    <w:rsid w:val="18EC0947"/>
    <w:rsid w:val="18F406A2"/>
    <w:rsid w:val="191678F5"/>
    <w:rsid w:val="19261235"/>
    <w:rsid w:val="192B43AD"/>
    <w:rsid w:val="193A4C5A"/>
    <w:rsid w:val="194258AE"/>
    <w:rsid w:val="195875B6"/>
    <w:rsid w:val="195B305E"/>
    <w:rsid w:val="19665B11"/>
    <w:rsid w:val="19890043"/>
    <w:rsid w:val="19B7563B"/>
    <w:rsid w:val="19BA5970"/>
    <w:rsid w:val="19D32D68"/>
    <w:rsid w:val="19E26733"/>
    <w:rsid w:val="1A032F9E"/>
    <w:rsid w:val="1A0B0B43"/>
    <w:rsid w:val="1A1F7488"/>
    <w:rsid w:val="1A333168"/>
    <w:rsid w:val="1A444B47"/>
    <w:rsid w:val="1A65739B"/>
    <w:rsid w:val="1A6803C5"/>
    <w:rsid w:val="1A745149"/>
    <w:rsid w:val="1A9B7470"/>
    <w:rsid w:val="1A9C57B0"/>
    <w:rsid w:val="1AAD1A20"/>
    <w:rsid w:val="1AB303B8"/>
    <w:rsid w:val="1ACD1439"/>
    <w:rsid w:val="1AD30AFD"/>
    <w:rsid w:val="1AE03B8D"/>
    <w:rsid w:val="1AF905F7"/>
    <w:rsid w:val="1B3227A5"/>
    <w:rsid w:val="1B414DF0"/>
    <w:rsid w:val="1B51374D"/>
    <w:rsid w:val="1B525D4F"/>
    <w:rsid w:val="1B5628CC"/>
    <w:rsid w:val="1B5A3EF9"/>
    <w:rsid w:val="1B60335E"/>
    <w:rsid w:val="1B743332"/>
    <w:rsid w:val="1B7B58A6"/>
    <w:rsid w:val="1B8A1BB1"/>
    <w:rsid w:val="1BAB1394"/>
    <w:rsid w:val="1BD24E73"/>
    <w:rsid w:val="1BD2598F"/>
    <w:rsid w:val="1BD43CB9"/>
    <w:rsid w:val="1BD91B9A"/>
    <w:rsid w:val="1BE50E39"/>
    <w:rsid w:val="1BE9311A"/>
    <w:rsid w:val="1BFE48A4"/>
    <w:rsid w:val="1C160158"/>
    <w:rsid w:val="1C39177B"/>
    <w:rsid w:val="1C454263"/>
    <w:rsid w:val="1C4B151F"/>
    <w:rsid w:val="1C5E0315"/>
    <w:rsid w:val="1C830648"/>
    <w:rsid w:val="1C8C49C2"/>
    <w:rsid w:val="1C922C5B"/>
    <w:rsid w:val="1C980F28"/>
    <w:rsid w:val="1C9D23D2"/>
    <w:rsid w:val="1C9F316F"/>
    <w:rsid w:val="1CAB0E86"/>
    <w:rsid w:val="1CAE5C27"/>
    <w:rsid w:val="1CC66233"/>
    <w:rsid w:val="1CC7645A"/>
    <w:rsid w:val="1CD21EA0"/>
    <w:rsid w:val="1CED6DCC"/>
    <w:rsid w:val="1D107A56"/>
    <w:rsid w:val="1D176F23"/>
    <w:rsid w:val="1D2179B3"/>
    <w:rsid w:val="1D247708"/>
    <w:rsid w:val="1D4404E0"/>
    <w:rsid w:val="1D5319E6"/>
    <w:rsid w:val="1D84123E"/>
    <w:rsid w:val="1D907338"/>
    <w:rsid w:val="1DA722B9"/>
    <w:rsid w:val="1DC715C2"/>
    <w:rsid w:val="1DD517C1"/>
    <w:rsid w:val="1DE8375E"/>
    <w:rsid w:val="1DF1578A"/>
    <w:rsid w:val="1E1D365D"/>
    <w:rsid w:val="1E24349D"/>
    <w:rsid w:val="1E260342"/>
    <w:rsid w:val="1E32104B"/>
    <w:rsid w:val="1E323FC6"/>
    <w:rsid w:val="1E38225F"/>
    <w:rsid w:val="1E4F4247"/>
    <w:rsid w:val="1E565DD1"/>
    <w:rsid w:val="1E5D12FF"/>
    <w:rsid w:val="1E632CD8"/>
    <w:rsid w:val="1E6A1643"/>
    <w:rsid w:val="1E874642"/>
    <w:rsid w:val="1E9A019F"/>
    <w:rsid w:val="1EA66B41"/>
    <w:rsid w:val="1EA729DE"/>
    <w:rsid w:val="1EB16CBD"/>
    <w:rsid w:val="1EB77DBE"/>
    <w:rsid w:val="1EBE13AA"/>
    <w:rsid w:val="1EC31A25"/>
    <w:rsid w:val="1EC40B79"/>
    <w:rsid w:val="1EC53D54"/>
    <w:rsid w:val="1EFD2C5F"/>
    <w:rsid w:val="1F0B619B"/>
    <w:rsid w:val="1F0E2EFC"/>
    <w:rsid w:val="1F29198F"/>
    <w:rsid w:val="1F294C86"/>
    <w:rsid w:val="1F3D2401"/>
    <w:rsid w:val="1F3D3C17"/>
    <w:rsid w:val="1F5F7B10"/>
    <w:rsid w:val="1F6E0C5C"/>
    <w:rsid w:val="1F6E64CF"/>
    <w:rsid w:val="1F7B0555"/>
    <w:rsid w:val="1F841221"/>
    <w:rsid w:val="1F8A1F2B"/>
    <w:rsid w:val="1F9F0461"/>
    <w:rsid w:val="1FAA6AE1"/>
    <w:rsid w:val="1FC00B8E"/>
    <w:rsid w:val="1FC61E21"/>
    <w:rsid w:val="1FCB1F84"/>
    <w:rsid w:val="1FD37959"/>
    <w:rsid w:val="1FD546F5"/>
    <w:rsid w:val="1FD653D1"/>
    <w:rsid w:val="1FEE1496"/>
    <w:rsid w:val="1FFC01D1"/>
    <w:rsid w:val="20123B9A"/>
    <w:rsid w:val="20144DA7"/>
    <w:rsid w:val="20156F78"/>
    <w:rsid w:val="20221C39"/>
    <w:rsid w:val="202C5FA6"/>
    <w:rsid w:val="203052C2"/>
    <w:rsid w:val="206B65E8"/>
    <w:rsid w:val="206C707D"/>
    <w:rsid w:val="20706BF6"/>
    <w:rsid w:val="207244C9"/>
    <w:rsid w:val="207E356F"/>
    <w:rsid w:val="209E4089"/>
    <w:rsid w:val="20A3669E"/>
    <w:rsid w:val="20A65A31"/>
    <w:rsid w:val="20B92BF0"/>
    <w:rsid w:val="20B96F79"/>
    <w:rsid w:val="20BB6611"/>
    <w:rsid w:val="20C61466"/>
    <w:rsid w:val="20DB5986"/>
    <w:rsid w:val="20DE4531"/>
    <w:rsid w:val="20E10FE9"/>
    <w:rsid w:val="20E1313C"/>
    <w:rsid w:val="21073258"/>
    <w:rsid w:val="21117D3B"/>
    <w:rsid w:val="213977D1"/>
    <w:rsid w:val="2151187C"/>
    <w:rsid w:val="215703D1"/>
    <w:rsid w:val="21687F62"/>
    <w:rsid w:val="216B4C8C"/>
    <w:rsid w:val="218F7B55"/>
    <w:rsid w:val="21953D06"/>
    <w:rsid w:val="21A01670"/>
    <w:rsid w:val="21C66AA3"/>
    <w:rsid w:val="21C7113F"/>
    <w:rsid w:val="21CC7D07"/>
    <w:rsid w:val="21CF19DF"/>
    <w:rsid w:val="21D855C1"/>
    <w:rsid w:val="21EE1A85"/>
    <w:rsid w:val="21F96B77"/>
    <w:rsid w:val="21FF5502"/>
    <w:rsid w:val="22147416"/>
    <w:rsid w:val="22306E12"/>
    <w:rsid w:val="223362C2"/>
    <w:rsid w:val="2259657C"/>
    <w:rsid w:val="227716BC"/>
    <w:rsid w:val="227A20A8"/>
    <w:rsid w:val="227F3288"/>
    <w:rsid w:val="22AA49FB"/>
    <w:rsid w:val="22BA70D6"/>
    <w:rsid w:val="22CD3E83"/>
    <w:rsid w:val="22D975A1"/>
    <w:rsid w:val="22E355F0"/>
    <w:rsid w:val="22F2578E"/>
    <w:rsid w:val="22F36098"/>
    <w:rsid w:val="230A1C2E"/>
    <w:rsid w:val="23135E0B"/>
    <w:rsid w:val="231419E5"/>
    <w:rsid w:val="231F0DA8"/>
    <w:rsid w:val="235E784E"/>
    <w:rsid w:val="2379196C"/>
    <w:rsid w:val="23AC44BB"/>
    <w:rsid w:val="23B82F82"/>
    <w:rsid w:val="23C157FD"/>
    <w:rsid w:val="23D31357"/>
    <w:rsid w:val="23D61841"/>
    <w:rsid w:val="23D85726"/>
    <w:rsid w:val="23DF6C93"/>
    <w:rsid w:val="23F14D96"/>
    <w:rsid w:val="240D0F85"/>
    <w:rsid w:val="241C2284"/>
    <w:rsid w:val="241E5174"/>
    <w:rsid w:val="24247864"/>
    <w:rsid w:val="24275352"/>
    <w:rsid w:val="242D5831"/>
    <w:rsid w:val="24303E24"/>
    <w:rsid w:val="24372AD7"/>
    <w:rsid w:val="24380E93"/>
    <w:rsid w:val="24383A2A"/>
    <w:rsid w:val="243A3ECE"/>
    <w:rsid w:val="24432A29"/>
    <w:rsid w:val="24485A09"/>
    <w:rsid w:val="248C6B38"/>
    <w:rsid w:val="24A05E58"/>
    <w:rsid w:val="24BD5048"/>
    <w:rsid w:val="25012FE2"/>
    <w:rsid w:val="25054374"/>
    <w:rsid w:val="250E1C9F"/>
    <w:rsid w:val="251D6301"/>
    <w:rsid w:val="251D720D"/>
    <w:rsid w:val="251E34FC"/>
    <w:rsid w:val="255309EA"/>
    <w:rsid w:val="256262DB"/>
    <w:rsid w:val="257E29C2"/>
    <w:rsid w:val="25AD2D77"/>
    <w:rsid w:val="25B65F37"/>
    <w:rsid w:val="25D20DA1"/>
    <w:rsid w:val="25DD29F3"/>
    <w:rsid w:val="25DE4C41"/>
    <w:rsid w:val="25FD0426"/>
    <w:rsid w:val="260756F8"/>
    <w:rsid w:val="260B7843"/>
    <w:rsid w:val="261F2AF7"/>
    <w:rsid w:val="262567E3"/>
    <w:rsid w:val="26261410"/>
    <w:rsid w:val="262852D4"/>
    <w:rsid w:val="262D7CBC"/>
    <w:rsid w:val="26356CA5"/>
    <w:rsid w:val="26487268"/>
    <w:rsid w:val="265440A3"/>
    <w:rsid w:val="26565811"/>
    <w:rsid w:val="26571D87"/>
    <w:rsid w:val="26944723"/>
    <w:rsid w:val="26B6623B"/>
    <w:rsid w:val="26FD540C"/>
    <w:rsid w:val="270138DC"/>
    <w:rsid w:val="273A0B3B"/>
    <w:rsid w:val="2740251E"/>
    <w:rsid w:val="27411E6A"/>
    <w:rsid w:val="274D3302"/>
    <w:rsid w:val="27732155"/>
    <w:rsid w:val="277D0E0A"/>
    <w:rsid w:val="277F55D9"/>
    <w:rsid w:val="279367F3"/>
    <w:rsid w:val="27962C80"/>
    <w:rsid w:val="27A128AE"/>
    <w:rsid w:val="27A56180"/>
    <w:rsid w:val="27A62101"/>
    <w:rsid w:val="27AD174F"/>
    <w:rsid w:val="27B010EE"/>
    <w:rsid w:val="27B119F5"/>
    <w:rsid w:val="27B9544F"/>
    <w:rsid w:val="27BF1F3C"/>
    <w:rsid w:val="27CE1B53"/>
    <w:rsid w:val="27D20EE6"/>
    <w:rsid w:val="27E10C56"/>
    <w:rsid w:val="27F54378"/>
    <w:rsid w:val="27F701B1"/>
    <w:rsid w:val="27FA294E"/>
    <w:rsid w:val="280923FF"/>
    <w:rsid w:val="280E6ADC"/>
    <w:rsid w:val="280F78C0"/>
    <w:rsid w:val="2811341E"/>
    <w:rsid w:val="281625C7"/>
    <w:rsid w:val="28163912"/>
    <w:rsid w:val="28262C24"/>
    <w:rsid w:val="28376788"/>
    <w:rsid w:val="283F12A9"/>
    <w:rsid w:val="28440A34"/>
    <w:rsid w:val="28500E44"/>
    <w:rsid w:val="285D2318"/>
    <w:rsid w:val="286124A5"/>
    <w:rsid w:val="28637DA7"/>
    <w:rsid w:val="287A2358"/>
    <w:rsid w:val="287A24F3"/>
    <w:rsid w:val="28947AAF"/>
    <w:rsid w:val="289878C4"/>
    <w:rsid w:val="289B5F6E"/>
    <w:rsid w:val="28CD2C6E"/>
    <w:rsid w:val="28DF6DA3"/>
    <w:rsid w:val="28F220F8"/>
    <w:rsid w:val="28F4101F"/>
    <w:rsid w:val="28F94D6D"/>
    <w:rsid w:val="29045F5F"/>
    <w:rsid w:val="29073A7D"/>
    <w:rsid w:val="290C1999"/>
    <w:rsid w:val="29103A44"/>
    <w:rsid w:val="29154570"/>
    <w:rsid w:val="292473C2"/>
    <w:rsid w:val="293A05D3"/>
    <w:rsid w:val="293E4F3E"/>
    <w:rsid w:val="294C2EA7"/>
    <w:rsid w:val="29582810"/>
    <w:rsid w:val="295872D2"/>
    <w:rsid w:val="295C17EA"/>
    <w:rsid w:val="295E5430"/>
    <w:rsid w:val="29664DAA"/>
    <w:rsid w:val="296913FF"/>
    <w:rsid w:val="29847C33"/>
    <w:rsid w:val="299676C1"/>
    <w:rsid w:val="29A56860"/>
    <w:rsid w:val="29B12144"/>
    <w:rsid w:val="29B457C1"/>
    <w:rsid w:val="29BA05EE"/>
    <w:rsid w:val="29C32C73"/>
    <w:rsid w:val="29C87C39"/>
    <w:rsid w:val="29CC433C"/>
    <w:rsid w:val="29CC6038"/>
    <w:rsid w:val="29CE34E4"/>
    <w:rsid w:val="29D01B56"/>
    <w:rsid w:val="29D620B5"/>
    <w:rsid w:val="29E37872"/>
    <w:rsid w:val="2A0557E4"/>
    <w:rsid w:val="2A0950EB"/>
    <w:rsid w:val="2A2F2E3D"/>
    <w:rsid w:val="2A30204F"/>
    <w:rsid w:val="2A3A4D8A"/>
    <w:rsid w:val="2A3C7836"/>
    <w:rsid w:val="2A465FF8"/>
    <w:rsid w:val="2A4C3A17"/>
    <w:rsid w:val="2A4D3212"/>
    <w:rsid w:val="2A562626"/>
    <w:rsid w:val="2A566FA1"/>
    <w:rsid w:val="2A726D4D"/>
    <w:rsid w:val="2A803900"/>
    <w:rsid w:val="2A85726E"/>
    <w:rsid w:val="2A9A55E2"/>
    <w:rsid w:val="2AA37A71"/>
    <w:rsid w:val="2AA67811"/>
    <w:rsid w:val="2AAA5DF3"/>
    <w:rsid w:val="2AB02824"/>
    <w:rsid w:val="2AB2415B"/>
    <w:rsid w:val="2AC76727"/>
    <w:rsid w:val="2ACA7B41"/>
    <w:rsid w:val="2AD02017"/>
    <w:rsid w:val="2AEE4CD1"/>
    <w:rsid w:val="2AFF1A38"/>
    <w:rsid w:val="2B031965"/>
    <w:rsid w:val="2B160E21"/>
    <w:rsid w:val="2B1F1624"/>
    <w:rsid w:val="2B3E1E8A"/>
    <w:rsid w:val="2B49700D"/>
    <w:rsid w:val="2B6933A4"/>
    <w:rsid w:val="2B75533B"/>
    <w:rsid w:val="2B835992"/>
    <w:rsid w:val="2B8B23CC"/>
    <w:rsid w:val="2B8E4F42"/>
    <w:rsid w:val="2B8F4F5E"/>
    <w:rsid w:val="2BD93049"/>
    <w:rsid w:val="2BDD6DA8"/>
    <w:rsid w:val="2BE22B5E"/>
    <w:rsid w:val="2BE502FD"/>
    <w:rsid w:val="2BE9743D"/>
    <w:rsid w:val="2BEE33D9"/>
    <w:rsid w:val="2C1E7233"/>
    <w:rsid w:val="2C531A4C"/>
    <w:rsid w:val="2C550F05"/>
    <w:rsid w:val="2C5E3025"/>
    <w:rsid w:val="2C6542D0"/>
    <w:rsid w:val="2C674A1A"/>
    <w:rsid w:val="2C8E0786"/>
    <w:rsid w:val="2C8E69E0"/>
    <w:rsid w:val="2C907195"/>
    <w:rsid w:val="2CE15D79"/>
    <w:rsid w:val="2CF2568A"/>
    <w:rsid w:val="2CF35965"/>
    <w:rsid w:val="2D067362"/>
    <w:rsid w:val="2D0764FD"/>
    <w:rsid w:val="2D1F5712"/>
    <w:rsid w:val="2D323E7D"/>
    <w:rsid w:val="2D353298"/>
    <w:rsid w:val="2D356E63"/>
    <w:rsid w:val="2D431DF8"/>
    <w:rsid w:val="2D557293"/>
    <w:rsid w:val="2D5E6B20"/>
    <w:rsid w:val="2D622783"/>
    <w:rsid w:val="2D7334DB"/>
    <w:rsid w:val="2D890014"/>
    <w:rsid w:val="2D8B6DB7"/>
    <w:rsid w:val="2DA2407D"/>
    <w:rsid w:val="2DA7540C"/>
    <w:rsid w:val="2DB4535B"/>
    <w:rsid w:val="2DBF6679"/>
    <w:rsid w:val="2DC56998"/>
    <w:rsid w:val="2DC8522F"/>
    <w:rsid w:val="2DD828F7"/>
    <w:rsid w:val="2DE674E3"/>
    <w:rsid w:val="2DF2632C"/>
    <w:rsid w:val="2E1C6524"/>
    <w:rsid w:val="2E257FDD"/>
    <w:rsid w:val="2E2F15C6"/>
    <w:rsid w:val="2E3D3E6D"/>
    <w:rsid w:val="2E5130EB"/>
    <w:rsid w:val="2E536402"/>
    <w:rsid w:val="2E7928B4"/>
    <w:rsid w:val="2E80281D"/>
    <w:rsid w:val="2EA25547"/>
    <w:rsid w:val="2EA340DD"/>
    <w:rsid w:val="2EA95EEC"/>
    <w:rsid w:val="2EAA0EDB"/>
    <w:rsid w:val="2EBE1199"/>
    <w:rsid w:val="2EF93CA8"/>
    <w:rsid w:val="2F0307A0"/>
    <w:rsid w:val="2F074AF3"/>
    <w:rsid w:val="2F103630"/>
    <w:rsid w:val="2F107711"/>
    <w:rsid w:val="2F1E46DA"/>
    <w:rsid w:val="2F222310"/>
    <w:rsid w:val="2F401AD9"/>
    <w:rsid w:val="2F446E98"/>
    <w:rsid w:val="2F4F258A"/>
    <w:rsid w:val="2F500360"/>
    <w:rsid w:val="2F656859"/>
    <w:rsid w:val="2F684CEE"/>
    <w:rsid w:val="2F98307B"/>
    <w:rsid w:val="2F9C688D"/>
    <w:rsid w:val="2FA07AC7"/>
    <w:rsid w:val="2FB64417"/>
    <w:rsid w:val="2FBC444E"/>
    <w:rsid w:val="2FBE4C65"/>
    <w:rsid w:val="2FD213F7"/>
    <w:rsid w:val="300007E3"/>
    <w:rsid w:val="30110DA9"/>
    <w:rsid w:val="30113AD6"/>
    <w:rsid w:val="30164A42"/>
    <w:rsid w:val="30296737"/>
    <w:rsid w:val="302B25E7"/>
    <w:rsid w:val="302F6B8B"/>
    <w:rsid w:val="30321709"/>
    <w:rsid w:val="303A0DCC"/>
    <w:rsid w:val="304F01C6"/>
    <w:rsid w:val="306D0CAE"/>
    <w:rsid w:val="306D1D5B"/>
    <w:rsid w:val="30963E35"/>
    <w:rsid w:val="309843E0"/>
    <w:rsid w:val="30B20617"/>
    <w:rsid w:val="30C15A25"/>
    <w:rsid w:val="30D13BF4"/>
    <w:rsid w:val="30D82C14"/>
    <w:rsid w:val="30DA20AB"/>
    <w:rsid w:val="310F44A3"/>
    <w:rsid w:val="31113580"/>
    <w:rsid w:val="312D3507"/>
    <w:rsid w:val="313020DC"/>
    <w:rsid w:val="31574648"/>
    <w:rsid w:val="315A290B"/>
    <w:rsid w:val="315D7320"/>
    <w:rsid w:val="31604371"/>
    <w:rsid w:val="317E4D3A"/>
    <w:rsid w:val="3195308F"/>
    <w:rsid w:val="31975255"/>
    <w:rsid w:val="31A25D04"/>
    <w:rsid w:val="31C21840"/>
    <w:rsid w:val="31CC6E1F"/>
    <w:rsid w:val="31D83FC2"/>
    <w:rsid w:val="31DF573E"/>
    <w:rsid w:val="31EE42F8"/>
    <w:rsid w:val="3215327A"/>
    <w:rsid w:val="322047EC"/>
    <w:rsid w:val="322239F5"/>
    <w:rsid w:val="3228235D"/>
    <w:rsid w:val="322C57F0"/>
    <w:rsid w:val="32406778"/>
    <w:rsid w:val="32474802"/>
    <w:rsid w:val="325B57D3"/>
    <w:rsid w:val="327924C9"/>
    <w:rsid w:val="328869AD"/>
    <w:rsid w:val="328D096D"/>
    <w:rsid w:val="3293274D"/>
    <w:rsid w:val="3296733F"/>
    <w:rsid w:val="32A02EBD"/>
    <w:rsid w:val="32A13EB4"/>
    <w:rsid w:val="32A9298C"/>
    <w:rsid w:val="32E80E0E"/>
    <w:rsid w:val="32EB28F3"/>
    <w:rsid w:val="32EC5602"/>
    <w:rsid w:val="33065900"/>
    <w:rsid w:val="3309391E"/>
    <w:rsid w:val="330C73A7"/>
    <w:rsid w:val="33444351"/>
    <w:rsid w:val="33452FF2"/>
    <w:rsid w:val="3353525E"/>
    <w:rsid w:val="33707605"/>
    <w:rsid w:val="337E0C3A"/>
    <w:rsid w:val="339C7F1B"/>
    <w:rsid w:val="33A60B3B"/>
    <w:rsid w:val="33AC7A11"/>
    <w:rsid w:val="33BA5475"/>
    <w:rsid w:val="33CD082C"/>
    <w:rsid w:val="33CF581E"/>
    <w:rsid w:val="33D1341D"/>
    <w:rsid w:val="33EA1785"/>
    <w:rsid w:val="33EE312F"/>
    <w:rsid w:val="34031DCF"/>
    <w:rsid w:val="34083EB8"/>
    <w:rsid w:val="3411204C"/>
    <w:rsid w:val="341D18F8"/>
    <w:rsid w:val="3428105A"/>
    <w:rsid w:val="343D4328"/>
    <w:rsid w:val="34560516"/>
    <w:rsid w:val="34773958"/>
    <w:rsid w:val="347A2804"/>
    <w:rsid w:val="349129B5"/>
    <w:rsid w:val="34AC7E3E"/>
    <w:rsid w:val="34B4345E"/>
    <w:rsid w:val="34C02471"/>
    <w:rsid w:val="34C63C4E"/>
    <w:rsid w:val="35072193"/>
    <w:rsid w:val="350E6686"/>
    <w:rsid w:val="35203A88"/>
    <w:rsid w:val="352665BD"/>
    <w:rsid w:val="3532692C"/>
    <w:rsid w:val="354074A8"/>
    <w:rsid w:val="355E5079"/>
    <w:rsid w:val="356726BF"/>
    <w:rsid w:val="35722F03"/>
    <w:rsid w:val="3594344C"/>
    <w:rsid w:val="35A60600"/>
    <w:rsid w:val="35A66A2F"/>
    <w:rsid w:val="35C44220"/>
    <w:rsid w:val="35E171E5"/>
    <w:rsid w:val="35EF522B"/>
    <w:rsid w:val="36166BDC"/>
    <w:rsid w:val="361A3305"/>
    <w:rsid w:val="362B5613"/>
    <w:rsid w:val="363E4513"/>
    <w:rsid w:val="363F5A8F"/>
    <w:rsid w:val="364B00D3"/>
    <w:rsid w:val="36682506"/>
    <w:rsid w:val="366E18AC"/>
    <w:rsid w:val="36904929"/>
    <w:rsid w:val="36994F48"/>
    <w:rsid w:val="36C22212"/>
    <w:rsid w:val="36CB0D8C"/>
    <w:rsid w:val="36CB5845"/>
    <w:rsid w:val="36DA45CF"/>
    <w:rsid w:val="36EA0EFD"/>
    <w:rsid w:val="36FE7D15"/>
    <w:rsid w:val="37121803"/>
    <w:rsid w:val="372562FC"/>
    <w:rsid w:val="37265ED9"/>
    <w:rsid w:val="37285FCA"/>
    <w:rsid w:val="373D6D9B"/>
    <w:rsid w:val="3765061F"/>
    <w:rsid w:val="376C71FB"/>
    <w:rsid w:val="37772556"/>
    <w:rsid w:val="37802A4F"/>
    <w:rsid w:val="379138B9"/>
    <w:rsid w:val="37976B5E"/>
    <w:rsid w:val="37B42449"/>
    <w:rsid w:val="37BF3EA4"/>
    <w:rsid w:val="37F06E2F"/>
    <w:rsid w:val="37FF0A38"/>
    <w:rsid w:val="380069FF"/>
    <w:rsid w:val="38093903"/>
    <w:rsid w:val="381C17D6"/>
    <w:rsid w:val="384354A3"/>
    <w:rsid w:val="387718DD"/>
    <w:rsid w:val="387C5C31"/>
    <w:rsid w:val="387F1E52"/>
    <w:rsid w:val="38920AD8"/>
    <w:rsid w:val="38CB3BE5"/>
    <w:rsid w:val="38DE1FA3"/>
    <w:rsid w:val="38E2304F"/>
    <w:rsid w:val="392014A0"/>
    <w:rsid w:val="39260DC3"/>
    <w:rsid w:val="392A1438"/>
    <w:rsid w:val="394531F3"/>
    <w:rsid w:val="395B0766"/>
    <w:rsid w:val="39604C25"/>
    <w:rsid w:val="396C3EC2"/>
    <w:rsid w:val="39785203"/>
    <w:rsid w:val="39822705"/>
    <w:rsid w:val="39825F44"/>
    <w:rsid w:val="3996798D"/>
    <w:rsid w:val="39A7197E"/>
    <w:rsid w:val="39BA125D"/>
    <w:rsid w:val="39CE0220"/>
    <w:rsid w:val="39D1025C"/>
    <w:rsid w:val="39EB4F5C"/>
    <w:rsid w:val="39F62045"/>
    <w:rsid w:val="39FA7F86"/>
    <w:rsid w:val="39FC4E30"/>
    <w:rsid w:val="3A354276"/>
    <w:rsid w:val="3A4756F1"/>
    <w:rsid w:val="3A4B0915"/>
    <w:rsid w:val="3A4E3A56"/>
    <w:rsid w:val="3A4F48A2"/>
    <w:rsid w:val="3A8440A1"/>
    <w:rsid w:val="3AA06F8C"/>
    <w:rsid w:val="3AAB3C2B"/>
    <w:rsid w:val="3AAC5527"/>
    <w:rsid w:val="3AAC7031"/>
    <w:rsid w:val="3ABF77D6"/>
    <w:rsid w:val="3AC67E5B"/>
    <w:rsid w:val="3ADD0226"/>
    <w:rsid w:val="3B145B26"/>
    <w:rsid w:val="3B1C3478"/>
    <w:rsid w:val="3B1F560F"/>
    <w:rsid w:val="3B23598E"/>
    <w:rsid w:val="3B2D32F9"/>
    <w:rsid w:val="3B3137CA"/>
    <w:rsid w:val="3B5B0A6E"/>
    <w:rsid w:val="3B5E5845"/>
    <w:rsid w:val="3B683218"/>
    <w:rsid w:val="3B791997"/>
    <w:rsid w:val="3B8E2370"/>
    <w:rsid w:val="3B922C4F"/>
    <w:rsid w:val="3B945E5F"/>
    <w:rsid w:val="3BA026B4"/>
    <w:rsid w:val="3BAF4EE0"/>
    <w:rsid w:val="3BBE27CF"/>
    <w:rsid w:val="3BDA5BE4"/>
    <w:rsid w:val="3BE01A62"/>
    <w:rsid w:val="3BEB6518"/>
    <w:rsid w:val="3BF60C01"/>
    <w:rsid w:val="3BF91003"/>
    <w:rsid w:val="3C007070"/>
    <w:rsid w:val="3C195905"/>
    <w:rsid w:val="3C241023"/>
    <w:rsid w:val="3C697473"/>
    <w:rsid w:val="3C6D1DBE"/>
    <w:rsid w:val="3C7125E0"/>
    <w:rsid w:val="3C7276C7"/>
    <w:rsid w:val="3C745EA9"/>
    <w:rsid w:val="3C841F43"/>
    <w:rsid w:val="3C9E53D5"/>
    <w:rsid w:val="3CD5126C"/>
    <w:rsid w:val="3CF52577"/>
    <w:rsid w:val="3D017118"/>
    <w:rsid w:val="3D1E7907"/>
    <w:rsid w:val="3D2809AB"/>
    <w:rsid w:val="3D2B4EE1"/>
    <w:rsid w:val="3D367D2F"/>
    <w:rsid w:val="3D45406D"/>
    <w:rsid w:val="3D4A25C8"/>
    <w:rsid w:val="3D4B749D"/>
    <w:rsid w:val="3D842502"/>
    <w:rsid w:val="3D9274C4"/>
    <w:rsid w:val="3D98039F"/>
    <w:rsid w:val="3DB4065B"/>
    <w:rsid w:val="3DC23555"/>
    <w:rsid w:val="3DF26530"/>
    <w:rsid w:val="3DFC2AE8"/>
    <w:rsid w:val="3DFF342B"/>
    <w:rsid w:val="3DFF515C"/>
    <w:rsid w:val="3E39084F"/>
    <w:rsid w:val="3E4D6D6F"/>
    <w:rsid w:val="3E513B2A"/>
    <w:rsid w:val="3E5F62EA"/>
    <w:rsid w:val="3E7A3963"/>
    <w:rsid w:val="3EC81564"/>
    <w:rsid w:val="3ECF37E2"/>
    <w:rsid w:val="3EDB2DAE"/>
    <w:rsid w:val="3EE463AF"/>
    <w:rsid w:val="3EE90DD4"/>
    <w:rsid w:val="3EEF0D0A"/>
    <w:rsid w:val="3F022A73"/>
    <w:rsid w:val="3F0E01B5"/>
    <w:rsid w:val="3F272926"/>
    <w:rsid w:val="3F391005"/>
    <w:rsid w:val="3F433B3C"/>
    <w:rsid w:val="3F4707E1"/>
    <w:rsid w:val="3F4741E9"/>
    <w:rsid w:val="3F774C6B"/>
    <w:rsid w:val="3F7828A6"/>
    <w:rsid w:val="3F811A05"/>
    <w:rsid w:val="3F87716F"/>
    <w:rsid w:val="3FA513FC"/>
    <w:rsid w:val="3FB35297"/>
    <w:rsid w:val="3FBB2365"/>
    <w:rsid w:val="3FC8660E"/>
    <w:rsid w:val="3FD65FA1"/>
    <w:rsid w:val="3FD77BE8"/>
    <w:rsid w:val="3FD9707D"/>
    <w:rsid w:val="3FFA6033"/>
    <w:rsid w:val="400D1107"/>
    <w:rsid w:val="4014123F"/>
    <w:rsid w:val="401A1A5A"/>
    <w:rsid w:val="4020253B"/>
    <w:rsid w:val="402276BD"/>
    <w:rsid w:val="40267E66"/>
    <w:rsid w:val="40456E33"/>
    <w:rsid w:val="404F76E5"/>
    <w:rsid w:val="40597D0A"/>
    <w:rsid w:val="40650FD6"/>
    <w:rsid w:val="40791633"/>
    <w:rsid w:val="407A1381"/>
    <w:rsid w:val="40A911BB"/>
    <w:rsid w:val="40BC0EF3"/>
    <w:rsid w:val="40C16A7D"/>
    <w:rsid w:val="40D505C1"/>
    <w:rsid w:val="40D6136A"/>
    <w:rsid w:val="41133859"/>
    <w:rsid w:val="4117402C"/>
    <w:rsid w:val="4119463C"/>
    <w:rsid w:val="412E466F"/>
    <w:rsid w:val="415349AD"/>
    <w:rsid w:val="41623A3B"/>
    <w:rsid w:val="41671168"/>
    <w:rsid w:val="41673483"/>
    <w:rsid w:val="41810376"/>
    <w:rsid w:val="41827541"/>
    <w:rsid w:val="4192134C"/>
    <w:rsid w:val="41A3174A"/>
    <w:rsid w:val="41C86B0A"/>
    <w:rsid w:val="41CB2A6D"/>
    <w:rsid w:val="41CB77FC"/>
    <w:rsid w:val="41F27FC0"/>
    <w:rsid w:val="41FD3701"/>
    <w:rsid w:val="420432FA"/>
    <w:rsid w:val="42345685"/>
    <w:rsid w:val="423B0E55"/>
    <w:rsid w:val="425D751A"/>
    <w:rsid w:val="426261F8"/>
    <w:rsid w:val="427A68F9"/>
    <w:rsid w:val="4288574C"/>
    <w:rsid w:val="428D6438"/>
    <w:rsid w:val="42A14D25"/>
    <w:rsid w:val="42AA4604"/>
    <w:rsid w:val="42AB26B2"/>
    <w:rsid w:val="42AC6E97"/>
    <w:rsid w:val="42AD4B93"/>
    <w:rsid w:val="42E35E12"/>
    <w:rsid w:val="42E4253E"/>
    <w:rsid w:val="42E51784"/>
    <w:rsid w:val="43004560"/>
    <w:rsid w:val="43026E89"/>
    <w:rsid w:val="4307264D"/>
    <w:rsid w:val="430D40F2"/>
    <w:rsid w:val="430E765D"/>
    <w:rsid w:val="431A60AC"/>
    <w:rsid w:val="433B35CE"/>
    <w:rsid w:val="433F7740"/>
    <w:rsid w:val="43423E4D"/>
    <w:rsid w:val="435023F4"/>
    <w:rsid w:val="43684743"/>
    <w:rsid w:val="4385128D"/>
    <w:rsid w:val="439904B8"/>
    <w:rsid w:val="439E1AEC"/>
    <w:rsid w:val="43A4758E"/>
    <w:rsid w:val="43AD2F4A"/>
    <w:rsid w:val="43BA6BA0"/>
    <w:rsid w:val="43C34546"/>
    <w:rsid w:val="43C57BED"/>
    <w:rsid w:val="43CB4C9E"/>
    <w:rsid w:val="43D37D80"/>
    <w:rsid w:val="43E27918"/>
    <w:rsid w:val="43F141C5"/>
    <w:rsid w:val="43FD1DF0"/>
    <w:rsid w:val="440077FE"/>
    <w:rsid w:val="44096203"/>
    <w:rsid w:val="44250D7A"/>
    <w:rsid w:val="444B6C28"/>
    <w:rsid w:val="444F2C65"/>
    <w:rsid w:val="4458131E"/>
    <w:rsid w:val="445C58D3"/>
    <w:rsid w:val="44706969"/>
    <w:rsid w:val="448310D7"/>
    <w:rsid w:val="44901F69"/>
    <w:rsid w:val="44962E79"/>
    <w:rsid w:val="44A449F9"/>
    <w:rsid w:val="44C01F80"/>
    <w:rsid w:val="44C27E7F"/>
    <w:rsid w:val="44CA1072"/>
    <w:rsid w:val="44F53290"/>
    <w:rsid w:val="44FA4832"/>
    <w:rsid w:val="450F2A82"/>
    <w:rsid w:val="45135E74"/>
    <w:rsid w:val="4520009F"/>
    <w:rsid w:val="45213E14"/>
    <w:rsid w:val="45526D50"/>
    <w:rsid w:val="4552793C"/>
    <w:rsid w:val="456A2464"/>
    <w:rsid w:val="45820FB9"/>
    <w:rsid w:val="45956D65"/>
    <w:rsid w:val="45B33B88"/>
    <w:rsid w:val="45C3620C"/>
    <w:rsid w:val="45C7078A"/>
    <w:rsid w:val="45D905C6"/>
    <w:rsid w:val="45E87E81"/>
    <w:rsid w:val="45F86FEF"/>
    <w:rsid w:val="45F94A20"/>
    <w:rsid w:val="46072015"/>
    <w:rsid w:val="46196777"/>
    <w:rsid w:val="462873F1"/>
    <w:rsid w:val="46347513"/>
    <w:rsid w:val="463C2A60"/>
    <w:rsid w:val="46541B44"/>
    <w:rsid w:val="46562672"/>
    <w:rsid w:val="465632D4"/>
    <w:rsid w:val="46717421"/>
    <w:rsid w:val="46767951"/>
    <w:rsid w:val="467E03B4"/>
    <w:rsid w:val="468B14BF"/>
    <w:rsid w:val="469229C8"/>
    <w:rsid w:val="46A875E5"/>
    <w:rsid w:val="46AB3788"/>
    <w:rsid w:val="46D4047F"/>
    <w:rsid w:val="46DA0967"/>
    <w:rsid w:val="471C5FA8"/>
    <w:rsid w:val="471D63B0"/>
    <w:rsid w:val="4721232A"/>
    <w:rsid w:val="47315562"/>
    <w:rsid w:val="473A58C8"/>
    <w:rsid w:val="47425FFF"/>
    <w:rsid w:val="4747240E"/>
    <w:rsid w:val="47473EC0"/>
    <w:rsid w:val="477A654F"/>
    <w:rsid w:val="478102DC"/>
    <w:rsid w:val="47855014"/>
    <w:rsid w:val="478E659D"/>
    <w:rsid w:val="479241A1"/>
    <w:rsid w:val="47A51DB2"/>
    <w:rsid w:val="47A70CF0"/>
    <w:rsid w:val="47A810F2"/>
    <w:rsid w:val="47B42DEE"/>
    <w:rsid w:val="47C213F8"/>
    <w:rsid w:val="47C35529"/>
    <w:rsid w:val="47C66093"/>
    <w:rsid w:val="47D86DDB"/>
    <w:rsid w:val="47E4232E"/>
    <w:rsid w:val="481344B1"/>
    <w:rsid w:val="481B427E"/>
    <w:rsid w:val="482549C6"/>
    <w:rsid w:val="482C3249"/>
    <w:rsid w:val="48360682"/>
    <w:rsid w:val="48442314"/>
    <w:rsid w:val="4862593A"/>
    <w:rsid w:val="487A69D1"/>
    <w:rsid w:val="488D2ECB"/>
    <w:rsid w:val="4892601B"/>
    <w:rsid w:val="48A12A63"/>
    <w:rsid w:val="48BD0968"/>
    <w:rsid w:val="48C95587"/>
    <w:rsid w:val="48D26096"/>
    <w:rsid w:val="48E32EAB"/>
    <w:rsid w:val="48F77067"/>
    <w:rsid w:val="49080226"/>
    <w:rsid w:val="4912408E"/>
    <w:rsid w:val="491C0DEB"/>
    <w:rsid w:val="49217137"/>
    <w:rsid w:val="493326A0"/>
    <w:rsid w:val="493552FB"/>
    <w:rsid w:val="495E50AB"/>
    <w:rsid w:val="496A3BC7"/>
    <w:rsid w:val="497A69BA"/>
    <w:rsid w:val="497C1B75"/>
    <w:rsid w:val="49896592"/>
    <w:rsid w:val="49985846"/>
    <w:rsid w:val="49C9139B"/>
    <w:rsid w:val="49C96178"/>
    <w:rsid w:val="49DA0CD9"/>
    <w:rsid w:val="49DE47AD"/>
    <w:rsid w:val="49E65B20"/>
    <w:rsid w:val="49E74533"/>
    <w:rsid w:val="49EB3A81"/>
    <w:rsid w:val="49EB6CA2"/>
    <w:rsid w:val="49EC42CF"/>
    <w:rsid w:val="49F03DE7"/>
    <w:rsid w:val="49F80623"/>
    <w:rsid w:val="49F844AC"/>
    <w:rsid w:val="49FD4289"/>
    <w:rsid w:val="4A021687"/>
    <w:rsid w:val="4A0526C9"/>
    <w:rsid w:val="4A550FA7"/>
    <w:rsid w:val="4A5F1E02"/>
    <w:rsid w:val="4A627D71"/>
    <w:rsid w:val="4A682CCB"/>
    <w:rsid w:val="4A741901"/>
    <w:rsid w:val="4A90688A"/>
    <w:rsid w:val="4A995062"/>
    <w:rsid w:val="4ABA639A"/>
    <w:rsid w:val="4AEA1F93"/>
    <w:rsid w:val="4B0E7A2E"/>
    <w:rsid w:val="4B184678"/>
    <w:rsid w:val="4B1A0315"/>
    <w:rsid w:val="4B2C07AA"/>
    <w:rsid w:val="4B331CCE"/>
    <w:rsid w:val="4B3348B5"/>
    <w:rsid w:val="4B531248"/>
    <w:rsid w:val="4B6F078B"/>
    <w:rsid w:val="4B712A28"/>
    <w:rsid w:val="4B784CFA"/>
    <w:rsid w:val="4B9B13FC"/>
    <w:rsid w:val="4BA863BD"/>
    <w:rsid w:val="4BB2501B"/>
    <w:rsid w:val="4BC03F2F"/>
    <w:rsid w:val="4BC12699"/>
    <w:rsid w:val="4BD473F3"/>
    <w:rsid w:val="4BD566AA"/>
    <w:rsid w:val="4BD72BC3"/>
    <w:rsid w:val="4BD84649"/>
    <w:rsid w:val="4BE63D25"/>
    <w:rsid w:val="4BF27248"/>
    <w:rsid w:val="4C231FA0"/>
    <w:rsid w:val="4C9A0E0B"/>
    <w:rsid w:val="4C9D67F3"/>
    <w:rsid w:val="4C9F7F2B"/>
    <w:rsid w:val="4CA3157B"/>
    <w:rsid w:val="4CA76B69"/>
    <w:rsid w:val="4CA951E5"/>
    <w:rsid w:val="4CB46A42"/>
    <w:rsid w:val="4CB86F40"/>
    <w:rsid w:val="4CBB5D99"/>
    <w:rsid w:val="4CBC2F74"/>
    <w:rsid w:val="4CD74B48"/>
    <w:rsid w:val="4CDD0606"/>
    <w:rsid w:val="4CDF10EE"/>
    <w:rsid w:val="4CE90EC9"/>
    <w:rsid w:val="4CE97499"/>
    <w:rsid w:val="4CEB265D"/>
    <w:rsid w:val="4CF164EC"/>
    <w:rsid w:val="4CFB5236"/>
    <w:rsid w:val="4D2B0DA0"/>
    <w:rsid w:val="4D303ECF"/>
    <w:rsid w:val="4D564292"/>
    <w:rsid w:val="4D6215A6"/>
    <w:rsid w:val="4D662B97"/>
    <w:rsid w:val="4D752CCE"/>
    <w:rsid w:val="4D7B33E8"/>
    <w:rsid w:val="4D8A1418"/>
    <w:rsid w:val="4D95270C"/>
    <w:rsid w:val="4D953D04"/>
    <w:rsid w:val="4DC07E9C"/>
    <w:rsid w:val="4DC70C67"/>
    <w:rsid w:val="4DCA4A1E"/>
    <w:rsid w:val="4DCD5A67"/>
    <w:rsid w:val="4DE20EDF"/>
    <w:rsid w:val="4E014531"/>
    <w:rsid w:val="4E0A64A8"/>
    <w:rsid w:val="4E1B5248"/>
    <w:rsid w:val="4E1E625B"/>
    <w:rsid w:val="4E491A14"/>
    <w:rsid w:val="4E4C7AD7"/>
    <w:rsid w:val="4E661FDA"/>
    <w:rsid w:val="4EA41C58"/>
    <w:rsid w:val="4EBD629F"/>
    <w:rsid w:val="4EC24F45"/>
    <w:rsid w:val="4ECB6937"/>
    <w:rsid w:val="4ED95EDD"/>
    <w:rsid w:val="4EE61A4B"/>
    <w:rsid w:val="4EFB38D1"/>
    <w:rsid w:val="4F0B2DD1"/>
    <w:rsid w:val="4F3B3DCB"/>
    <w:rsid w:val="4F421460"/>
    <w:rsid w:val="4F5706A3"/>
    <w:rsid w:val="4F627861"/>
    <w:rsid w:val="4F641D88"/>
    <w:rsid w:val="4F7C635F"/>
    <w:rsid w:val="4F867207"/>
    <w:rsid w:val="4F9471AD"/>
    <w:rsid w:val="4F9A3CC3"/>
    <w:rsid w:val="4FAC3454"/>
    <w:rsid w:val="4FC16508"/>
    <w:rsid w:val="4FC71868"/>
    <w:rsid w:val="4FEF3873"/>
    <w:rsid w:val="4FEF40B5"/>
    <w:rsid w:val="50031A18"/>
    <w:rsid w:val="500E5318"/>
    <w:rsid w:val="502D72A4"/>
    <w:rsid w:val="503F11EB"/>
    <w:rsid w:val="506B1168"/>
    <w:rsid w:val="506F7985"/>
    <w:rsid w:val="50804661"/>
    <w:rsid w:val="50887AAF"/>
    <w:rsid w:val="50BB0C34"/>
    <w:rsid w:val="50C90C6F"/>
    <w:rsid w:val="50D41AC9"/>
    <w:rsid w:val="50E00909"/>
    <w:rsid w:val="5113060A"/>
    <w:rsid w:val="512113A6"/>
    <w:rsid w:val="51217AEB"/>
    <w:rsid w:val="512A44AE"/>
    <w:rsid w:val="51470A6B"/>
    <w:rsid w:val="51690215"/>
    <w:rsid w:val="516C46D4"/>
    <w:rsid w:val="519562DE"/>
    <w:rsid w:val="519B750A"/>
    <w:rsid w:val="51A42D70"/>
    <w:rsid w:val="51AE1EC6"/>
    <w:rsid w:val="51AE76DE"/>
    <w:rsid w:val="51BE5317"/>
    <w:rsid w:val="51C46CF3"/>
    <w:rsid w:val="51C829B6"/>
    <w:rsid w:val="51CD28F9"/>
    <w:rsid w:val="51D36244"/>
    <w:rsid w:val="51E57E0A"/>
    <w:rsid w:val="51FF500D"/>
    <w:rsid w:val="5209313A"/>
    <w:rsid w:val="520964E1"/>
    <w:rsid w:val="521E03F8"/>
    <w:rsid w:val="523A54BF"/>
    <w:rsid w:val="523C5617"/>
    <w:rsid w:val="524119FA"/>
    <w:rsid w:val="5245153D"/>
    <w:rsid w:val="52502BAD"/>
    <w:rsid w:val="52766B9A"/>
    <w:rsid w:val="527A58BE"/>
    <w:rsid w:val="528C05CC"/>
    <w:rsid w:val="529D76ED"/>
    <w:rsid w:val="52A825DF"/>
    <w:rsid w:val="52AC5499"/>
    <w:rsid w:val="52B62BC2"/>
    <w:rsid w:val="52EC7EFF"/>
    <w:rsid w:val="530F5EA7"/>
    <w:rsid w:val="5312030D"/>
    <w:rsid w:val="531B0D88"/>
    <w:rsid w:val="53387D45"/>
    <w:rsid w:val="53412F89"/>
    <w:rsid w:val="534606A5"/>
    <w:rsid w:val="53473B92"/>
    <w:rsid w:val="536F54BE"/>
    <w:rsid w:val="53A2150B"/>
    <w:rsid w:val="53A676F0"/>
    <w:rsid w:val="53AD5914"/>
    <w:rsid w:val="53BC2885"/>
    <w:rsid w:val="53C87660"/>
    <w:rsid w:val="53D47668"/>
    <w:rsid w:val="53D607EA"/>
    <w:rsid w:val="53E271CE"/>
    <w:rsid w:val="54052A03"/>
    <w:rsid w:val="54165386"/>
    <w:rsid w:val="542773F3"/>
    <w:rsid w:val="5440005C"/>
    <w:rsid w:val="54567F47"/>
    <w:rsid w:val="546C5765"/>
    <w:rsid w:val="54A37EAE"/>
    <w:rsid w:val="54A85F90"/>
    <w:rsid w:val="54D05ECC"/>
    <w:rsid w:val="54D82BF6"/>
    <w:rsid w:val="54E83975"/>
    <w:rsid w:val="54EF24C7"/>
    <w:rsid w:val="54FD6CFB"/>
    <w:rsid w:val="550404AF"/>
    <w:rsid w:val="55134E62"/>
    <w:rsid w:val="5520649C"/>
    <w:rsid w:val="55282AF2"/>
    <w:rsid w:val="553834A9"/>
    <w:rsid w:val="55675754"/>
    <w:rsid w:val="556D2A11"/>
    <w:rsid w:val="558B0AAB"/>
    <w:rsid w:val="559C55D3"/>
    <w:rsid w:val="55A17575"/>
    <w:rsid w:val="55A92593"/>
    <w:rsid w:val="55AF3430"/>
    <w:rsid w:val="55C125B5"/>
    <w:rsid w:val="55DD2D13"/>
    <w:rsid w:val="55E9050C"/>
    <w:rsid w:val="55EA0729"/>
    <w:rsid w:val="55EB7A38"/>
    <w:rsid w:val="55F245FF"/>
    <w:rsid w:val="55FE42D1"/>
    <w:rsid w:val="56145A84"/>
    <w:rsid w:val="56155D0C"/>
    <w:rsid w:val="56156185"/>
    <w:rsid w:val="5620447F"/>
    <w:rsid w:val="562E1A92"/>
    <w:rsid w:val="563B4421"/>
    <w:rsid w:val="563C346E"/>
    <w:rsid w:val="56434CD7"/>
    <w:rsid w:val="564B07E3"/>
    <w:rsid w:val="56562D3A"/>
    <w:rsid w:val="5658135A"/>
    <w:rsid w:val="566E6FF8"/>
    <w:rsid w:val="56714652"/>
    <w:rsid w:val="56774ED2"/>
    <w:rsid w:val="56804F01"/>
    <w:rsid w:val="568A20DE"/>
    <w:rsid w:val="568D50C8"/>
    <w:rsid w:val="56916181"/>
    <w:rsid w:val="569A1FAA"/>
    <w:rsid w:val="56A16729"/>
    <w:rsid w:val="56A84878"/>
    <w:rsid w:val="56AF6610"/>
    <w:rsid w:val="56D40E4D"/>
    <w:rsid w:val="56F4096C"/>
    <w:rsid w:val="571554A1"/>
    <w:rsid w:val="573555B0"/>
    <w:rsid w:val="573A6BAF"/>
    <w:rsid w:val="57433CB6"/>
    <w:rsid w:val="5744716C"/>
    <w:rsid w:val="574A6286"/>
    <w:rsid w:val="5769712B"/>
    <w:rsid w:val="576A17E0"/>
    <w:rsid w:val="577A7E9F"/>
    <w:rsid w:val="579014A7"/>
    <w:rsid w:val="57955661"/>
    <w:rsid w:val="57967802"/>
    <w:rsid w:val="57980124"/>
    <w:rsid w:val="57995E4D"/>
    <w:rsid w:val="57A43279"/>
    <w:rsid w:val="57AA13F3"/>
    <w:rsid w:val="57C17B89"/>
    <w:rsid w:val="57D865BC"/>
    <w:rsid w:val="57E03994"/>
    <w:rsid w:val="57F40485"/>
    <w:rsid w:val="583743A2"/>
    <w:rsid w:val="583C51B8"/>
    <w:rsid w:val="5840025F"/>
    <w:rsid w:val="584652D4"/>
    <w:rsid w:val="58535719"/>
    <w:rsid w:val="585B40F7"/>
    <w:rsid w:val="585F527C"/>
    <w:rsid w:val="586A4730"/>
    <w:rsid w:val="5870142D"/>
    <w:rsid w:val="58745AE1"/>
    <w:rsid w:val="58774321"/>
    <w:rsid w:val="588A10A3"/>
    <w:rsid w:val="58900B31"/>
    <w:rsid w:val="58924F6E"/>
    <w:rsid w:val="5894264B"/>
    <w:rsid w:val="58942E73"/>
    <w:rsid w:val="589C4CD0"/>
    <w:rsid w:val="58BF44E3"/>
    <w:rsid w:val="58C647FE"/>
    <w:rsid w:val="58D33F93"/>
    <w:rsid w:val="58F163A4"/>
    <w:rsid w:val="593C7BEC"/>
    <w:rsid w:val="593E3A82"/>
    <w:rsid w:val="5942767F"/>
    <w:rsid w:val="59465FF8"/>
    <w:rsid w:val="59482205"/>
    <w:rsid w:val="594C67D1"/>
    <w:rsid w:val="59564394"/>
    <w:rsid w:val="59626630"/>
    <w:rsid w:val="59815DCB"/>
    <w:rsid w:val="59AC2D93"/>
    <w:rsid w:val="59AF0EAA"/>
    <w:rsid w:val="59BB1A76"/>
    <w:rsid w:val="59C80DFA"/>
    <w:rsid w:val="59CF7537"/>
    <w:rsid w:val="59E809DD"/>
    <w:rsid w:val="59F25A2D"/>
    <w:rsid w:val="59FA4FCA"/>
    <w:rsid w:val="5A155A0A"/>
    <w:rsid w:val="5A28249E"/>
    <w:rsid w:val="5A3504EE"/>
    <w:rsid w:val="5A39315C"/>
    <w:rsid w:val="5A483890"/>
    <w:rsid w:val="5A4A302B"/>
    <w:rsid w:val="5A4E250E"/>
    <w:rsid w:val="5A7404D4"/>
    <w:rsid w:val="5A7D7ABA"/>
    <w:rsid w:val="5A862174"/>
    <w:rsid w:val="5AE8074D"/>
    <w:rsid w:val="5AF65854"/>
    <w:rsid w:val="5B15584C"/>
    <w:rsid w:val="5B1A5FD1"/>
    <w:rsid w:val="5B300D86"/>
    <w:rsid w:val="5B393C76"/>
    <w:rsid w:val="5B4831F3"/>
    <w:rsid w:val="5B525020"/>
    <w:rsid w:val="5B79190F"/>
    <w:rsid w:val="5B925558"/>
    <w:rsid w:val="5BA5752F"/>
    <w:rsid w:val="5BBB4428"/>
    <w:rsid w:val="5BBD79A7"/>
    <w:rsid w:val="5BBE2E31"/>
    <w:rsid w:val="5BE00703"/>
    <w:rsid w:val="5BE705B6"/>
    <w:rsid w:val="5BFD2B21"/>
    <w:rsid w:val="5C1D0834"/>
    <w:rsid w:val="5C6338D6"/>
    <w:rsid w:val="5C7063FA"/>
    <w:rsid w:val="5C721B5F"/>
    <w:rsid w:val="5C761A9D"/>
    <w:rsid w:val="5C7A12C0"/>
    <w:rsid w:val="5C815417"/>
    <w:rsid w:val="5C827A27"/>
    <w:rsid w:val="5C965677"/>
    <w:rsid w:val="5C9D2EB9"/>
    <w:rsid w:val="5CA838F8"/>
    <w:rsid w:val="5CAD48D9"/>
    <w:rsid w:val="5CBC05CD"/>
    <w:rsid w:val="5CBF5384"/>
    <w:rsid w:val="5CC32114"/>
    <w:rsid w:val="5CCB271D"/>
    <w:rsid w:val="5CCF148B"/>
    <w:rsid w:val="5CCF4230"/>
    <w:rsid w:val="5CD71221"/>
    <w:rsid w:val="5D150552"/>
    <w:rsid w:val="5D2A558D"/>
    <w:rsid w:val="5D2D391A"/>
    <w:rsid w:val="5D2F1111"/>
    <w:rsid w:val="5D404FBD"/>
    <w:rsid w:val="5D4E0DC0"/>
    <w:rsid w:val="5D517A05"/>
    <w:rsid w:val="5D77738B"/>
    <w:rsid w:val="5D831344"/>
    <w:rsid w:val="5DBF2913"/>
    <w:rsid w:val="5DC53CA6"/>
    <w:rsid w:val="5DE86B30"/>
    <w:rsid w:val="5DEC52AD"/>
    <w:rsid w:val="5DFA5CA5"/>
    <w:rsid w:val="5E0C5573"/>
    <w:rsid w:val="5E313C77"/>
    <w:rsid w:val="5E3B746C"/>
    <w:rsid w:val="5E3F668F"/>
    <w:rsid w:val="5E5F510A"/>
    <w:rsid w:val="5E633BD4"/>
    <w:rsid w:val="5E842624"/>
    <w:rsid w:val="5E9E2AC7"/>
    <w:rsid w:val="5ED032EC"/>
    <w:rsid w:val="5EE12401"/>
    <w:rsid w:val="5F0637F9"/>
    <w:rsid w:val="5F0E6E69"/>
    <w:rsid w:val="5F280769"/>
    <w:rsid w:val="5F2A5C8E"/>
    <w:rsid w:val="5F2F6FAC"/>
    <w:rsid w:val="5F2F7446"/>
    <w:rsid w:val="5F334EE4"/>
    <w:rsid w:val="5F3B4C05"/>
    <w:rsid w:val="5F5200CE"/>
    <w:rsid w:val="5F531242"/>
    <w:rsid w:val="5F5442EB"/>
    <w:rsid w:val="5F5D761D"/>
    <w:rsid w:val="5F77452F"/>
    <w:rsid w:val="5F983A99"/>
    <w:rsid w:val="5F9F2831"/>
    <w:rsid w:val="5FA6550E"/>
    <w:rsid w:val="5FAB2F7D"/>
    <w:rsid w:val="5FB335F7"/>
    <w:rsid w:val="5FB43BD8"/>
    <w:rsid w:val="5FBF6327"/>
    <w:rsid w:val="5FC8526D"/>
    <w:rsid w:val="600A4B12"/>
    <w:rsid w:val="601B7313"/>
    <w:rsid w:val="601B781F"/>
    <w:rsid w:val="60326423"/>
    <w:rsid w:val="60374B99"/>
    <w:rsid w:val="60596FF6"/>
    <w:rsid w:val="609A6563"/>
    <w:rsid w:val="60C10AA3"/>
    <w:rsid w:val="60C81706"/>
    <w:rsid w:val="60CA1F4A"/>
    <w:rsid w:val="60CB3C61"/>
    <w:rsid w:val="60DD428D"/>
    <w:rsid w:val="611C2C6B"/>
    <w:rsid w:val="61236405"/>
    <w:rsid w:val="612D4FFD"/>
    <w:rsid w:val="613B16A6"/>
    <w:rsid w:val="614461DF"/>
    <w:rsid w:val="614939ED"/>
    <w:rsid w:val="61701522"/>
    <w:rsid w:val="61761691"/>
    <w:rsid w:val="61840BA6"/>
    <w:rsid w:val="6186570E"/>
    <w:rsid w:val="6187096D"/>
    <w:rsid w:val="61A36B7A"/>
    <w:rsid w:val="61A64121"/>
    <w:rsid w:val="61A951A6"/>
    <w:rsid w:val="61B1678B"/>
    <w:rsid w:val="61B434D7"/>
    <w:rsid w:val="61BD394E"/>
    <w:rsid w:val="61D87548"/>
    <w:rsid w:val="61DF3ECF"/>
    <w:rsid w:val="61E13E0A"/>
    <w:rsid w:val="61F21516"/>
    <w:rsid w:val="61FF3C06"/>
    <w:rsid w:val="620113B8"/>
    <w:rsid w:val="620A12C2"/>
    <w:rsid w:val="620B28B7"/>
    <w:rsid w:val="620F285B"/>
    <w:rsid w:val="622412ED"/>
    <w:rsid w:val="62523F12"/>
    <w:rsid w:val="625242A3"/>
    <w:rsid w:val="625C221A"/>
    <w:rsid w:val="62650A36"/>
    <w:rsid w:val="627A5F41"/>
    <w:rsid w:val="627E704C"/>
    <w:rsid w:val="62882F29"/>
    <w:rsid w:val="629D729E"/>
    <w:rsid w:val="62B21BD3"/>
    <w:rsid w:val="62B2717F"/>
    <w:rsid w:val="62BC1224"/>
    <w:rsid w:val="62CF11B5"/>
    <w:rsid w:val="62DD62A0"/>
    <w:rsid w:val="62E863DF"/>
    <w:rsid w:val="62F161FA"/>
    <w:rsid w:val="62F47D77"/>
    <w:rsid w:val="62FF55D8"/>
    <w:rsid w:val="63194B51"/>
    <w:rsid w:val="631F6BEA"/>
    <w:rsid w:val="63297CC8"/>
    <w:rsid w:val="633761D2"/>
    <w:rsid w:val="634D6180"/>
    <w:rsid w:val="63515DB6"/>
    <w:rsid w:val="6386596D"/>
    <w:rsid w:val="63B60D0C"/>
    <w:rsid w:val="63BC708C"/>
    <w:rsid w:val="63BE756D"/>
    <w:rsid w:val="63C0266C"/>
    <w:rsid w:val="63DD3ECB"/>
    <w:rsid w:val="63E96A63"/>
    <w:rsid w:val="63F40E5F"/>
    <w:rsid w:val="64482CAC"/>
    <w:rsid w:val="644B3D45"/>
    <w:rsid w:val="645343C2"/>
    <w:rsid w:val="64653776"/>
    <w:rsid w:val="6491264A"/>
    <w:rsid w:val="64952838"/>
    <w:rsid w:val="649A002B"/>
    <w:rsid w:val="64A10762"/>
    <w:rsid w:val="64A93169"/>
    <w:rsid w:val="64AA31EF"/>
    <w:rsid w:val="64C41EA3"/>
    <w:rsid w:val="64E7709F"/>
    <w:rsid w:val="65141B79"/>
    <w:rsid w:val="65153754"/>
    <w:rsid w:val="6526446F"/>
    <w:rsid w:val="65431437"/>
    <w:rsid w:val="6559317F"/>
    <w:rsid w:val="65635D36"/>
    <w:rsid w:val="65722A9A"/>
    <w:rsid w:val="658D05D4"/>
    <w:rsid w:val="659A62EA"/>
    <w:rsid w:val="65B933E0"/>
    <w:rsid w:val="65CA33B6"/>
    <w:rsid w:val="65DC0366"/>
    <w:rsid w:val="65E87C75"/>
    <w:rsid w:val="65F74582"/>
    <w:rsid w:val="65FD6636"/>
    <w:rsid w:val="66230C27"/>
    <w:rsid w:val="664F624C"/>
    <w:rsid w:val="665534FE"/>
    <w:rsid w:val="66554A6E"/>
    <w:rsid w:val="665B141A"/>
    <w:rsid w:val="66611C20"/>
    <w:rsid w:val="6671429F"/>
    <w:rsid w:val="66782AA2"/>
    <w:rsid w:val="669703FD"/>
    <w:rsid w:val="66A77FCA"/>
    <w:rsid w:val="66B42A7E"/>
    <w:rsid w:val="66CF72FD"/>
    <w:rsid w:val="66E97DA7"/>
    <w:rsid w:val="66F60085"/>
    <w:rsid w:val="67024418"/>
    <w:rsid w:val="67064E39"/>
    <w:rsid w:val="67067786"/>
    <w:rsid w:val="67115E9D"/>
    <w:rsid w:val="671742BC"/>
    <w:rsid w:val="672B320B"/>
    <w:rsid w:val="672D7F47"/>
    <w:rsid w:val="672F7470"/>
    <w:rsid w:val="673C5D18"/>
    <w:rsid w:val="674F7DCC"/>
    <w:rsid w:val="675013F8"/>
    <w:rsid w:val="6756284E"/>
    <w:rsid w:val="675675C3"/>
    <w:rsid w:val="67835E25"/>
    <w:rsid w:val="67A97163"/>
    <w:rsid w:val="67B24219"/>
    <w:rsid w:val="67BB52C6"/>
    <w:rsid w:val="67D46366"/>
    <w:rsid w:val="67F134C9"/>
    <w:rsid w:val="67F60432"/>
    <w:rsid w:val="6800520E"/>
    <w:rsid w:val="6813659F"/>
    <w:rsid w:val="681B0E36"/>
    <w:rsid w:val="683417B2"/>
    <w:rsid w:val="685A40A6"/>
    <w:rsid w:val="68753225"/>
    <w:rsid w:val="68900774"/>
    <w:rsid w:val="68A05295"/>
    <w:rsid w:val="68A45B88"/>
    <w:rsid w:val="68B43894"/>
    <w:rsid w:val="68BD7B08"/>
    <w:rsid w:val="68BE2E65"/>
    <w:rsid w:val="68C259A9"/>
    <w:rsid w:val="68CA62C6"/>
    <w:rsid w:val="68E446F5"/>
    <w:rsid w:val="68E96814"/>
    <w:rsid w:val="6902283E"/>
    <w:rsid w:val="69093667"/>
    <w:rsid w:val="6918432A"/>
    <w:rsid w:val="691E0FBD"/>
    <w:rsid w:val="69307005"/>
    <w:rsid w:val="69370B68"/>
    <w:rsid w:val="69667A13"/>
    <w:rsid w:val="69682D1A"/>
    <w:rsid w:val="69690932"/>
    <w:rsid w:val="697305D9"/>
    <w:rsid w:val="69C45094"/>
    <w:rsid w:val="69CA711F"/>
    <w:rsid w:val="69D107FC"/>
    <w:rsid w:val="69D71B35"/>
    <w:rsid w:val="6A0561F6"/>
    <w:rsid w:val="6A157C57"/>
    <w:rsid w:val="6A2B3A1B"/>
    <w:rsid w:val="6A4D1859"/>
    <w:rsid w:val="6A504A87"/>
    <w:rsid w:val="6A5326D6"/>
    <w:rsid w:val="6A560D19"/>
    <w:rsid w:val="6A584AEF"/>
    <w:rsid w:val="6A593169"/>
    <w:rsid w:val="6A5E4C4D"/>
    <w:rsid w:val="6A6F505D"/>
    <w:rsid w:val="6A762C92"/>
    <w:rsid w:val="6A774BB6"/>
    <w:rsid w:val="6A9C6E3E"/>
    <w:rsid w:val="6AB51F85"/>
    <w:rsid w:val="6AC40862"/>
    <w:rsid w:val="6ACD5CA6"/>
    <w:rsid w:val="6AD375E4"/>
    <w:rsid w:val="6AD83AEB"/>
    <w:rsid w:val="6B0706A9"/>
    <w:rsid w:val="6B1D2E34"/>
    <w:rsid w:val="6B1D3556"/>
    <w:rsid w:val="6B3424EE"/>
    <w:rsid w:val="6B3E0CF4"/>
    <w:rsid w:val="6B621736"/>
    <w:rsid w:val="6B68454E"/>
    <w:rsid w:val="6B697F7E"/>
    <w:rsid w:val="6B8251F6"/>
    <w:rsid w:val="6B9654FC"/>
    <w:rsid w:val="6B9B5AC6"/>
    <w:rsid w:val="6B9E680C"/>
    <w:rsid w:val="6BA27E63"/>
    <w:rsid w:val="6BBF0756"/>
    <w:rsid w:val="6BC32A1A"/>
    <w:rsid w:val="6BC96821"/>
    <w:rsid w:val="6BE156B9"/>
    <w:rsid w:val="6BE72172"/>
    <w:rsid w:val="6BEF13E7"/>
    <w:rsid w:val="6BF82EFF"/>
    <w:rsid w:val="6C217630"/>
    <w:rsid w:val="6C31658F"/>
    <w:rsid w:val="6C4112D4"/>
    <w:rsid w:val="6C603BBD"/>
    <w:rsid w:val="6C66685A"/>
    <w:rsid w:val="6C7A6981"/>
    <w:rsid w:val="6C8170E8"/>
    <w:rsid w:val="6C821703"/>
    <w:rsid w:val="6C822AAF"/>
    <w:rsid w:val="6C8E74EC"/>
    <w:rsid w:val="6CA9584A"/>
    <w:rsid w:val="6CAE14B7"/>
    <w:rsid w:val="6CD95197"/>
    <w:rsid w:val="6CEE6F76"/>
    <w:rsid w:val="6D0C2C99"/>
    <w:rsid w:val="6D2D280E"/>
    <w:rsid w:val="6D5361FB"/>
    <w:rsid w:val="6D6E2FB0"/>
    <w:rsid w:val="6DA8122C"/>
    <w:rsid w:val="6DAA5FC3"/>
    <w:rsid w:val="6DCC3040"/>
    <w:rsid w:val="6DD5628F"/>
    <w:rsid w:val="6DE979B6"/>
    <w:rsid w:val="6DFA127C"/>
    <w:rsid w:val="6E107843"/>
    <w:rsid w:val="6E1E7BD6"/>
    <w:rsid w:val="6E2E16D4"/>
    <w:rsid w:val="6E3642C2"/>
    <w:rsid w:val="6E38270B"/>
    <w:rsid w:val="6E487D4C"/>
    <w:rsid w:val="6E5221D1"/>
    <w:rsid w:val="6E5545EC"/>
    <w:rsid w:val="6E7968D2"/>
    <w:rsid w:val="6E936055"/>
    <w:rsid w:val="6E9D65A8"/>
    <w:rsid w:val="6EA02226"/>
    <w:rsid w:val="6EAC7435"/>
    <w:rsid w:val="6ED2300A"/>
    <w:rsid w:val="6EDF74C6"/>
    <w:rsid w:val="6F04645A"/>
    <w:rsid w:val="6F1C2AF8"/>
    <w:rsid w:val="6F373725"/>
    <w:rsid w:val="6F4234DA"/>
    <w:rsid w:val="6F4935E2"/>
    <w:rsid w:val="6F4F7148"/>
    <w:rsid w:val="6F6B2D97"/>
    <w:rsid w:val="6F7544A4"/>
    <w:rsid w:val="6FA13C0A"/>
    <w:rsid w:val="6FC36FF3"/>
    <w:rsid w:val="6FCA3633"/>
    <w:rsid w:val="6FCB5FBB"/>
    <w:rsid w:val="6FE95AA9"/>
    <w:rsid w:val="6FFB5E40"/>
    <w:rsid w:val="6FFE21DE"/>
    <w:rsid w:val="6FFF2FA8"/>
    <w:rsid w:val="700776D6"/>
    <w:rsid w:val="70194F25"/>
    <w:rsid w:val="702835BB"/>
    <w:rsid w:val="702D2234"/>
    <w:rsid w:val="703E2270"/>
    <w:rsid w:val="704A0434"/>
    <w:rsid w:val="705A36C4"/>
    <w:rsid w:val="705B370C"/>
    <w:rsid w:val="70613B32"/>
    <w:rsid w:val="70645399"/>
    <w:rsid w:val="707542BD"/>
    <w:rsid w:val="70770D07"/>
    <w:rsid w:val="7083079F"/>
    <w:rsid w:val="709045B1"/>
    <w:rsid w:val="709124BA"/>
    <w:rsid w:val="70A43A2E"/>
    <w:rsid w:val="70B02FF1"/>
    <w:rsid w:val="70B133CD"/>
    <w:rsid w:val="70B90364"/>
    <w:rsid w:val="70D07A54"/>
    <w:rsid w:val="70D8290D"/>
    <w:rsid w:val="70F31078"/>
    <w:rsid w:val="710D6A6B"/>
    <w:rsid w:val="714F48F4"/>
    <w:rsid w:val="71543D51"/>
    <w:rsid w:val="717D059B"/>
    <w:rsid w:val="717F5584"/>
    <w:rsid w:val="71A55E28"/>
    <w:rsid w:val="71BB7F0C"/>
    <w:rsid w:val="71D94E0D"/>
    <w:rsid w:val="72121F23"/>
    <w:rsid w:val="7215059A"/>
    <w:rsid w:val="722E25C2"/>
    <w:rsid w:val="72655898"/>
    <w:rsid w:val="726951AA"/>
    <w:rsid w:val="72727002"/>
    <w:rsid w:val="728C78F7"/>
    <w:rsid w:val="72922B5A"/>
    <w:rsid w:val="72945E45"/>
    <w:rsid w:val="729840A1"/>
    <w:rsid w:val="72986BFF"/>
    <w:rsid w:val="729D5DC4"/>
    <w:rsid w:val="72B7494C"/>
    <w:rsid w:val="72C15233"/>
    <w:rsid w:val="72CF03F9"/>
    <w:rsid w:val="72DD3433"/>
    <w:rsid w:val="72F470DB"/>
    <w:rsid w:val="72FB107D"/>
    <w:rsid w:val="72FD1A7A"/>
    <w:rsid w:val="730E11BE"/>
    <w:rsid w:val="731E15F2"/>
    <w:rsid w:val="7337301A"/>
    <w:rsid w:val="733C2927"/>
    <w:rsid w:val="73440F8F"/>
    <w:rsid w:val="735C387C"/>
    <w:rsid w:val="73691E7A"/>
    <w:rsid w:val="73697438"/>
    <w:rsid w:val="73BD2427"/>
    <w:rsid w:val="73C46B13"/>
    <w:rsid w:val="73CF67C2"/>
    <w:rsid w:val="73D552EF"/>
    <w:rsid w:val="73E94497"/>
    <w:rsid w:val="73F63E0A"/>
    <w:rsid w:val="73FC3CC4"/>
    <w:rsid w:val="740A0181"/>
    <w:rsid w:val="741339C3"/>
    <w:rsid w:val="7429414C"/>
    <w:rsid w:val="742F56C7"/>
    <w:rsid w:val="743F7011"/>
    <w:rsid w:val="744E400D"/>
    <w:rsid w:val="745D310C"/>
    <w:rsid w:val="747E6E87"/>
    <w:rsid w:val="747F34FE"/>
    <w:rsid w:val="74896538"/>
    <w:rsid w:val="749F48A9"/>
    <w:rsid w:val="74A31C89"/>
    <w:rsid w:val="74B4702E"/>
    <w:rsid w:val="74B7501A"/>
    <w:rsid w:val="74C73413"/>
    <w:rsid w:val="74DF1BA4"/>
    <w:rsid w:val="74EC0167"/>
    <w:rsid w:val="75042ED2"/>
    <w:rsid w:val="7508018C"/>
    <w:rsid w:val="7524355F"/>
    <w:rsid w:val="75260F93"/>
    <w:rsid w:val="75296B92"/>
    <w:rsid w:val="753248BA"/>
    <w:rsid w:val="75377A9F"/>
    <w:rsid w:val="753929A7"/>
    <w:rsid w:val="754133B0"/>
    <w:rsid w:val="75503702"/>
    <w:rsid w:val="75650DB9"/>
    <w:rsid w:val="756C1080"/>
    <w:rsid w:val="7570594A"/>
    <w:rsid w:val="75747CBA"/>
    <w:rsid w:val="758A6B03"/>
    <w:rsid w:val="75932810"/>
    <w:rsid w:val="759A7438"/>
    <w:rsid w:val="75AD3A17"/>
    <w:rsid w:val="75AE7BB5"/>
    <w:rsid w:val="75B36F42"/>
    <w:rsid w:val="75BE6BB2"/>
    <w:rsid w:val="75C7114B"/>
    <w:rsid w:val="75EB25B9"/>
    <w:rsid w:val="75F51428"/>
    <w:rsid w:val="761E1183"/>
    <w:rsid w:val="762F003E"/>
    <w:rsid w:val="7638490F"/>
    <w:rsid w:val="763E2F34"/>
    <w:rsid w:val="76501018"/>
    <w:rsid w:val="765017A8"/>
    <w:rsid w:val="76522F17"/>
    <w:rsid w:val="76706A23"/>
    <w:rsid w:val="767C5306"/>
    <w:rsid w:val="76900211"/>
    <w:rsid w:val="769452E3"/>
    <w:rsid w:val="76A66E0A"/>
    <w:rsid w:val="76AD16FD"/>
    <w:rsid w:val="76B57AE1"/>
    <w:rsid w:val="770651FA"/>
    <w:rsid w:val="770D0F92"/>
    <w:rsid w:val="771B4875"/>
    <w:rsid w:val="771F672D"/>
    <w:rsid w:val="773308CB"/>
    <w:rsid w:val="77391C0B"/>
    <w:rsid w:val="77407B69"/>
    <w:rsid w:val="7757408F"/>
    <w:rsid w:val="77586CCC"/>
    <w:rsid w:val="776B5376"/>
    <w:rsid w:val="77770893"/>
    <w:rsid w:val="77A3648E"/>
    <w:rsid w:val="77B010DD"/>
    <w:rsid w:val="77CE1948"/>
    <w:rsid w:val="77E61A96"/>
    <w:rsid w:val="77E84BE6"/>
    <w:rsid w:val="78125EB9"/>
    <w:rsid w:val="782A37C1"/>
    <w:rsid w:val="782D59C3"/>
    <w:rsid w:val="782D7534"/>
    <w:rsid w:val="78516A02"/>
    <w:rsid w:val="785D21EA"/>
    <w:rsid w:val="78674F68"/>
    <w:rsid w:val="787B71CE"/>
    <w:rsid w:val="787C3D28"/>
    <w:rsid w:val="788C3C35"/>
    <w:rsid w:val="789B70C9"/>
    <w:rsid w:val="78A626DC"/>
    <w:rsid w:val="78B25122"/>
    <w:rsid w:val="78C40820"/>
    <w:rsid w:val="78C73520"/>
    <w:rsid w:val="78D118D1"/>
    <w:rsid w:val="78D36295"/>
    <w:rsid w:val="78E36EB6"/>
    <w:rsid w:val="79143441"/>
    <w:rsid w:val="79266994"/>
    <w:rsid w:val="792926CE"/>
    <w:rsid w:val="79390F22"/>
    <w:rsid w:val="79522340"/>
    <w:rsid w:val="79631A39"/>
    <w:rsid w:val="797403CD"/>
    <w:rsid w:val="797B3489"/>
    <w:rsid w:val="798961C2"/>
    <w:rsid w:val="798A63AB"/>
    <w:rsid w:val="799E45FD"/>
    <w:rsid w:val="79B949A3"/>
    <w:rsid w:val="79C53A69"/>
    <w:rsid w:val="79CC2AD9"/>
    <w:rsid w:val="79EC2054"/>
    <w:rsid w:val="79F14A26"/>
    <w:rsid w:val="79FD2802"/>
    <w:rsid w:val="7A0977DE"/>
    <w:rsid w:val="7A0B6993"/>
    <w:rsid w:val="7A0E48D9"/>
    <w:rsid w:val="7A1353C1"/>
    <w:rsid w:val="7A157B59"/>
    <w:rsid w:val="7A1B7305"/>
    <w:rsid w:val="7A1D4A56"/>
    <w:rsid w:val="7A214F09"/>
    <w:rsid w:val="7A29635B"/>
    <w:rsid w:val="7A340E2B"/>
    <w:rsid w:val="7A402DFE"/>
    <w:rsid w:val="7A4D4421"/>
    <w:rsid w:val="7A5428F3"/>
    <w:rsid w:val="7A6F3679"/>
    <w:rsid w:val="7AA1269C"/>
    <w:rsid w:val="7ADF0876"/>
    <w:rsid w:val="7AEA645E"/>
    <w:rsid w:val="7AF40115"/>
    <w:rsid w:val="7AFE648C"/>
    <w:rsid w:val="7B081D1C"/>
    <w:rsid w:val="7B0B05DE"/>
    <w:rsid w:val="7B282E8D"/>
    <w:rsid w:val="7B465AC4"/>
    <w:rsid w:val="7B475E27"/>
    <w:rsid w:val="7B6A72C1"/>
    <w:rsid w:val="7B6D0D0B"/>
    <w:rsid w:val="7B78635B"/>
    <w:rsid w:val="7B841B08"/>
    <w:rsid w:val="7B855A0F"/>
    <w:rsid w:val="7B9138D9"/>
    <w:rsid w:val="7BB8238C"/>
    <w:rsid w:val="7BBB2A86"/>
    <w:rsid w:val="7BCE1328"/>
    <w:rsid w:val="7BD43A1B"/>
    <w:rsid w:val="7BDB439E"/>
    <w:rsid w:val="7BDD4539"/>
    <w:rsid w:val="7BFC5433"/>
    <w:rsid w:val="7C2830EE"/>
    <w:rsid w:val="7C2D0DF8"/>
    <w:rsid w:val="7C366524"/>
    <w:rsid w:val="7C3C403C"/>
    <w:rsid w:val="7C4A0451"/>
    <w:rsid w:val="7C637D09"/>
    <w:rsid w:val="7C846CED"/>
    <w:rsid w:val="7C89578A"/>
    <w:rsid w:val="7C8B643E"/>
    <w:rsid w:val="7C8E2DA5"/>
    <w:rsid w:val="7C915A01"/>
    <w:rsid w:val="7C974ACE"/>
    <w:rsid w:val="7C9910B3"/>
    <w:rsid w:val="7CBB2AB8"/>
    <w:rsid w:val="7CCF4277"/>
    <w:rsid w:val="7CD02377"/>
    <w:rsid w:val="7CE7223F"/>
    <w:rsid w:val="7CF12086"/>
    <w:rsid w:val="7CF353E2"/>
    <w:rsid w:val="7D4D40A6"/>
    <w:rsid w:val="7D5D0128"/>
    <w:rsid w:val="7D5E5ED5"/>
    <w:rsid w:val="7D852EAC"/>
    <w:rsid w:val="7DA5717D"/>
    <w:rsid w:val="7DB03BA3"/>
    <w:rsid w:val="7DE2629B"/>
    <w:rsid w:val="7DE6746C"/>
    <w:rsid w:val="7DEF31C2"/>
    <w:rsid w:val="7DEF5CCF"/>
    <w:rsid w:val="7DFB2171"/>
    <w:rsid w:val="7DFE795F"/>
    <w:rsid w:val="7E1A17EA"/>
    <w:rsid w:val="7E26396C"/>
    <w:rsid w:val="7E314529"/>
    <w:rsid w:val="7E354649"/>
    <w:rsid w:val="7E40403C"/>
    <w:rsid w:val="7E4C7790"/>
    <w:rsid w:val="7E6477A2"/>
    <w:rsid w:val="7E6C7AB7"/>
    <w:rsid w:val="7E6E3038"/>
    <w:rsid w:val="7E830194"/>
    <w:rsid w:val="7EBA64A4"/>
    <w:rsid w:val="7ED362B8"/>
    <w:rsid w:val="7EF95143"/>
    <w:rsid w:val="7EFA4FC5"/>
    <w:rsid w:val="7F042DA0"/>
    <w:rsid w:val="7F060F8A"/>
    <w:rsid w:val="7F06534F"/>
    <w:rsid w:val="7F1631F6"/>
    <w:rsid w:val="7F4E2DF8"/>
    <w:rsid w:val="7F652535"/>
    <w:rsid w:val="7F7023AA"/>
    <w:rsid w:val="7F7C0463"/>
    <w:rsid w:val="7F8061C0"/>
    <w:rsid w:val="7F8A3152"/>
    <w:rsid w:val="7FB474DD"/>
    <w:rsid w:val="7FB71390"/>
    <w:rsid w:val="7FC01298"/>
    <w:rsid w:val="7FE935F5"/>
    <w:rsid w:val="7FEC4069"/>
    <w:rsid w:val="7FFF6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2"/>
    <w:basedOn w:val="1"/>
    <w:next w:val="1"/>
    <w:qFormat/>
    <w:uiPriority w:val="99"/>
    <w:pPr>
      <w:keepNext/>
      <w:keepLines/>
      <w:spacing w:before="260" w:after="260" w:line="416" w:lineRule="auto"/>
      <w:outlineLvl w:val="1"/>
    </w:pPr>
    <w:rPr>
      <w:rFonts w:ascii="Cambria" w:hAnsi="Cambria"/>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szCs w:val="20"/>
    </w:rPr>
  </w:style>
  <w:style w:type="paragraph" w:styleId="3">
    <w:name w:val="Title"/>
    <w:basedOn w:val="1"/>
    <w:next w:val="1"/>
    <w:qFormat/>
    <w:uiPriority w:val="0"/>
    <w:pPr>
      <w:spacing w:before="240" w:after="60"/>
      <w:jc w:val="center"/>
      <w:outlineLvl w:val="0"/>
    </w:pPr>
    <w:rPr>
      <w:rFonts w:ascii="Arial" w:hAnsi="Arial" w:cs="Arial"/>
      <w:b/>
      <w:bCs/>
      <w:sz w:val="32"/>
      <w:szCs w:val="32"/>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tabs>
        <w:tab w:val="left" w:pos="284"/>
        <w:tab w:val="right" w:leader="dot" w:pos="8296"/>
      </w:tabs>
    </w:pPr>
  </w:style>
  <w:style w:type="paragraph" w:styleId="9">
    <w:name w:val="toc 2"/>
    <w:basedOn w:val="1"/>
    <w:next w:val="1"/>
    <w:unhideWhenUsed/>
    <w:qFormat/>
    <w:uiPriority w:val="39"/>
    <w:pPr>
      <w:tabs>
        <w:tab w:val="left" w:pos="851"/>
        <w:tab w:val="right" w:leader="dot" w:pos="8296"/>
      </w:tabs>
      <w:ind w:left="420" w:leftChars="200"/>
    </w:pPr>
  </w:style>
  <w:style w:type="character" w:styleId="12">
    <w:name w:val="Hyperlink"/>
    <w:unhideWhenUsed/>
    <w:qFormat/>
    <w:uiPriority w:val="99"/>
    <w:rPr>
      <w:color w:val="333333"/>
      <w:u w:val="none"/>
    </w:rPr>
  </w:style>
  <w:style w:type="paragraph" w:customStyle="1" w:styleId="13">
    <w:name w:val="表格"/>
    <w:basedOn w:val="1"/>
    <w:qFormat/>
    <w:uiPriority w:val="0"/>
    <w:pPr>
      <w:jc w:val="center"/>
    </w:pPr>
  </w:style>
  <w:style w:type="paragraph" w:customStyle="1" w:styleId="14">
    <w:name w:val="_Style 2"/>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5">
    <w:name w:val="首行缩进"/>
    <w:basedOn w:val="1"/>
    <w:qFormat/>
    <w:uiPriority w:val="99"/>
    <w:pPr>
      <w:spacing w:line="300" w:lineRule="auto"/>
      <w:ind w:firstLine="420" w:firstLineChars="200"/>
    </w:pPr>
    <w:rPr>
      <w:rFonts w:eastAsia="方正书宋简体"/>
      <w:szCs w:val="20"/>
    </w:rPr>
  </w:style>
  <w:style w:type="character" w:customStyle="1" w:styleId="16">
    <w:name w:val="D2 Char Char"/>
    <w:link w:val="17"/>
    <w:qFormat/>
    <w:uiPriority w:val="0"/>
    <w:rPr>
      <w:kern w:val="0"/>
      <w:sz w:val="20"/>
      <w:szCs w:val="20"/>
    </w:rPr>
  </w:style>
  <w:style w:type="paragraph" w:customStyle="1" w:styleId="17">
    <w:name w:val="D2"/>
    <w:basedOn w:val="1"/>
    <w:link w:val="16"/>
    <w:qFormat/>
    <w:uiPriority w:val="0"/>
    <w:pPr>
      <w:topLinePunct/>
      <w:spacing w:line="312" w:lineRule="exact"/>
    </w:pPr>
    <w:rPr>
      <w:kern w:val="0"/>
      <w:sz w:val="20"/>
      <w:szCs w:val="20"/>
    </w:rPr>
  </w:style>
  <w:style w:type="paragraph" w:customStyle="1" w:styleId="18">
    <w:name w:val="正文-1"/>
    <w:basedOn w:val="1"/>
    <w:qFormat/>
    <w:uiPriority w:val="0"/>
    <w:pPr>
      <w:adjustRightInd w:val="0"/>
      <w:snapToGrid w:val="0"/>
      <w:spacing w:line="360" w:lineRule="auto"/>
      <w:ind w:firstLine="20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2024-04-10T09:11:00Z</dcterms:created>
  <dc:creator>汪为</dc:creator>
  <cp:lastModifiedBy>汪为</cp:lastModifiedBy>
  <dcterms:modified xsi:type="dcterms:W3CDTF">2024-04-10T09:12:56Z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E4977D64C0AA4086A317AA5CCBB2D530</vt:lpwstr>
  </property>
</Properties>
</file>