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ind w:leftChars="0"/>
        <w:jc w:val="center"/>
        <w:rPr>
          <w:rFonts w:hint="eastAsia"/>
        </w:rPr>
      </w:pPr>
      <w:r>
        <w:rPr>
          <w:rFonts w:hint="eastAsia"/>
          <w:lang w:eastAsia="zh-CN"/>
        </w:rPr>
        <w:t>监理安全协议</w:t>
      </w:r>
    </w:p>
    <w:p>
      <w:pPr>
        <w:adjustRightInd w:val="0"/>
        <w:snapToGrid w:val="0"/>
        <w:spacing w:line="360" w:lineRule="auto"/>
        <w:jc w:val="left"/>
        <w:rPr>
          <w:rFonts w:hint="eastAsia" w:ascii="宋体" w:hAnsi="宋体"/>
          <w:szCs w:val="21"/>
        </w:rPr>
      </w:pPr>
      <w:r>
        <w:rPr>
          <w:rFonts w:hint="eastAsia" w:ascii="宋体" w:hAnsi="宋体"/>
          <w:b/>
          <w:bCs/>
          <w:szCs w:val="21"/>
        </w:rPr>
        <w:t>工程项目名称</w:t>
      </w:r>
      <w:r>
        <w:rPr>
          <w:rFonts w:hint="eastAsia" w:ascii="宋体" w:hAnsi="宋体"/>
          <w:szCs w:val="21"/>
        </w:rPr>
        <w:t>：</w:t>
      </w:r>
      <w:r>
        <w:rPr>
          <w:rFonts w:hint="eastAsia" w:ascii="宋体" w:hAnsi="宋体"/>
          <w:szCs w:val="21"/>
          <w:u w:val="single"/>
        </w:rPr>
        <w:t xml:space="preserve"> 海蓄公司2026年海口办公室改造</w:t>
      </w:r>
      <w:r>
        <w:rPr>
          <w:rFonts w:hint="eastAsia" w:ascii="宋体" w:hAnsi="宋体"/>
          <w:szCs w:val="21"/>
          <w:u w:val="single"/>
          <w:lang w:val="en-US" w:eastAsia="zh-CN"/>
        </w:rPr>
        <w:t>项目</w:t>
      </w:r>
      <w:r>
        <w:rPr>
          <w:rFonts w:hint="eastAsia" w:ascii="宋体" w:hAnsi="宋体"/>
          <w:szCs w:val="21"/>
          <w:u w:val="single"/>
        </w:rPr>
        <w:t xml:space="preserve">    </w:t>
      </w:r>
    </w:p>
    <w:p>
      <w:pPr>
        <w:adjustRightInd w:val="0"/>
        <w:snapToGrid w:val="0"/>
        <w:spacing w:line="360" w:lineRule="auto"/>
        <w:jc w:val="left"/>
        <w:rPr>
          <w:rFonts w:hint="eastAsia" w:ascii="宋体" w:hAnsi="宋体"/>
          <w:szCs w:val="21"/>
        </w:rPr>
      </w:pPr>
      <w:r>
        <w:rPr>
          <w:rFonts w:hint="eastAsia" w:ascii="宋体" w:hAnsi="宋体"/>
          <w:b/>
          <w:bCs/>
          <w:szCs w:val="21"/>
        </w:rPr>
        <w:t>承包方(乙方)</w:t>
      </w:r>
      <w:r>
        <w:rPr>
          <w:rFonts w:hint="eastAsia" w:ascii="宋体" w:hAnsi="宋体"/>
          <w:szCs w:val="21"/>
        </w:rPr>
        <w:t>：</w:t>
      </w:r>
      <w:r>
        <w:rPr>
          <w:rFonts w:hint="eastAsia" w:ascii="宋体" w:hAnsi="宋体"/>
          <w:szCs w:val="21"/>
          <w:u w:val="single"/>
        </w:rPr>
        <w:t xml:space="preserve">                                      </w:t>
      </w:r>
    </w:p>
    <w:p>
      <w:pPr>
        <w:adjustRightInd w:val="0"/>
        <w:snapToGrid w:val="0"/>
        <w:spacing w:line="360" w:lineRule="auto"/>
        <w:jc w:val="left"/>
        <w:rPr>
          <w:rFonts w:hint="eastAsia" w:ascii="宋体" w:hAnsi="宋体"/>
          <w:szCs w:val="21"/>
          <w:u w:val="single"/>
        </w:rPr>
      </w:pPr>
      <w:r>
        <w:rPr>
          <w:rFonts w:hint="eastAsia" w:ascii="宋体" w:hAnsi="宋体"/>
          <w:b/>
          <w:bCs/>
          <w:szCs w:val="21"/>
        </w:rPr>
        <w:t>发包方（甲方）</w:t>
      </w:r>
      <w:r>
        <w:rPr>
          <w:rFonts w:hint="eastAsia" w:ascii="宋体" w:hAnsi="宋体"/>
          <w:szCs w:val="21"/>
        </w:rPr>
        <w:t>：</w:t>
      </w:r>
      <w:r>
        <w:rPr>
          <w:rFonts w:hint="eastAsia" w:ascii="宋体" w:hAnsi="宋体"/>
          <w:szCs w:val="21"/>
          <w:u w:val="single"/>
        </w:rPr>
        <w:t xml:space="preserve">  </w:t>
      </w:r>
      <w:r>
        <w:rPr>
          <w:rFonts w:hint="eastAsia" w:ascii="宋体" w:hAnsi="宋体"/>
          <w:szCs w:val="21"/>
          <w:u w:val="single"/>
          <w:lang w:val="en-US" w:eastAsia="zh-CN"/>
        </w:rPr>
        <w:t xml:space="preserve">      海南蓄能发电有限公司      </w:t>
      </w:r>
      <w:bookmarkStart w:id="0" w:name="_GoBack"/>
      <w:bookmarkEnd w:id="0"/>
      <w:r>
        <w:rPr>
          <w:rFonts w:hint="eastAsia" w:ascii="宋体" w:hAnsi="宋体"/>
          <w:szCs w:val="21"/>
          <w:u w:val="single"/>
          <w:lang w:val="en-US" w:eastAsia="zh-CN"/>
        </w:rPr>
        <w:t xml:space="preserve"> </w:t>
      </w:r>
      <w:r>
        <w:rPr>
          <w:rFonts w:hint="eastAsia" w:ascii="宋体" w:hAnsi="宋体"/>
          <w:szCs w:val="21"/>
          <w:u w:val="single"/>
        </w:rPr>
        <w:t xml:space="preserve">  </w:t>
      </w:r>
    </w:p>
    <w:p>
      <w:pPr>
        <w:spacing w:line="360" w:lineRule="auto"/>
        <w:ind w:firstLine="420" w:firstLineChars="200"/>
        <w:rPr>
          <w:rFonts w:hint="eastAsia" w:ascii="宋体" w:hAnsi="宋体"/>
          <w:kern w:val="0"/>
          <w:szCs w:val="21"/>
        </w:rPr>
      </w:pPr>
      <w:r>
        <w:rPr>
          <w:rFonts w:hint="eastAsia" w:ascii="宋体" w:hAnsi="宋体"/>
          <w:kern w:val="0"/>
          <w:szCs w:val="21"/>
        </w:rPr>
        <w:t>为进一步明确双方的安全管理责任，确保施工中人身、设备的安全，根据中华人民共和国《安全生产法》、中华人民共和国《合同法》、《建设工程安全生产管理条例》（国务院）和有关政策的相关规定，按照“安全第一、预防为主、综合治理”的方针，确保本工程目标建设的顺利实现，经甲乙双方协商同意并达成如下协议，本协议作为合同的附件，具有同等的法律效力。</w:t>
      </w:r>
    </w:p>
    <w:p>
      <w:pPr>
        <w:spacing w:line="360" w:lineRule="auto"/>
        <w:rPr>
          <w:rFonts w:hint="eastAsia" w:ascii="宋体" w:hAnsi="宋体"/>
          <w:b/>
          <w:szCs w:val="21"/>
        </w:rPr>
      </w:pPr>
      <w:r>
        <w:rPr>
          <w:rFonts w:hint="eastAsia" w:ascii="宋体" w:hAnsi="宋体"/>
          <w:b/>
          <w:szCs w:val="21"/>
        </w:rPr>
        <w:t>第一条  甲方的安全职责、权利和义务</w:t>
      </w:r>
    </w:p>
    <w:p>
      <w:pPr>
        <w:spacing w:line="360" w:lineRule="auto"/>
        <w:ind w:firstLine="420" w:firstLineChars="200"/>
        <w:rPr>
          <w:rFonts w:hint="eastAsia" w:ascii="宋体" w:hAnsi="宋体"/>
          <w:kern w:val="0"/>
          <w:szCs w:val="21"/>
        </w:rPr>
      </w:pPr>
      <w:r>
        <w:rPr>
          <w:rFonts w:hint="eastAsia" w:ascii="宋体" w:hAnsi="宋体"/>
          <w:kern w:val="0"/>
          <w:szCs w:val="21"/>
        </w:rPr>
        <w:t>应包括但不限于以下内容：</w:t>
      </w:r>
    </w:p>
    <w:p>
      <w:pPr>
        <w:numPr>
          <w:ilvl w:val="0"/>
          <w:numId w:val="3"/>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甲方不得对乙方提出不符合安全生产法律、法规和强制性标准规定的要求。</w:t>
      </w:r>
    </w:p>
    <w:p>
      <w:pPr>
        <w:numPr>
          <w:ilvl w:val="0"/>
          <w:numId w:val="3"/>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甲方应当向乙方提供施工现场的水文、地质、气象和安全监测等相关的资料和信息，并定期发布水情或汛情预报。</w:t>
      </w:r>
    </w:p>
    <w:p>
      <w:pPr>
        <w:numPr>
          <w:ilvl w:val="0"/>
          <w:numId w:val="3"/>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甲方负责与当地政府有关部门沟通联系，协调施工现场的消防、医疗救护和社会治安等管理工作。</w:t>
      </w:r>
    </w:p>
    <w:p>
      <w:pPr>
        <w:numPr>
          <w:ilvl w:val="0"/>
          <w:numId w:val="3"/>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负责监理合同中规定的由甲方承担的其他安全生产责任。</w:t>
      </w:r>
    </w:p>
    <w:p>
      <w:pPr>
        <w:spacing w:line="360" w:lineRule="auto"/>
        <w:rPr>
          <w:rFonts w:hint="eastAsia" w:ascii="宋体" w:hAnsi="宋体"/>
          <w:b/>
          <w:szCs w:val="21"/>
        </w:rPr>
      </w:pPr>
      <w:r>
        <w:rPr>
          <w:rFonts w:hint="eastAsia" w:ascii="宋体" w:hAnsi="宋体"/>
          <w:b/>
          <w:szCs w:val="21"/>
        </w:rPr>
        <w:t>第二条  乙方的安全职责、权利和义务</w:t>
      </w:r>
    </w:p>
    <w:p>
      <w:pPr>
        <w:spacing w:line="360" w:lineRule="auto"/>
        <w:ind w:firstLine="315" w:firstLineChars="150"/>
        <w:jc w:val="left"/>
        <w:rPr>
          <w:rFonts w:hint="eastAsia" w:ascii="宋体" w:hAnsi="宋体"/>
          <w:kern w:val="0"/>
          <w:szCs w:val="21"/>
        </w:rPr>
      </w:pPr>
      <w:r>
        <w:rPr>
          <w:rFonts w:hint="eastAsia" w:ascii="宋体" w:hAnsi="宋体"/>
          <w:kern w:val="0"/>
          <w:szCs w:val="21"/>
        </w:rPr>
        <w:t>应包括但不限于以下内容：</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在履行监理合同过程中，乙方应严格遵守国家有关安全生产的法律法规，必须执行工程建设强制性标准，按合同规定履行其安全生产的监理职责。乙方的主要负责人依法对其监理的工程项目的安全生产承担监理责任。</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乙方必须在现场配备具备相应资格的监理工程师。</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乙方要按照调峰调频发电公司的承包商管理相关规定对承包商的分包进行审批，对经审批进场的分包单位的人员资质和安全教育培训工作进行监督检查。</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乙方应检查监督承包商安全、文明措施费的使用，确保该费用能够用于施工安全防护用具和设施的采购和更新、安全施工措施的落实，安全施工条件的改善，未挪作他用。</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乙方应当关注承包商的安全管理，督促承包商贯彻国家有关安全生产的法律法规，建立、健全安全管理机构，落实安全生产责任制，建立安全生产规章制度，制定安全操作规程。</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乙方必须严格执行工程建设强制性标准。在审查承包商提交的施工组织设计、施工作业指导书、专项施工方案、高危作业施工方案等时，必须对作业风险评估和安全防范措施进行详细审查。</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乙方应加强对施工现场的巡视、检查。当发现承包商的施工人员正在从事未经批准的施工作业，应当立即制止；发现施工现场存在安全隐患的，应及时通知承包商进行整改；情况严重的，应当要求承包商暂停施工；承包商拒不整改或不停止施工的，应及时向甲方报告。</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乙方应对承包商在采购、运输、贮存、使用民用爆破材料、危险物品进行不定期的监督和检查，督促承包商遵守有关法律、法规和有关规定。</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乙方对承包商进场的施工设备进行检查和审批，并督促承包商健全设备管理机构和落实设备管理人员的配置，检查承包商施工设备的安全管理工作。</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乙方应督促承包商开展施工区域内的交通安全管理工作，并对承包商驾驶人员道路交通安全教育和施工现场各类车辆运行、维护管理进行检查。</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乙方在进行施工区域检查时，要关注现场文明施工。督促承包商搭建的临时建筑物符合安全要求，危险部位应设置符合标准的安全警示标志和安全警戒，施工通道采取妥善的安全防范措施，施工现场材料和设备堆放有序，风、水、电管线排列整齐，现场照明充足，通风良好，施工道路平整，工作场地整洁，地面排水通畅无积水，为安全生产创造必要的条件。</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乙方应负责对承包商管辖范围内的消防、防风防汛和应急管理工作进行定期或不定期的安全检查，督促承包商健全应急组织机构，准备应急物资和设备。</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由于乙方违章指挥或过失行为导致事故事件的，由乙方承担全部责任。</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乙方人员发生因工伤亡事故事件，应当按照国家、地方及甲方有关安全生产、电力安全事故事件报告处理的规定及时、如实报告（包括未遂事故）。</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施工现场发生安全事故事件后，乙方应协助开展事故调查和事故原因分析。</w:t>
      </w:r>
    </w:p>
    <w:p>
      <w:pPr>
        <w:numPr>
          <w:ilvl w:val="0"/>
          <w:numId w:val="4"/>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在合同实施期间，乙方应为其雇用的从事危险性较大工作的人员投保人身意外伤害险。</w:t>
      </w:r>
    </w:p>
    <w:p>
      <w:pPr>
        <w:spacing w:line="360" w:lineRule="auto"/>
        <w:rPr>
          <w:rFonts w:hint="eastAsia" w:ascii="宋体" w:hAnsi="宋体"/>
          <w:b/>
          <w:szCs w:val="21"/>
        </w:rPr>
      </w:pPr>
      <w:r>
        <w:rPr>
          <w:rFonts w:hint="eastAsia" w:ascii="宋体" w:hAnsi="宋体"/>
          <w:b/>
          <w:szCs w:val="21"/>
        </w:rPr>
        <w:t>第三条  违约责任</w:t>
      </w:r>
    </w:p>
    <w:p>
      <w:pPr>
        <w:spacing w:line="360" w:lineRule="auto"/>
        <w:ind w:firstLine="315" w:firstLineChars="150"/>
        <w:jc w:val="left"/>
        <w:rPr>
          <w:rFonts w:hint="eastAsia" w:ascii="宋体" w:hAnsi="宋体"/>
          <w:kern w:val="0"/>
          <w:szCs w:val="21"/>
        </w:rPr>
      </w:pPr>
      <w:r>
        <w:rPr>
          <w:rFonts w:hint="eastAsia" w:ascii="宋体" w:hAnsi="宋体"/>
          <w:kern w:val="0"/>
          <w:szCs w:val="21"/>
        </w:rPr>
        <w:t>应包括但不限于以下内容：</w:t>
      </w:r>
    </w:p>
    <w:p>
      <w:pPr>
        <w:numPr>
          <w:ilvl w:val="0"/>
          <w:numId w:val="5"/>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甲方未尽到本方安全责任，造成的损失由甲方承担。</w:t>
      </w:r>
    </w:p>
    <w:p>
      <w:pPr>
        <w:numPr>
          <w:ilvl w:val="0"/>
          <w:numId w:val="5"/>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在协议有效期内，甲方发现乙方违反本协议的有关内容，将按照南方电网公司、调峰调频发电公司和甲方相关的规章制度给予扣罚。</w:t>
      </w:r>
    </w:p>
    <w:p>
      <w:pPr>
        <w:numPr>
          <w:ilvl w:val="0"/>
          <w:numId w:val="5"/>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触犯国家、行业有关安全生产和环境保护的法律、法规、规程的，由责任方承担相应法律责任。</w:t>
      </w:r>
    </w:p>
    <w:p>
      <w:pPr>
        <w:numPr>
          <w:ilvl w:val="0"/>
          <w:numId w:val="5"/>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由于甲方或乙方责任造成对方或第三方的人身伤害、设备损坏或财产损失等，由责任方承担相应责任，并赔偿对方或第三方因此造成的全部损失。</w:t>
      </w:r>
    </w:p>
    <w:p>
      <w:pPr>
        <w:numPr>
          <w:ilvl w:val="0"/>
          <w:numId w:val="5"/>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乙方未尽到其应尽的安全责任，甲方有权要求乙方立即整改，由此引起的后果及损失由乙方承担。</w:t>
      </w:r>
    </w:p>
    <w:p>
      <w:pPr>
        <w:spacing w:line="360" w:lineRule="auto"/>
        <w:rPr>
          <w:rFonts w:hint="eastAsia" w:ascii="宋体" w:hAnsi="宋体"/>
          <w:b/>
          <w:szCs w:val="21"/>
        </w:rPr>
      </w:pPr>
      <w:r>
        <w:rPr>
          <w:rFonts w:hint="eastAsia" w:ascii="宋体" w:hAnsi="宋体"/>
          <w:b/>
          <w:szCs w:val="21"/>
        </w:rPr>
        <w:t>第四条  附则</w:t>
      </w:r>
    </w:p>
    <w:p>
      <w:pPr>
        <w:numPr>
          <w:ilvl w:val="0"/>
          <w:numId w:val="6"/>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本协议作为承包合同的有效组成部分，与承包合同同时生效和终止。</w:t>
      </w:r>
    </w:p>
    <w:p>
      <w:pPr>
        <w:numPr>
          <w:ilvl w:val="0"/>
          <w:numId w:val="6"/>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本协议如有争议，争议解决办法与合同争议解决办法相同。</w:t>
      </w:r>
    </w:p>
    <w:p>
      <w:pPr>
        <w:numPr>
          <w:ilvl w:val="0"/>
          <w:numId w:val="6"/>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本协议未尽事宜，双方协商解决。</w:t>
      </w:r>
    </w:p>
    <w:p>
      <w:pPr>
        <w:numPr>
          <w:ilvl w:val="0"/>
          <w:numId w:val="6"/>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如有与国家和地方有关规定相悖的，按国家和地方有关规定执行。</w:t>
      </w:r>
    </w:p>
    <w:p>
      <w:pPr>
        <w:numPr>
          <w:ilvl w:val="0"/>
          <w:numId w:val="6"/>
        </w:numPr>
        <w:tabs>
          <w:tab w:val="left" w:pos="720"/>
          <w:tab w:val="clear" w:pos="798"/>
        </w:tabs>
        <w:spacing w:line="360" w:lineRule="auto"/>
        <w:ind w:left="0" w:firstLine="360"/>
        <w:rPr>
          <w:rStyle w:val="6"/>
          <w:rFonts w:hint="eastAsia" w:ascii="宋体" w:hAnsi="宋体"/>
          <w:color w:val="000000"/>
          <w:sz w:val="21"/>
          <w:szCs w:val="21"/>
        </w:rPr>
      </w:pPr>
      <w:r>
        <w:rPr>
          <w:rStyle w:val="6"/>
          <w:rFonts w:hint="eastAsia" w:ascii="宋体" w:hAnsi="宋体"/>
          <w:color w:val="000000"/>
          <w:sz w:val="21"/>
          <w:szCs w:val="21"/>
        </w:rPr>
        <w:t>本协议壹式两份，甲方</w:t>
      </w:r>
      <w:r>
        <w:rPr>
          <w:rStyle w:val="6"/>
          <w:rFonts w:hint="eastAsia" w:ascii="宋体" w:hAnsi="宋体"/>
          <w:color w:val="000000"/>
          <w:sz w:val="21"/>
          <w:szCs w:val="21"/>
          <w:lang w:eastAsia="zh-CN"/>
        </w:rPr>
        <w:t>生技部</w:t>
      </w:r>
      <w:r>
        <w:rPr>
          <w:rStyle w:val="6"/>
          <w:rFonts w:hint="eastAsia" w:ascii="宋体" w:hAnsi="宋体"/>
          <w:color w:val="000000"/>
          <w:sz w:val="21"/>
          <w:szCs w:val="21"/>
        </w:rPr>
        <w:t>、乙方各执壹份，自签字盖章后生效。</w:t>
      </w:r>
    </w:p>
    <w:p>
      <w:pPr>
        <w:tabs>
          <w:tab w:val="left" w:pos="4395"/>
        </w:tabs>
        <w:spacing w:before="100" w:beforeAutospacing="1" w:after="100" w:afterAutospacing="1" w:line="1200" w:lineRule="exact"/>
        <w:ind w:firstLine="991" w:firstLineChars="470"/>
        <w:jc w:val="left"/>
        <w:rPr>
          <w:rStyle w:val="6"/>
          <w:rFonts w:ascii="宋体" w:hAnsi="宋体"/>
          <w:b/>
          <w:color w:val="000000"/>
          <w:sz w:val="21"/>
          <w:szCs w:val="21"/>
        </w:rPr>
      </w:pPr>
      <w:r>
        <w:rPr>
          <w:rStyle w:val="6"/>
          <w:rFonts w:hint="eastAsia" w:ascii="宋体" w:hAnsi="宋体"/>
          <w:b/>
          <w:color w:val="000000"/>
          <w:sz w:val="21"/>
          <w:szCs w:val="21"/>
        </w:rPr>
        <w:t>甲方（盖章）                                乙方（盖章）</w:t>
      </w:r>
    </w:p>
    <w:p>
      <w:pPr>
        <w:spacing w:line="700" w:lineRule="exact"/>
        <w:ind w:firstLine="991" w:firstLineChars="470"/>
        <w:jc w:val="left"/>
        <w:rPr>
          <w:rStyle w:val="6"/>
          <w:rFonts w:ascii="宋体" w:hAnsi="宋体"/>
          <w:b/>
          <w:color w:val="000000"/>
          <w:sz w:val="21"/>
          <w:szCs w:val="21"/>
        </w:rPr>
      </w:pPr>
      <w:r>
        <w:rPr>
          <w:rStyle w:val="6"/>
          <w:rFonts w:hint="eastAsia" w:ascii="宋体" w:hAnsi="宋体"/>
          <w:b/>
          <w:color w:val="000000"/>
          <w:sz w:val="21"/>
          <w:szCs w:val="21"/>
        </w:rPr>
        <w:t xml:space="preserve">                                  </w:t>
      </w:r>
    </w:p>
    <w:p>
      <w:pPr>
        <w:spacing w:before="100" w:beforeAutospacing="1" w:line="360" w:lineRule="auto"/>
        <w:ind w:firstLine="991" w:firstLineChars="470"/>
        <w:jc w:val="left"/>
        <w:rPr>
          <w:rStyle w:val="6"/>
          <w:rFonts w:hint="eastAsia" w:ascii="宋体" w:hAnsi="宋体"/>
          <w:b/>
          <w:color w:val="000000"/>
          <w:sz w:val="21"/>
          <w:szCs w:val="21"/>
        </w:rPr>
      </w:pPr>
      <w:r>
        <w:rPr>
          <w:rStyle w:val="6"/>
          <w:rFonts w:hint="eastAsia" w:ascii="宋体" w:hAnsi="宋体"/>
          <w:b/>
          <w:color w:val="000000"/>
          <w:sz w:val="21"/>
          <w:szCs w:val="21"/>
        </w:rPr>
        <w:t>法定代表人                                   法人代表</w:t>
      </w:r>
    </w:p>
    <w:p>
      <w:pPr>
        <w:ind w:firstLine="620" w:firstLineChars="294"/>
        <w:jc w:val="left"/>
        <w:rPr>
          <w:rStyle w:val="6"/>
          <w:rFonts w:ascii="宋体" w:hAnsi="宋体"/>
          <w:b/>
          <w:color w:val="000000"/>
          <w:sz w:val="21"/>
          <w:szCs w:val="21"/>
        </w:rPr>
      </w:pPr>
      <w:r>
        <w:rPr>
          <w:rStyle w:val="6"/>
          <w:rFonts w:hint="eastAsia" w:ascii="宋体" w:hAnsi="宋体"/>
          <w:b/>
          <w:color w:val="000000"/>
          <w:sz w:val="21"/>
          <w:szCs w:val="21"/>
        </w:rPr>
        <w:t xml:space="preserve">（或委托代理人）：                             （或委托代理人）：  </w:t>
      </w:r>
    </w:p>
    <w:p>
      <w:pPr>
        <w:widowControl/>
        <w:snapToGrid w:val="0"/>
        <w:spacing w:line="800" w:lineRule="exact"/>
        <w:ind w:firstLine="310" w:firstLineChars="147"/>
        <w:jc w:val="left"/>
        <w:rPr>
          <w:rStyle w:val="6"/>
          <w:rFonts w:hint="eastAsia" w:ascii="宋体" w:hAnsi="宋体"/>
          <w:b/>
          <w:color w:val="000000"/>
          <w:sz w:val="21"/>
          <w:szCs w:val="21"/>
        </w:rPr>
      </w:pPr>
      <w:r>
        <w:rPr>
          <w:rStyle w:val="6"/>
          <w:rFonts w:hint="eastAsia" w:ascii="宋体" w:hAnsi="宋体"/>
          <w:b/>
          <w:color w:val="000000"/>
          <w:sz w:val="21"/>
          <w:szCs w:val="21"/>
        </w:rPr>
        <w:t>日期：　    年 　 月　  日                    日期：　　 年　  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CB0EFF"/>
    <w:multiLevelType w:val="multilevel"/>
    <w:tmpl w:val="29CB0EFF"/>
    <w:lvl w:ilvl="0" w:tentative="0">
      <w:start w:val="1"/>
      <w:numFmt w:val="decimal"/>
      <w:lvlText w:val="%1."/>
      <w:lvlJc w:val="left"/>
      <w:pPr>
        <w:tabs>
          <w:tab w:val="left" w:pos="798"/>
        </w:tabs>
        <w:ind w:left="798"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C4B5453"/>
    <w:multiLevelType w:val="multilevel"/>
    <w:tmpl w:val="3C4B5453"/>
    <w:lvl w:ilvl="0" w:tentative="0">
      <w:start w:val="1"/>
      <w:numFmt w:val="decimal"/>
      <w:lvlText w:val="%1."/>
      <w:lvlJc w:val="left"/>
      <w:pPr>
        <w:tabs>
          <w:tab w:val="left" w:pos="798"/>
        </w:tabs>
        <w:ind w:left="798"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0CB5F01"/>
    <w:multiLevelType w:val="multilevel"/>
    <w:tmpl w:val="40CB5F01"/>
    <w:lvl w:ilvl="0" w:tentative="0">
      <w:start w:val="1"/>
      <w:numFmt w:val="decimal"/>
      <w:lvlText w:val="%1."/>
      <w:lvlJc w:val="left"/>
      <w:pPr>
        <w:tabs>
          <w:tab w:val="left" w:pos="798"/>
        </w:tabs>
        <w:ind w:left="798"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CEA2025"/>
    <w:multiLevelType w:val="multilevel"/>
    <w:tmpl w:val="6CEA2025"/>
    <w:lvl w:ilvl="0" w:tentative="0">
      <w:start w:val="1"/>
      <w:numFmt w:val="none"/>
      <w:pStyle w:val="5"/>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6F487188"/>
    <w:multiLevelType w:val="multilevel"/>
    <w:tmpl w:val="6F487188"/>
    <w:lvl w:ilvl="0" w:tentative="0">
      <w:start w:val="1"/>
      <w:numFmt w:val="decimal"/>
      <w:lvlText w:val="%1."/>
      <w:lvlJc w:val="left"/>
      <w:pPr>
        <w:tabs>
          <w:tab w:val="left" w:pos="798"/>
        </w:tabs>
        <w:ind w:left="798" w:hanging="420"/>
      </w:pPr>
      <w:rPr>
        <w:rFonts w:hint="eastAsia"/>
      </w:rPr>
    </w:lvl>
    <w:lvl w:ilvl="1" w:tentative="0">
      <w:start w:val="1"/>
      <w:numFmt w:val="chineseCountingThousand"/>
      <w:suff w:val="space"/>
      <w:lvlText w:val="%2、"/>
      <w:lvlJc w:val="left"/>
      <w:pPr>
        <w:ind w:left="840" w:hanging="420"/>
      </w:pPr>
      <w:rPr>
        <w:rFonts w:hint="eastAsia" w:ascii="宋体" w:hAnsi="宋体" w:eastAsia="宋体"/>
      </w:rPr>
    </w:lvl>
    <w:lvl w:ilvl="2" w:tentative="0">
      <w:start w:val="1"/>
      <w:numFmt w:val="decimal"/>
      <w:suff w:val="space"/>
      <w:lvlText w:val="%3."/>
      <w:lvlJc w:val="right"/>
      <w:pPr>
        <w:ind w:left="1260" w:hanging="420"/>
      </w:pPr>
      <w:rPr>
        <w:rFonts w:hint="eastAsia"/>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6933334"/>
    <w:multiLevelType w:val="multilevel"/>
    <w:tmpl w:val="76933334"/>
    <w:lvl w:ilvl="0" w:tentative="0">
      <w:start w:val="1"/>
      <w:numFmt w:val="upperLetter"/>
      <w:pStyle w:val="4"/>
      <w:suff w:val="nothing"/>
      <w:lvlText w:val="附  录  %1 "/>
      <w:lvlJc w:val="left"/>
      <w:pPr>
        <w:ind w:left="420" w:firstLine="0"/>
      </w:pPr>
    </w:lvl>
    <w:lvl w:ilvl="1" w:tentative="0">
      <w:start w:val="1"/>
      <w:numFmt w:val="decimal"/>
      <w:suff w:val="nothing"/>
      <w:lvlText w:val="%1%2　"/>
      <w:lvlJc w:val="left"/>
      <w:pPr>
        <w:ind w:left="420" w:firstLine="0"/>
      </w:pPr>
      <w:rPr>
        <w:rFonts w:hint="eastAsia" w:ascii="黑体" w:hAnsi="Times New Roman" w:eastAsia="黑体"/>
        <w:b w:val="0"/>
        <w:i w:val="0"/>
        <w:sz w:val="21"/>
      </w:rPr>
    </w:lvl>
    <w:lvl w:ilvl="2" w:tentative="0">
      <w:start w:val="1"/>
      <w:numFmt w:val="decimal"/>
      <w:suff w:val="nothing"/>
      <w:lvlText w:val="%1%2.%3　"/>
      <w:lvlJc w:val="left"/>
      <w:pPr>
        <w:ind w:left="420" w:firstLine="0"/>
      </w:pPr>
      <w:rPr>
        <w:rFonts w:hint="eastAsia" w:ascii="黑体" w:hAnsi="Times New Roman" w:eastAsia="黑体"/>
        <w:b w:val="0"/>
        <w:i w:val="0"/>
        <w:sz w:val="21"/>
      </w:rPr>
    </w:lvl>
    <w:lvl w:ilvl="3" w:tentative="0">
      <w:start w:val="1"/>
      <w:numFmt w:val="decimal"/>
      <w:suff w:val="nothing"/>
      <w:lvlText w:val="%1%2.%3.%4　"/>
      <w:lvlJc w:val="left"/>
      <w:pPr>
        <w:ind w:left="420" w:firstLine="0"/>
      </w:pPr>
      <w:rPr>
        <w:rFonts w:hint="eastAsia" w:ascii="黑体" w:hAnsi="Times New Roman" w:eastAsia="黑体"/>
        <w:b w:val="0"/>
        <w:i w:val="0"/>
        <w:sz w:val="21"/>
      </w:rPr>
    </w:lvl>
    <w:lvl w:ilvl="4" w:tentative="0">
      <w:start w:val="1"/>
      <w:numFmt w:val="decimal"/>
      <w:suff w:val="nothing"/>
      <w:lvlText w:val="%1%2.%3.%4.%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420" w:firstLine="0"/>
      </w:pPr>
      <w:rPr>
        <w:rFonts w:hint="eastAsia" w:ascii="黑体" w:hAnsi="Times New Roman" w:eastAsia="黑体"/>
        <w:b w:val="0"/>
        <w:i w:val="0"/>
        <w:sz w:val="21"/>
      </w:rPr>
    </w:lvl>
    <w:lvl w:ilvl="6" w:tentative="0">
      <w:start w:val="1"/>
      <w:numFmt w:val="decimal"/>
      <w:suff w:val="nothing"/>
      <w:lvlText w:val="%1%2.%3.%4.%5.%6.%7　"/>
      <w:lvlJc w:val="left"/>
      <w:pPr>
        <w:ind w:left="420" w:firstLine="0"/>
      </w:pPr>
      <w:rPr>
        <w:rFonts w:hint="eastAsia" w:ascii="黑体" w:hAnsi="Times New Roman" w:eastAsia="黑体"/>
        <w:b w:val="0"/>
        <w:i w:val="0"/>
        <w:sz w:val="21"/>
      </w:rPr>
    </w:lvl>
    <w:lvl w:ilvl="7" w:tentative="0">
      <w:start w:val="1"/>
      <w:numFmt w:val="decimal"/>
      <w:lvlText w:val="%1.%2.%3.%4.%5.%6.%7.%8"/>
      <w:lvlJc w:val="left"/>
      <w:pPr>
        <w:tabs>
          <w:tab w:val="left" w:pos="4771"/>
        </w:tabs>
        <w:ind w:left="4389" w:hanging="1418"/>
      </w:pPr>
      <w:rPr>
        <w:rFonts w:hint="eastAsia"/>
      </w:rPr>
    </w:lvl>
    <w:lvl w:ilvl="8" w:tentative="0">
      <w:start w:val="1"/>
      <w:numFmt w:val="decimal"/>
      <w:lvlText w:val="%1.%2.%3.%4.%5.%6.%7.%8.%9"/>
      <w:lvlJc w:val="left"/>
      <w:pPr>
        <w:tabs>
          <w:tab w:val="left" w:pos="5197"/>
        </w:tabs>
        <w:ind w:left="5097" w:hanging="1700"/>
      </w:pPr>
      <w:rPr>
        <w:rFonts w:hint="eastAsia"/>
      </w:rPr>
    </w:lvl>
  </w:abstractNum>
  <w:num w:numId="1">
    <w:abstractNumId w:val="5"/>
  </w:num>
  <w:num w:numId="2">
    <w:abstractNumId w:val="3"/>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613737"/>
    <w:rsid w:val="05613737"/>
    <w:rsid w:val="452923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附录标识"/>
    <w:basedOn w:val="5"/>
    <w:qFormat/>
    <w:uiPriority w:val="0"/>
    <w:pPr>
      <w:numPr>
        <w:ilvl w:val="0"/>
        <w:numId w:val="1"/>
      </w:numPr>
      <w:tabs>
        <w:tab w:val="left" w:pos="6405"/>
      </w:tabs>
      <w:spacing w:after="200"/>
    </w:pPr>
    <w:rPr>
      <w:sz w:val="21"/>
    </w:rPr>
  </w:style>
  <w:style w:type="paragraph" w:customStyle="1" w:styleId="5">
    <w:name w:val="前言、引言标题"/>
    <w:next w:val="1"/>
    <w:uiPriority w:val="0"/>
    <w:pPr>
      <w:numPr>
        <w:ilvl w:val="0"/>
        <w:numId w:val="2"/>
      </w:numPr>
      <w:shd w:val="clear" w:color="FFFFFF" w:fill="FFFFFF"/>
      <w:spacing w:before="640" w:after="560"/>
      <w:jc w:val="center"/>
      <w:outlineLvl w:val="0"/>
    </w:pPr>
    <w:rPr>
      <w:rFonts w:ascii="黑体" w:hAnsi="Times New Roman" w:eastAsia="黑体" w:cs="Times New Roman"/>
      <w:sz w:val="32"/>
      <w:lang w:bidi="ar-SA"/>
    </w:rPr>
  </w:style>
  <w:style w:type="character" w:customStyle="1" w:styleId="6">
    <w:name w:val="content1"/>
    <w:basedOn w:val="3"/>
    <w:uiPriority w:val="0"/>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2022-04-13T13:18:00Z</dcterms:created>
  <dc:creator>admin</dc:creator>
  <cp:lastModifiedBy>何嘉薇</cp:lastModifiedBy>
  <dcterms:modified xsi:type="dcterms:W3CDTF">2026-03-12T07:48:01Z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6525412C3B6C4FC292924F619E2F4894</vt:lpwstr>
  </property>
</Properties>
</file>