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货物采购需求说明</w:t>
      </w:r>
    </w:p>
    <w:tbl>
      <w:tblPr>
        <w:tblStyle w:val="4"/>
        <w:tblW w:w="86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225"/>
        <w:gridCol w:w="4536"/>
        <w:gridCol w:w="650"/>
        <w:gridCol w:w="710"/>
        <w:gridCol w:w="8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6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商品名称</w:t>
            </w:r>
          </w:p>
        </w:tc>
        <w:tc>
          <w:tcPr>
            <w:tcW w:w="4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规格型号</w:t>
            </w:r>
          </w:p>
        </w:tc>
        <w:tc>
          <w:tcPr>
            <w:tcW w:w="6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8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6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筒型摄像机</w:t>
            </w:r>
          </w:p>
        </w:tc>
        <w:tc>
          <w:tcPr>
            <w:tcW w:w="4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1、最大分辨率不低于2688x1520@25fps。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2、最低照度彩色0.005lx。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3、内置GPU芯片，麦克风，扬声器。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4、支持配合后端存储设备通过文字描述搜索目标视频和图片，实现事件录像的智能后检索、分析和浓缩播放。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5、支持智能报警防干扰功能，智能分析行为类型为区域入侵、越界、进入区域、离开区域时，报警检测目标设置为人体或车辆时，光线明暗变化，篮球滚动，狗行走，树摇晃，不触发报警。当报警产生时，可触发联动声音报警。报警声音类型不低于 12 种，报警音量和重复次数可设置。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6、可对出现在监控场景内的两眼瞳距不小于19像素的人脸进行检验，并叠加目标提示框。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7、可同时对经过设定检测区域内的不低于10 个行人进行人脸检测、跟踪、评分和抓拍。可筛选和抓拍最佳人脸图片存储及上报中心。抓拍图片数量、大小可设，支持上传全景照。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8、支持DC12V或POE供电。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9、IP66防护等级。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10、含壁装支架。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lang w:val="en-US" w:eastAsia="zh-CN"/>
              </w:rPr>
              <w:t>11、提供原厂针对本项目的售后服务承诺函。</w:t>
            </w:r>
          </w:p>
        </w:tc>
        <w:tc>
          <w:tcPr>
            <w:tcW w:w="6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带支架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6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32路5盘位存储设备</w:t>
            </w:r>
          </w:p>
        </w:tc>
        <w:tc>
          <w:tcPr>
            <w:tcW w:w="4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1、具有2个HDMI接口、1个VGA接口、2个RJ45网络接口、2个USB2.0接口、1个USB3.0接口、1个RS232接口、1个eSata接口、1路音频输入接口、1路音频输出接口；16路报警输入接口、9路报警输出接口、具有2路直流DC 12V输出接口（其中1路为Ctrl报警输出口）；可内置5个SATA接口硬盘。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2、可接入1T、2T、3T、4T、6T、8T、10T、12TB、14TB、16TB、18TB容量的SATA接口硬盘。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3、可接入32路分辨率为1920×1080的视频图像；支持最大接入带宽 256Mbps，最大存储带宽 256Mbps，最大转发带宽160Mbps，最大回放带宽160Mbps，开启视频流智能分析后NVR网络带宽不应降低。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4、可同时显示输出12路H.265编码、30fps、1920×1080格式的视频图像，或同时输出3路 H.265编码、25fps、4096×2160或者3840×2160格式的视频图像，或同时解码2路 H.265编码、20fps、4000×3000格式的视频图像。输出1路H.265编码、25fps、8160×3072格式的视频图像；开启视频流智能分析，NVR解码性能不会降低。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5、支持15个人脸库，库容5万张人脸图片。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6、支持2路视频流人脸识别，支持8路图片流人脸识别。支持10张/秒人脸比对报警，比对结果显示包括人脸比对成功、人脸比对失败和陌生人报警。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7、人脸库建模成功率不低于99.99%。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8、采用单人戴口罩正脸依次循环通行进行试验，试验人员数量不小于5人，通过速度不小于1m/s，人员通过间隔时间不大于1s，戴口罩人脸检出率不低于99%。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9、人脸正对相机、人脸无遮挡等干扰情况，人脸识别准确率≥99%。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10、支持周界报警过滤功能，对IPC上报的越界侦测报警和区域入侵报警进行去误报，可去除由树叶、灯光、车辆、阴影以及小动物引起的误报；最大支持32路。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支持接入高级移动侦测的相机，移动侦测报警能够区分是人、车还是其它目标产生，可录像和记录报警信息。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、接入带有温度报警、烟雾报警、障碍物遮挡报警、移动报警、防拆报警、紧急报警的智慧消防相机，当触发报警时，样机可联动录像、抓拍并保存图片、弹出报警画面、声音警告、上传中心、发送邮件、触发报警输出，并按通道、时间、类型检索报警图片，录像搜索结果支持图片和列表两种展现形式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、最大可接入32路支持高空抛物行为检测的IPC，可联动录像、抓图、蜂鸣报警、预置点、邮件、本地报警输出、IPC报警输出以及日志记录；支持按通道、日期对高空抛物行为进行录像检索，以及关联录像回放，并导出图片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、接入带有人体测温功能的IPC，支持在预览界面以卡片形式实时展示体温信息，体温正常为绿色，体温异常为红色，支持根据体温状态联动语音输出，语音支持“体温正常”、“体温异常”。支持按体温状态、温度范围检索人脸图片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14、接入警戒摄像机，支持对IPC的声音和闪光参数进行配置，支持通过移动侦测、区域入侵、越界侦测、进入区域和离开区域事件联动一个或多个IPC的声光报警，可以对声光联动一键撤防。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15、企业技术要求：支持导入不同的语音文件，支持播报语音文件；支持人脸、周界、车辆检测、视频结构化的报警触发时联动语音播报。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16、具有存储安全保障功能，当存储压力过高或硬盘出现性能不足时，可优先录像业务存储。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支持从其他设备导入录像文件，并对录像文件进行人脸检测和识别，显示识别结果。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17、支持活动目标与实时预览同屏显示。实时预览的同时可以提取视频画面中的活动目标，可显示人脸、人体、车辆等目标图片，点击图片可即时回放相关录像；配合车辆抓拍摄像机，可显示车辆抓拍图、抓拍时间、车牌号码、车辆品牌、车型、车辆颜色、车牌颜色信息；配合人脸抓拍摄像机，可显示人脸抓拍图、抓拍时间信息；可显示人体抓拍图、性别、上衣颜色、下装颜色、是否戴眼镜、是否背包信息、是否拎东西、是否戴帽子、是否戴口罩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18、支持过车记录导出表格功能，表格包含通道、时间、车牌号、车型、车牌颜色、车身颜色、车辆品牌、车辆抓拍图片信息。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19、支持以IPv6方式接入IPC进行预览、参数配置、报警接收和展现、语音对讲、IPC列表导入、IP地址冲突检测等功能。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20、提供原厂针对本项目的售后服务承诺函。</w:t>
            </w:r>
          </w:p>
        </w:tc>
        <w:tc>
          <w:tcPr>
            <w:tcW w:w="6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8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8口交换机</w:t>
            </w:r>
          </w:p>
        </w:tc>
        <w:tc>
          <w:tcPr>
            <w:tcW w:w="4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1、可上1U机架，实配固化千兆电接口数≥8个，千兆SFP光口≥2个，最大可用端口≥10个。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2、内存256MB，交换容量≥336Gbps，包转发率≥56Mpps。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3、交换缓存≥4.1Mbit。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4、推荐整机待机终端80个或带200W像素IPC50个。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5、支持生成树 STP / RSTP ; 提高容错能力，保证网络的稳定运行和链路的负载均衡，合理使用网络通道，提供冗余链路利用率。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6、支持防环路检测，自动解决环路问题。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7、支持静态链路聚合。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8、支持端口镜像，多对一镜像。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9、支持DHCP Snooping；很好的避免了上网终端从非法DHCP服务器分配的IP地址，引起的网络异常或安全隐患。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10、支持VLAN划分，最大支持4094个VLAN。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11、支持高效节能以太网（EEE），端口如果在连续一段时间之内空闲，系统会将该端口设置为节能模式，当有报文收发时再通过定时发送的监听码流唤醒端口恢复业务，达到节能的效果。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12、支持防雷等级≥6kV。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13、工作温度范围0ºC ~ 50ºC。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14、支持QoS(支持端口输出和输入流量限速)。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15、支持Web管理、APP和云管理。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16、支持标准的ACL、支持基于IP/MAC扩展的ACL。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17、支持CPU安全保护策略(硬件CPP)。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18、支持交换机0配置上线,支持自组网。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19、提供国家自愿性认证CQC认证书复印件。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20、提供电信设备进网许可证证书复印件。</w:t>
            </w:r>
          </w:p>
        </w:tc>
        <w:tc>
          <w:tcPr>
            <w:tcW w:w="6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8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光缆</w:t>
            </w:r>
          </w:p>
        </w:tc>
        <w:tc>
          <w:tcPr>
            <w:tcW w:w="4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GYXTW-4B1.3,4芯凯装光缆。</w:t>
            </w:r>
          </w:p>
        </w:tc>
        <w:tc>
          <w:tcPr>
            <w:tcW w:w="6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米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2000</w:t>
            </w:r>
          </w:p>
        </w:tc>
        <w:tc>
          <w:tcPr>
            <w:tcW w:w="8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5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电源适配器（枪机）</w:t>
            </w:r>
          </w:p>
        </w:tc>
        <w:tc>
          <w:tcPr>
            <w:tcW w:w="4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XED-SN2013S-3C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12V,2A</w:t>
            </w:r>
          </w:p>
        </w:tc>
        <w:tc>
          <w:tcPr>
            <w:tcW w:w="6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8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枪机摄像头电源适配器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6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电源适配器（球机）</w:t>
            </w:r>
          </w:p>
        </w:tc>
        <w:tc>
          <w:tcPr>
            <w:tcW w:w="45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XED-3024S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DC24V,3A</w:t>
            </w:r>
          </w:p>
        </w:tc>
        <w:tc>
          <w:tcPr>
            <w:tcW w:w="6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7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8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57" w:beforeLines="50" w:after="157" w:afterLines="50" w:line="24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球机电源适配器</w:t>
            </w:r>
          </w:p>
        </w:tc>
      </w:tr>
    </w:tbl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textAlignment w:val="auto"/>
        <w:rPr>
          <w:rFonts w:hint="eastAsia" w:ascii="宋体" w:hAnsi="宋体" w:eastAsia="宋体" w:cs="宋体"/>
          <w:strike/>
          <w:dstrike w:val="0"/>
          <w:color w:val="auto"/>
          <w:sz w:val="24"/>
          <w:szCs w:val="24"/>
          <w:highlight w:val="yellow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供货时间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采购订货单下达后15天内完成供货安装及调试。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right="0"/>
        <w:jc w:val="left"/>
        <w:textAlignment w:val="auto"/>
        <w:rPr>
          <w:rFonts w:hint="eastAsia" w:ascii="宋体" w:hAnsi="宋体" w:eastAsia="宋体" w:cs="宋体"/>
          <w:color w:val="auto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供货要求：</w:t>
      </w:r>
      <w:r>
        <w:rPr>
          <w:rFonts w:hint="eastAsia" w:ascii="宋体" w:hAnsi="宋体" w:eastAsia="宋体" w:cs="宋体"/>
          <w:color w:val="auto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pacing w:val="0"/>
          <w:position w:val="0"/>
          <w:sz w:val="24"/>
          <w:szCs w:val="24"/>
          <w:u w:val="none"/>
          <w:shd w:val="clear" w:fill="auto"/>
        </w:rPr>
        <w:t>提供的货物</w:t>
      </w:r>
      <w:r>
        <w:rPr>
          <w:rFonts w:hint="eastAsia" w:ascii="宋体" w:hAnsi="宋体" w:eastAsia="宋体" w:cs="宋体"/>
          <w:color w:val="auto"/>
          <w:spacing w:val="0"/>
          <w:position w:val="0"/>
          <w:sz w:val="24"/>
          <w:szCs w:val="24"/>
          <w:u w:val="none"/>
          <w:shd w:val="clear" w:fill="auto"/>
          <w:lang w:eastAsia="zh-CN"/>
        </w:rPr>
        <w:t>需</w:t>
      </w:r>
      <w:r>
        <w:rPr>
          <w:rFonts w:hint="eastAsia" w:ascii="宋体" w:hAnsi="宋体" w:eastAsia="宋体" w:cs="宋体"/>
          <w:color w:val="auto"/>
          <w:spacing w:val="0"/>
          <w:position w:val="0"/>
          <w:sz w:val="24"/>
          <w:szCs w:val="24"/>
          <w:u w:val="none"/>
          <w:shd w:val="clear" w:fill="auto"/>
        </w:rPr>
        <w:t>符合采购文件规定的技术要求</w:t>
      </w:r>
      <w:r>
        <w:rPr>
          <w:rFonts w:hint="eastAsia" w:ascii="宋体" w:hAnsi="宋体" w:eastAsia="宋体" w:cs="宋体"/>
          <w:color w:val="auto"/>
          <w:spacing w:val="0"/>
          <w:position w:val="0"/>
          <w:sz w:val="24"/>
          <w:szCs w:val="24"/>
          <w:u w:val="none"/>
          <w:shd w:val="clear" w:fill="auto"/>
          <w:lang w:eastAsia="zh-CN"/>
        </w:rPr>
        <w:t>，满足国家及行业的相关标准和要求。</w:t>
      </w:r>
      <w:r>
        <w:rPr>
          <w:rFonts w:hint="eastAsia" w:ascii="宋体" w:hAnsi="宋体" w:eastAsia="宋体" w:cs="宋体"/>
          <w:color w:val="auto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2、需供货商协助完成设备调试。</w:t>
      </w:r>
    </w:p>
    <w:p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spacing w:val="0"/>
          <w:position w:val="0"/>
          <w:sz w:val="24"/>
          <w:szCs w:val="24"/>
          <w:u w:val="none"/>
          <w:shd w:val="clear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position w:val="0"/>
          <w:sz w:val="24"/>
          <w:szCs w:val="24"/>
          <w:u w:val="none"/>
          <w:shd w:val="clear" w:fill="auto"/>
          <w:lang w:eastAsia="zh-CN"/>
        </w:rPr>
        <w:t>供货地点：云南省昆明市丽苑路</w:t>
      </w:r>
      <w:r>
        <w:rPr>
          <w:rFonts w:hint="eastAsia" w:ascii="宋体" w:hAnsi="宋体" w:eastAsia="宋体" w:cs="宋体"/>
          <w:b/>
          <w:bCs/>
          <w:color w:val="auto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313号</w:t>
      </w:r>
      <w:r>
        <w:rPr>
          <w:rFonts w:hint="eastAsia" w:ascii="宋体" w:hAnsi="宋体" w:eastAsia="宋体" w:cs="宋体"/>
          <w:b/>
          <w:bCs/>
          <w:color w:val="auto"/>
          <w:spacing w:val="0"/>
          <w:position w:val="0"/>
          <w:sz w:val="24"/>
          <w:szCs w:val="24"/>
          <w:u w:val="none"/>
          <w:shd w:val="clear" w:fill="auto"/>
          <w:lang w:eastAsia="zh-CN"/>
        </w:rPr>
        <w:t>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right="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position w:val="0"/>
          <w:sz w:val="24"/>
          <w:szCs w:val="24"/>
          <w:u w:val="none"/>
          <w:shd w:val="clear" w:fill="auto"/>
          <w:lang w:eastAsia="zh-CN"/>
        </w:rPr>
        <w:t>提供文件要求：</w:t>
      </w:r>
      <w:r>
        <w:rPr>
          <w:rFonts w:hint="eastAsia" w:ascii="宋体" w:hAnsi="宋体" w:eastAsia="宋体" w:cs="宋体"/>
          <w:b w:val="0"/>
          <w:bCs w:val="0"/>
          <w:color w:val="auto"/>
          <w:spacing w:val="0"/>
          <w:position w:val="0"/>
          <w:sz w:val="24"/>
          <w:szCs w:val="24"/>
          <w:u w:val="none"/>
          <w:shd w:val="clear" w:fill="auto"/>
          <w:lang w:eastAsia="zh-CN"/>
        </w:rPr>
        <w:t>报价人提供报价时，费用需包含：运输费、送货费、税费等完成该项工作所需的全部费用，除此之外，采购方不再单独支付其它费用。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报价时提供质量保证及售后服务承诺，其中筒型摄像机及32路5盘位存储设备须提供不低于原厂针对本项目的售后服务承诺函时限，其余设备须提供至少1年质保服务承诺。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right="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支付方式：</w:t>
      </w:r>
      <w:r>
        <w:rPr>
          <w:rFonts w:hint="eastAsia" w:ascii="宋体" w:hAnsi="宋体" w:eastAsia="宋体" w:cs="宋体"/>
          <w:color w:val="auto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报价人按照要求在规定时间内完成货物的供货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安装及调试，</w:t>
      </w:r>
      <w:r>
        <w:rPr>
          <w:rFonts w:hint="eastAsia" w:ascii="宋体" w:hAnsi="宋体" w:eastAsia="宋体" w:cs="宋体"/>
          <w:color w:val="auto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采购方在5个工作日内进行验收，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验收合格后</w:t>
      </w:r>
      <w:r>
        <w:rPr>
          <w:rFonts w:hint="eastAsia" w:ascii="宋体" w:hAnsi="宋体" w:eastAsia="宋体" w:cs="宋体"/>
          <w:color w:val="auto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供货方向采购方开具符合国家税务规定及采购方要求的发票，采购方自收到发票后15个工作日内一次性支付项目价款。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91543"/>
    <w:multiLevelType w:val="multilevel"/>
    <w:tmpl w:val="07F91543"/>
    <w:lvl w:ilvl="0" w:tentative="0">
      <w:start w:val="1"/>
      <w:numFmt w:val="decimal"/>
      <w:pStyle w:val="2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  <w:b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148"/>
        </w:tabs>
        <w:ind w:left="1148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6、"/>
      <w:lvlJc w:val="left"/>
      <w:pPr>
        <w:ind w:left="360" w:hanging="36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216C61"/>
    <w:rsid w:val="6121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before="20" w:after="20"/>
      <w:ind w:firstLineChars="0"/>
      <w:jc w:val="left"/>
      <w:outlineLvl w:val="0"/>
    </w:pPr>
    <w:rPr>
      <w:rFonts w:ascii="宋体" w:hAnsi="宋体"/>
      <w:b/>
      <w:bCs/>
      <w:snapToGrid w:val="0"/>
      <w:kern w:val="44"/>
      <w:sz w:val="28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2026-03-19T08:46:00Z</dcterms:created>
  <dc:creator>杨睿琦</dc:creator>
  <cp:lastModifiedBy>杨睿琦</cp:lastModifiedBy>
  <dcterms:modified xsi:type="dcterms:W3CDTF">2026-03-19T08:47:37Z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52B908B8DAEF4C9A801160A012C034B1</vt:lpwstr>
  </property>
</Properties>
</file>