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2"/>
          <w:szCs w:val="32"/>
        </w:rPr>
      </w:pPr>
      <w:r>
        <w:rPr>
          <w:rFonts w:hint="eastAsia" w:ascii="黑体" w:hAnsi="黑体" w:eastAsia="黑体" w:cs="黑体"/>
          <w:sz w:val="32"/>
          <w:szCs w:val="32"/>
        </w:rPr>
        <w:t>南方电网科学研究院有限责任公司</w:t>
      </w:r>
    </w:p>
    <w:p>
      <w:pPr>
        <w:jc w:val="center"/>
        <w:rPr>
          <w:rFonts w:hint="eastAsia" w:ascii="黑体" w:hAnsi="黑体" w:eastAsia="黑体" w:cs="黑体"/>
          <w:sz w:val="32"/>
          <w:szCs w:val="32"/>
        </w:rPr>
      </w:pPr>
      <w:r>
        <w:rPr>
          <w:rFonts w:hint="eastAsia" w:ascii="黑体" w:hAnsi="黑体" w:eastAsia="黑体" w:cs="黑体"/>
          <w:sz w:val="32"/>
          <w:szCs w:val="32"/>
        </w:rPr>
        <w:t>南网科研院带电作业工器具冲击试验装置及配件购置</w:t>
      </w:r>
    </w:p>
    <w:p>
      <w:pPr>
        <w:jc w:val="center"/>
        <w:rPr>
          <w:rFonts w:hint="eastAsia" w:ascii="黑体" w:hAnsi="黑体" w:eastAsia="黑体" w:cs="黑体"/>
          <w:sz w:val="32"/>
          <w:szCs w:val="32"/>
        </w:rPr>
      </w:pPr>
      <w:r>
        <w:rPr>
          <w:rFonts w:hint="eastAsia" w:ascii="黑体" w:hAnsi="黑体" w:eastAsia="黑体" w:cs="黑体"/>
          <w:sz w:val="32"/>
          <w:szCs w:val="32"/>
        </w:rPr>
        <w:t>零星采购技术附件</w:t>
      </w:r>
    </w:p>
    <w:p>
      <w:pPr>
        <w:rPr>
          <w:rFonts w:ascii="宋体" w:hAnsi="宋体" w:eastAsia="宋体" w:cs="宋体"/>
          <w:sz w:val="24"/>
          <w:szCs w:val="24"/>
        </w:rPr>
      </w:pPr>
    </w:p>
    <w:p>
      <w:pPr>
        <w:pStyle w:val="4"/>
        <w:bidi w:val="0"/>
      </w:pPr>
      <w:r>
        <w:t xml:space="preserve">采购范围及要求 </w:t>
      </w:r>
    </w:p>
    <w:p>
      <w:pPr>
        <w:bidi w:val="0"/>
        <w:ind w:firstLine="480" w:firstLineChars="200"/>
        <w:rPr>
          <w:rFonts w:hint="eastAsia" w:ascii="宋体" w:hAnsi="宋体" w:eastAsia="宋体" w:cs="宋体"/>
          <w:szCs w:val="24"/>
          <w:lang w:val="en-US" w:eastAsia="zh-CN"/>
        </w:rPr>
      </w:pPr>
      <w:r>
        <w:rPr>
          <w:rFonts w:hint="eastAsia"/>
          <w:lang w:val="en-US" w:eastAsia="zh-CN"/>
        </w:rPr>
        <w:t>为完善本单位配网不停电作业工器具机械冲击、材料穿刺试验</w:t>
      </w:r>
      <w:r>
        <w:t>，</w:t>
      </w:r>
      <w:r>
        <w:rPr>
          <w:rFonts w:hint="eastAsia"/>
          <w:lang w:val="en-US" w:eastAsia="zh-CN"/>
        </w:rPr>
        <w:t>现采购</w:t>
      </w:r>
      <w:r>
        <w:t>“</w:t>
      </w:r>
      <w:r>
        <w:rPr>
          <w:rFonts w:hint="eastAsia"/>
        </w:rPr>
        <w:t>带电作业工器具冲击</w:t>
      </w:r>
      <w:r>
        <w:rPr>
          <w:rFonts w:hint="eastAsia"/>
          <w:lang w:val="en-US" w:eastAsia="zh-CN"/>
        </w:rPr>
        <w:t>穿刺</w:t>
      </w:r>
      <w:r>
        <w:rPr>
          <w:rFonts w:hint="eastAsia"/>
        </w:rPr>
        <w:t>试验装置及配件</w:t>
      </w:r>
      <w:r>
        <w:t>”。</w:t>
      </w:r>
      <w:r>
        <w:rPr>
          <w:rFonts w:hint="eastAsia"/>
          <w:lang w:val="en-US" w:eastAsia="zh-CN"/>
        </w:rPr>
        <w:t>采购要求如下：</w:t>
      </w:r>
    </w:p>
    <w:p>
      <w:pPr>
        <w:pStyle w:val="5"/>
        <w:bidi w:val="0"/>
      </w:pPr>
      <w:r>
        <w:rPr>
          <w:rFonts w:hint="eastAsia"/>
        </w:rPr>
        <w:t>绝缘安全帽冲击试验</w:t>
      </w:r>
      <w:r>
        <w:rPr>
          <w:rFonts w:hint="eastAsia"/>
          <w:lang w:val="en-US" w:eastAsia="zh-CN"/>
        </w:rPr>
        <w:t>装置</w:t>
      </w:r>
    </w:p>
    <w:p>
      <w:pPr>
        <w:pStyle w:val="6"/>
        <w:bidi w:val="0"/>
      </w:pPr>
      <w:r>
        <w:rPr>
          <w:rFonts w:hint="eastAsia"/>
          <w:lang w:val="en-US" w:eastAsia="zh-CN"/>
        </w:rPr>
        <w:t>功能</w:t>
      </w:r>
    </w:p>
    <w:p>
      <w:pPr>
        <w:ind w:firstLine="480" w:firstLineChars="200"/>
        <w:rPr>
          <w:rFonts w:hint="eastAsia"/>
          <w:lang w:val="en-US" w:eastAsia="zh-CN"/>
        </w:rPr>
      </w:pPr>
      <w:r>
        <w:rPr>
          <w:rFonts w:hint="eastAsia"/>
          <w:lang w:val="en-US" w:eastAsia="zh-CN"/>
        </w:rPr>
        <w:t>实现带电作业绝缘安全帽的冲击吸收性能测试和耐穿刺性能测试。</w:t>
      </w:r>
    </w:p>
    <w:p>
      <w:pPr>
        <w:pStyle w:val="6"/>
        <w:bidi w:val="0"/>
      </w:pPr>
      <w:r>
        <w:rPr>
          <w:rFonts w:hint="eastAsia"/>
          <w:lang w:val="en-US" w:eastAsia="zh-CN"/>
        </w:rPr>
        <w:t>技术指标</w:t>
      </w:r>
    </w:p>
    <w:p>
      <w:pPr>
        <w:ind w:firstLine="480" w:firstLineChars="200"/>
        <w:rPr>
          <w:rFonts w:hint="default"/>
          <w:lang w:val="en-US" w:eastAsia="zh-CN"/>
        </w:rPr>
      </w:pPr>
      <w:r>
        <w:rPr>
          <w:rFonts w:hint="eastAsia"/>
          <w:lang w:val="en-US" w:eastAsia="zh-CN"/>
        </w:rPr>
        <w:t>结构：测试装置由基座、头模、提升控制装置、测试重物、穿刺锥、传感器、数据处理装置通电显示装置等组成。技术指标满足《</w:t>
      </w:r>
      <w:r>
        <w:rPr>
          <w:rFonts w:hint="eastAsia"/>
          <w:lang w:val="en-US" w:eastAsia="zh-CN"/>
        </w:rPr>
        <w:fldChar w:fldCharType="begin"/>
      </w:r>
      <w:r>
        <w:rPr>
          <w:rFonts w:hint="eastAsia"/>
          <w:lang w:val="en-US" w:eastAsia="zh-CN"/>
        </w:rPr>
        <w:instrText xml:space="preserve"> HYPERLINK "https://www.sogou.com/link?url=hedJjaC291PuqOEKnPbrALMYpTgZaXBCpGdmap8L22PTO13urmeXqg.." \t "https://www.sogou.com/_blank" </w:instrText>
      </w:r>
      <w:r>
        <w:rPr>
          <w:rFonts w:hint="eastAsia"/>
          <w:lang w:val="en-US" w:eastAsia="zh-CN"/>
        </w:rPr>
        <w:fldChar w:fldCharType="separate"/>
      </w:r>
      <w:r>
        <w:rPr>
          <w:rFonts w:hint="eastAsia"/>
          <w:lang w:val="en-US" w:eastAsia="zh-CN"/>
        </w:rPr>
        <w:t>GB/T 2812-2024 头部防护 通用测试方法</w:t>
      </w:r>
      <w:r>
        <w:rPr>
          <w:rFonts w:hint="eastAsia"/>
          <w:lang w:val="en-US" w:eastAsia="zh-CN"/>
        </w:rPr>
        <w:fldChar w:fldCharType="end"/>
      </w:r>
      <w:r>
        <w:rPr>
          <w:rFonts w:hint="eastAsia"/>
          <w:lang w:val="en-US" w:eastAsia="zh-CN"/>
        </w:rPr>
        <w:t>》7.7冲击吸收性能测试和7.9 耐穿刺性能测试中测试装置的要求。</w:t>
      </w:r>
    </w:p>
    <w:p>
      <w:pPr>
        <w:pStyle w:val="6"/>
        <w:bidi w:val="0"/>
      </w:pPr>
      <w:r>
        <w:rPr>
          <w:rFonts w:hint="eastAsia"/>
          <w:lang w:val="en-US" w:eastAsia="zh-CN"/>
        </w:rPr>
        <w:t>要求</w:t>
      </w:r>
    </w:p>
    <w:p>
      <w:pPr>
        <w:ind w:firstLine="480" w:firstLineChars="200"/>
        <w:rPr>
          <w:rFonts w:hint="default"/>
          <w:lang w:val="en-US"/>
        </w:rPr>
      </w:pPr>
      <w:r>
        <w:rPr>
          <w:rFonts w:hint="eastAsia"/>
          <w:lang w:val="en-US" w:eastAsia="zh-CN"/>
        </w:rPr>
        <w:t>提供1套试验装置，包括出厂检测报告和第三方校准报告（校准日期在供货日前两个月以内）。</w:t>
      </w:r>
    </w:p>
    <w:p>
      <w:pPr>
        <w:pStyle w:val="5"/>
        <w:bidi w:val="0"/>
      </w:pPr>
      <w:r>
        <w:rPr>
          <w:rFonts w:hint="eastAsia"/>
          <w:lang w:val="en-US" w:eastAsia="zh-CN"/>
        </w:rPr>
        <w:t>机械穿刺配件</w:t>
      </w:r>
    </w:p>
    <w:p>
      <w:pPr>
        <w:pStyle w:val="6"/>
        <w:bidi w:val="0"/>
      </w:pPr>
      <w:r>
        <w:rPr>
          <w:rFonts w:hint="eastAsia"/>
          <w:lang w:val="en-US" w:eastAsia="zh-CN"/>
        </w:rPr>
        <w:t>功能</w:t>
      </w:r>
    </w:p>
    <w:p>
      <w:pPr>
        <w:ind w:firstLine="480" w:firstLineChars="200"/>
        <w:rPr>
          <w:rFonts w:hint="default" w:eastAsia="仿宋"/>
          <w:lang w:val="en-US" w:eastAsia="zh-CN"/>
        </w:rPr>
      </w:pPr>
      <w:r>
        <w:rPr>
          <w:rFonts w:hint="eastAsia"/>
          <w:lang w:val="en-US" w:eastAsia="zh-CN"/>
        </w:rPr>
        <w:t>可配合拉力机使用，实现橡胶类材料的抗机械刺穿试验。</w:t>
      </w:r>
    </w:p>
    <w:p>
      <w:pPr>
        <w:pStyle w:val="6"/>
        <w:bidi w:val="0"/>
      </w:pPr>
      <w:r>
        <w:rPr>
          <w:rFonts w:hint="eastAsia"/>
          <w:lang w:val="en-US" w:eastAsia="zh-CN"/>
        </w:rPr>
        <w:t>技术指标</w:t>
      </w:r>
    </w:p>
    <w:p>
      <w:pPr>
        <w:ind w:firstLine="480" w:firstLineChars="200"/>
        <w:rPr>
          <w:rFonts w:hint="eastAsia"/>
          <w:lang w:val="en-US" w:eastAsia="zh-CN"/>
        </w:rPr>
      </w:pPr>
      <w:r>
        <w:rPr>
          <w:rFonts w:hint="eastAsia"/>
          <w:lang w:val="en-US" w:eastAsia="zh-CN"/>
        </w:rPr>
        <w:t>形状和尺寸满足《DL/T 803 带电作业用绝缘毯》7.3.3 抗机械刺穿试验中规定：</w:t>
      </w:r>
    </w:p>
    <w:p>
      <w:pPr>
        <w:ind w:firstLine="480" w:firstLineChars="200"/>
        <w:rPr>
          <w:rFonts w:hint="eastAsia"/>
          <w:lang w:val="en-US" w:eastAsia="zh-CN"/>
        </w:rPr>
      </w:pPr>
      <w:r>
        <w:rPr>
          <w:rFonts w:hint="eastAsia"/>
          <w:lang w:val="en-US" w:eastAsia="zh-CN"/>
        </w:rPr>
        <w:t>上下圆板直径50mm，上板开有直径为6mm的孔，下板开有直径为25mm的孔，两孔边缘倒角为半径0.8mm的圆弧。</w:t>
      </w:r>
    </w:p>
    <w:p>
      <w:pPr>
        <w:ind w:firstLine="480" w:firstLineChars="200"/>
        <w:rPr>
          <w:rFonts w:hint="eastAsia"/>
          <w:lang w:val="en-US" w:eastAsia="zh-CN"/>
        </w:rPr>
      </w:pPr>
      <w:r>
        <w:rPr>
          <w:rFonts w:hint="eastAsia"/>
          <w:lang w:val="en-US" w:eastAsia="zh-CN"/>
        </w:rPr>
        <w:t>锥形针直径5mm，一端锥度为12°、顶端半径为0.8mm。材质为金属，要求对带电作业橡胶类制品（如绝缘毯、绝缘服、软质遮蔽罩等）的刺穿力为45N时不弯曲变形。</w:t>
      </w:r>
    </w:p>
    <w:p>
      <w:pPr>
        <w:rPr>
          <w:rFonts w:hint="default"/>
          <w:lang w:val="en-US" w:eastAsia="zh-CN"/>
        </w:rPr>
      </w:pPr>
      <w:r>
        <w:drawing>
          <wp:inline distT="0" distB="0" distL="114300" distR="114300">
            <wp:extent cx="3878580" cy="4561840"/>
            <wp:effectExtent l="0" t="0" r="762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3878580" cy="4561840"/>
                    </a:xfrm>
                    <a:prstGeom prst="rect">
                      <a:avLst/>
                    </a:prstGeom>
                    <a:noFill/>
                    <a:ln>
                      <a:noFill/>
                    </a:ln>
                  </pic:spPr>
                </pic:pic>
              </a:graphicData>
            </a:graphic>
          </wp:inline>
        </w:drawing>
      </w:r>
    </w:p>
    <w:p>
      <w:pPr>
        <w:pStyle w:val="6"/>
        <w:bidi w:val="0"/>
      </w:pPr>
      <w:r>
        <w:rPr>
          <w:rFonts w:hint="eastAsia"/>
          <w:lang w:val="en-US" w:eastAsia="zh-CN"/>
        </w:rPr>
        <w:t>要求</w:t>
      </w:r>
    </w:p>
    <w:p>
      <w:pPr>
        <w:ind w:firstLine="480" w:firstLineChars="200"/>
        <w:rPr>
          <w:rFonts w:hint="default" w:eastAsia="仿宋"/>
          <w:lang w:val="en-US" w:eastAsia="zh-CN"/>
        </w:rPr>
      </w:pPr>
      <w:r>
        <w:rPr>
          <w:rFonts w:hint="eastAsia"/>
          <w:lang w:val="en-US" w:eastAsia="zh-CN"/>
        </w:rPr>
        <w:t>提供1套配件，包括：圆板1套，锥形针3根。提供出厂检测报告。</w:t>
      </w:r>
    </w:p>
    <w:p>
      <w:pPr>
        <w:pStyle w:val="5"/>
        <w:bidi w:val="0"/>
      </w:pPr>
      <w:r>
        <w:rPr>
          <w:rFonts w:hint="eastAsia"/>
          <w:lang w:val="en-US" w:eastAsia="zh-CN"/>
        </w:rPr>
        <w:t>坠落试验用假人</w:t>
      </w:r>
    </w:p>
    <w:p>
      <w:pPr>
        <w:pStyle w:val="6"/>
        <w:bidi w:val="0"/>
      </w:pPr>
      <w:r>
        <w:rPr>
          <w:rFonts w:hint="eastAsia"/>
          <w:lang w:val="en-US" w:eastAsia="zh-CN"/>
        </w:rPr>
        <w:t>功能</w:t>
      </w:r>
    </w:p>
    <w:p>
      <w:pPr>
        <w:ind w:firstLine="480" w:firstLineChars="200"/>
        <w:rPr>
          <w:rFonts w:hint="default"/>
          <w:lang w:val="en-US"/>
        </w:rPr>
      </w:pPr>
      <w:r>
        <w:rPr>
          <w:rFonts w:hint="eastAsia"/>
          <w:lang w:val="en-US" w:eastAsia="zh-CN"/>
        </w:rPr>
        <w:t>用于15m高处坠落试验。</w:t>
      </w:r>
    </w:p>
    <w:p>
      <w:pPr>
        <w:pStyle w:val="6"/>
        <w:bidi w:val="0"/>
      </w:pPr>
      <w:r>
        <w:rPr>
          <w:rFonts w:hint="eastAsia"/>
          <w:lang w:val="en-US" w:eastAsia="zh-CN"/>
        </w:rPr>
        <w:t>技术指标</w:t>
      </w:r>
    </w:p>
    <w:p>
      <w:pPr>
        <w:ind w:firstLine="480" w:firstLineChars="200"/>
        <w:rPr>
          <w:rFonts w:hint="eastAsia"/>
          <w:szCs w:val="21"/>
          <w:lang w:val="en-US" w:eastAsia="zh-CN"/>
        </w:rPr>
      </w:pPr>
      <w:r>
        <w:rPr>
          <w:rFonts w:hint="eastAsia"/>
          <w:szCs w:val="21"/>
          <w:lang w:val="en-US" w:eastAsia="zh-CN"/>
        </w:rPr>
        <w:t>技术指标符合GB/T 6096-2020《坠落防护 安全带系统性能测试方法》中规定：</w:t>
      </w:r>
    </w:p>
    <w:p>
      <w:pPr>
        <w:ind w:firstLine="480" w:firstLineChars="200"/>
        <w:rPr>
          <w:rFonts w:hint="eastAsia"/>
          <w:szCs w:val="21"/>
          <w:lang w:val="en-US" w:eastAsia="zh-CN"/>
        </w:rPr>
      </w:pPr>
      <w:r>
        <w:rPr>
          <w:rFonts w:hint="eastAsia"/>
          <w:szCs w:val="21"/>
          <w:lang w:val="en-US" w:eastAsia="zh-CN"/>
        </w:rPr>
        <w:t>重量：≥80kg±5%‌。</w:t>
      </w:r>
    </w:p>
    <w:p>
      <w:pPr>
        <w:ind w:firstLine="480" w:firstLineChars="200"/>
        <w:rPr>
          <w:rFonts w:hint="default"/>
          <w:szCs w:val="21"/>
          <w:lang w:val="en-US" w:eastAsia="zh-CN"/>
        </w:rPr>
      </w:pPr>
      <w:r>
        <w:rPr>
          <w:rFonts w:hint="eastAsia"/>
          <w:szCs w:val="21"/>
          <w:lang w:val="en-US" w:eastAsia="zh-CN"/>
        </w:rPr>
        <w:t>重心：下腹部上方200±25mm处，确保0-15m高处坠落不翻转。</w:t>
      </w:r>
    </w:p>
    <w:p>
      <w:pPr>
        <w:ind w:firstLine="480" w:firstLineChars="200"/>
        <w:rPr>
          <w:rFonts w:hint="eastAsia"/>
          <w:szCs w:val="21"/>
          <w:lang w:val="en-US" w:eastAsia="zh-CN"/>
        </w:rPr>
      </w:pPr>
      <w:r>
        <w:rPr>
          <w:rFonts w:hint="eastAsia"/>
          <w:szCs w:val="21"/>
          <w:lang w:val="en-US" w:eastAsia="zh-CN"/>
        </w:rPr>
        <w:t>挂点‌外形尺寸‌：肩宽约‌483mm‌，臀宽约‌400mm‌，腿粗约‌150mm‌。</w:t>
      </w:r>
    </w:p>
    <w:p>
      <w:pPr>
        <w:ind w:firstLine="480" w:firstLineChars="200"/>
        <w:rPr>
          <w:rFonts w:hint="eastAsia"/>
          <w:szCs w:val="21"/>
          <w:lang w:val="en-US" w:eastAsia="zh-CN"/>
        </w:rPr>
      </w:pPr>
      <w:r>
        <w:rPr>
          <w:rFonts w:hint="eastAsia"/>
          <w:szCs w:val="21"/>
          <w:lang w:val="en-US" w:eastAsia="zh-CN"/>
        </w:rPr>
        <w:t>‌橡胶层厚度‌：外表面必须覆盖厚度‌≥40mm‌的橡胶层。</w:t>
      </w:r>
    </w:p>
    <w:p>
      <w:pPr>
        <w:ind w:firstLine="480" w:firstLineChars="200"/>
        <w:rPr>
          <w:rFonts w:hint="eastAsia"/>
          <w:szCs w:val="21"/>
          <w:lang w:val="en-US" w:eastAsia="zh-CN"/>
        </w:rPr>
      </w:pPr>
      <w:r>
        <w:rPr>
          <w:rFonts w:hint="eastAsia"/>
          <w:szCs w:val="21"/>
          <w:lang w:val="en-US" w:eastAsia="zh-CN"/>
        </w:rPr>
        <w:t>‌硬度要求‌：邵氏硬度（Shore A）需‌大于 90HD‌。</w:t>
      </w:r>
    </w:p>
    <w:p>
      <w:pPr>
        <w:ind w:firstLine="480" w:firstLineChars="200"/>
        <w:rPr>
          <w:rFonts w:hint="default" w:eastAsia="仿宋"/>
          <w:lang w:val="en-US" w:eastAsia="zh-CN"/>
        </w:rPr>
      </w:pPr>
      <w:r>
        <w:rPr>
          <w:rFonts w:hint="eastAsia"/>
          <w:szCs w:val="21"/>
          <w:lang w:val="en-US" w:eastAsia="zh-CN"/>
        </w:rPr>
        <w:t>挂点：至少配备‌4 个‌吊环，不锈钢材质，分布在前胸、后背、头部和裆部，需刚性连接。‌</w:t>
      </w:r>
    </w:p>
    <w:p>
      <w:pPr>
        <w:pStyle w:val="6"/>
        <w:bidi w:val="0"/>
      </w:pPr>
      <w:r>
        <w:rPr>
          <w:rFonts w:hint="eastAsia"/>
          <w:lang w:val="en-US" w:eastAsia="zh-CN"/>
        </w:rPr>
        <w:t>要求</w:t>
      </w:r>
    </w:p>
    <w:p>
      <w:pPr>
        <w:spacing w:line="360" w:lineRule="auto"/>
        <w:ind w:firstLine="420"/>
        <w:rPr>
          <w:rFonts w:hint="default"/>
          <w:szCs w:val="21"/>
          <w:lang w:val="en-US" w:eastAsia="zh-CN"/>
        </w:rPr>
      </w:pPr>
      <w:r>
        <w:rPr>
          <w:rFonts w:hint="eastAsia"/>
          <w:szCs w:val="21"/>
          <w:lang w:val="en-US" w:eastAsia="zh-CN"/>
        </w:rPr>
        <w:t>提供测试假人1套，提供原厂出厂检测报告、合格证。</w:t>
      </w:r>
    </w:p>
    <w:p>
      <w:pPr>
        <w:numPr>
          <w:ilvl w:val="0"/>
          <w:numId w:val="0"/>
        </w:numPr>
      </w:pPr>
      <w:r>
        <w:rPr>
          <w:rFonts w:ascii="宋体" w:hAnsi="宋体" w:eastAsia="宋体" w:cs="宋体"/>
          <w:sz w:val="24"/>
          <w:szCs w:val="24"/>
        </w:rPr>
        <w:t xml:space="preserve"> </w:t>
      </w:r>
    </w:p>
    <w:p>
      <w:pPr>
        <w:pStyle w:val="4"/>
        <w:bidi w:val="0"/>
      </w:pPr>
      <w:r>
        <w:t>资格条件</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7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dxa"/>
          </w:tcPr>
          <w:p>
            <w:pP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序号</w:t>
            </w:r>
          </w:p>
        </w:tc>
        <w:tc>
          <w:tcPr>
            <w:tcW w:w="7652" w:type="dxa"/>
          </w:tcPr>
          <w:p>
            <w:pPr>
              <w:jc w:val="cente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dxa"/>
          </w:tcPr>
          <w:p>
            <w:pP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1</w:t>
            </w:r>
          </w:p>
        </w:tc>
        <w:tc>
          <w:tcPr>
            <w:tcW w:w="7652" w:type="dxa"/>
          </w:tcPr>
          <w:p>
            <w:pPr>
              <w:rPr>
                <w:rFonts w:hint="eastAsia" w:ascii="仿宋" w:hAnsi="仿宋" w:eastAsia="仿宋" w:cs="仿宋"/>
                <w:vertAlign w:val="baseline"/>
                <w:lang w:eastAsia="zh-CN"/>
              </w:rPr>
            </w:pPr>
            <w:r>
              <w:rPr>
                <w:rFonts w:hint="eastAsia" w:ascii="仿宋" w:hAnsi="仿宋" w:eastAsia="仿宋" w:cs="仿宋"/>
                <w:sz w:val="24"/>
                <w:szCs w:val="24"/>
              </w:rPr>
              <w:t>报价单位为企业的，应提供有效的营业执照（海外及港澳台企业如无营业执照应提 供有效登记注册证明文件；企业分支机构应同时提供总公司出具的项目授权）；报 价单位为事业单位或社团的，应提供有效的事业单位法人证书或社团法人证书；报 价单位为非法人组织的，应当提供有关监管机构颁发的执业许可证明文件；报价单位为自然人的，应提供有效的身份证明</w:t>
            </w:r>
            <w:r>
              <w:rPr>
                <w:rFonts w:hint="eastAsia" w:ascii="仿宋" w:hAnsi="仿宋" w:eastAsia="仿宋" w:cs="仿宋"/>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dxa"/>
          </w:tcPr>
          <w:p>
            <w:pP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2</w:t>
            </w:r>
          </w:p>
        </w:tc>
        <w:tc>
          <w:tcPr>
            <w:tcW w:w="7652" w:type="dxa"/>
          </w:tcPr>
          <w:p>
            <w:pPr>
              <w:rPr>
                <w:rFonts w:hint="eastAsia" w:ascii="仿宋" w:hAnsi="仿宋" w:eastAsia="仿宋" w:cs="仿宋"/>
                <w:vertAlign w:val="baseline"/>
              </w:rPr>
            </w:pPr>
            <w:r>
              <w:rPr>
                <w:rFonts w:hint="eastAsia" w:ascii="仿宋" w:hAnsi="仿宋" w:eastAsia="仿宋" w:cs="仿宋"/>
                <w:sz w:val="24"/>
                <w:szCs w:val="24"/>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dxa"/>
          </w:tcPr>
          <w:p>
            <w:pP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3</w:t>
            </w:r>
          </w:p>
        </w:tc>
        <w:tc>
          <w:tcPr>
            <w:tcW w:w="7652" w:type="dxa"/>
          </w:tcPr>
          <w:p>
            <w:pPr>
              <w:rPr>
                <w:rFonts w:hint="eastAsia" w:ascii="仿宋" w:hAnsi="仿宋" w:eastAsia="仿宋" w:cs="仿宋"/>
                <w:vertAlign w:val="baseline"/>
                <w:lang w:eastAsia="zh-CN"/>
              </w:rPr>
            </w:pPr>
            <w:r>
              <w:rPr>
                <w:rFonts w:hint="eastAsia" w:ascii="仿宋" w:hAnsi="仿宋" w:eastAsia="仿宋" w:cs="仿宋"/>
                <w:sz w:val="24"/>
                <w:szCs w:val="24"/>
              </w:rPr>
              <w:t>报价单位没有被中国南方电网有限责任公司暂停或取消其投标资格的</w:t>
            </w:r>
            <w:r>
              <w:rPr>
                <w:rFonts w:hint="eastAsia" w:ascii="仿宋" w:hAnsi="仿宋" w:eastAsia="仿宋" w:cs="仿宋"/>
                <w:sz w:val="24"/>
                <w:szCs w:val="24"/>
                <w:lang w:eastAsia="zh-CN"/>
              </w:rPr>
              <w:t>。</w:t>
            </w:r>
          </w:p>
        </w:tc>
      </w:tr>
    </w:tbl>
    <w:p/>
    <w:p>
      <w:pPr>
        <w:pStyle w:val="4"/>
        <w:bidi w:val="0"/>
        <w:ind w:left="0" w:leftChars="0" w:firstLine="0" w:firstLineChars="0"/>
      </w:pPr>
      <w:r>
        <w:t>成交办法</w:t>
      </w:r>
    </w:p>
    <w:p>
      <w:pPr>
        <w:bidi w:val="0"/>
        <w:ind w:firstLine="480" w:firstLineChars="200"/>
      </w:pPr>
      <w:r>
        <w:t>根据满足资格条件的各家单位有效报价，选择报价最低者为成交对象。</w:t>
      </w:r>
    </w:p>
    <w:p>
      <w:pPr>
        <w:pStyle w:val="4"/>
        <w:bidi w:val="0"/>
        <w:ind w:left="0" w:leftChars="0" w:firstLine="0" w:firstLineChars="0"/>
        <w:rPr>
          <w:rFonts w:hint="default"/>
          <w:lang w:val="en-US" w:eastAsia="zh-CN"/>
        </w:rPr>
      </w:pPr>
      <w:r>
        <w:rPr>
          <w:rFonts w:hint="eastAsia"/>
          <w:lang w:val="en-US" w:eastAsia="zh-CN"/>
        </w:rPr>
        <w:t>验收及质保</w:t>
      </w:r>
    </w:p>
    <w:p>
      <w:pPr>
        <w:ind w:firstLine="480" w:firstLineChars="200"/>
        <w:rPr>
          <w:rFonts w:hint="default"/>
          <w:lang w:val="en-US" w:eastAsia="zh-CN"/>
        </w:rPr>
      </w:pPr>
      <w:r>
        <w:rPr>
          <w:rFonts w:hint="eastAsia"/>
          <w:lang w:val="en-US" w:eastAsia="zh-CN"/>
        </w:rPr>
        <w:t>自全部装置安装调试正常运转且完成验收之日起，质保期1年。</w:t>
      </w:r>
      <w:bookmarkStart w:id="0" w:name="_GoBack"/>
      <w:bookmarkEnd w:id="0"/>
    </w:p>
    <w:p>
      <w:pPr>
        <w:pStyle w:val="2"/>
        <w:bidi w:val="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8198F3"/>
    <w:multiLevelType w:val="multilevel"/>
    <w:tmpl w:val="528198F3"/>
    <w:lvl w:ilvl="0" w:tentative="0">
      <w:start w:val="1"/>
      <w:numFmt w:val="chineseCounting"/>
      <w:pStyle w:val="4"/>
      <w:suff w:val="nothing"/>
      <w:lvlText w:val="%1、"/>
      <w:lvlJc w:val="left"/>
      <w:pPr>
        <w:ind w:left="0" w:firstLine="0"/>
      </w:pPr>
      <w:rPr>
        <w:rFonts w:hint="eastAsia"/>
      </w:rPr>
    </w:lvl>
    <w:lvl w:ilvl="1" w:tentative="0">
      <w:start w:val="1"/>
      <w:numFmt w:val="chineseCounting"/>
      <w:pStyle w:val="5"/>
      <w:suff w:val="nothing"/>
      <w:lvlText w:val="（%2）"/>
      <w:lvlJc w:val="left"/>
      <w:pPr>
        <w:ind w:left="0" w:firstLine="0"/>
      </w:pPr>
      <w:rPr>
        <w:rFonts w:hint="eastAsia"/>
      </w:rPr>
    </w:lvl>
    <w:lvl w:ilvl="2" w:tentative="0">
      <w:start w:val="1"/>
      <w:numFmt w:val="decimal"/>
      <w:pStyle w:val="6"/>
      <w:suff w:val="nothing"/>
      <w:lvlText w:val="%3．"/>
      <w:lvlJc w:val="left"/>
      <w:pPr>
        <w:ind w:left="0" w:firstLine="400"/>
      </w:pPr>
      <w:rPr>
        <w:rFonts w:hint="eastAsia"/>
      </w:rPr>
    </w:lvl>
    <w:lvl w:ilvl="3" w:tentative="0">
      <w:start w:val="1"/>
      <w:numFmt w:val="decimal"/>
      <w:pStyle w:val="7"/>
      <w:suff w:val="nothing"/>
      <w:lvlText w:val="（%4）"/>
      <w:lvlJc w:val="left"/>
      <w:pPr>
        <w:ind w:left="0" w:firstLine="402"/>
      </w:pPr>
      <w:rPr>
        <w:rFonts w:hint="eastAsia"/>
      </w:rPr>
    </w:lvl>
    <w:lvl w:ilvl="4" w:tentative="0">
      <w:start w:val="1"/>
      <w:numFmt w:val="decimalEnclosedCircleChinese"/>
      <w:pStyle w:val="8"/>
      <w:suff w:val="nothing"/>
      <w:lvlText w:val="%5"/>
      <w:lvlJc w:val="left"/>
      <w:pPr>
        <w:ind w:left="0" w:firstLine="402"/>
      </w:pPr>
      <w:rPr>
        <w:rFonts w:hint="eastAsia"/>
      </w:rPr>
    </w:lvl>
    <w:lvl w:ilvl="5" w:tentative="0">
      <w:start w:val="1"/>
      <w:numFmt w:val="decimal"/>
      <w:pStyle w:val="9"/>
      <w:suff w:val="nothing"/>
      <w:lvlText w:val="%6）"/>
      <w:lvlJc w:val="left"/>
      <w:pPr>
        <w:ind w:left="0" w:firstLine="402"/>
      </w:pPr>
      <w:rPr>
        <w:rFonts w:hint="eastAsia"/>
      </w:rPr>
    </w:lvl>
    <w:lvl w:ilvl="6" w:tentative="0">
      <w:start w:val="1"/>
      <w:numFmt w:val="lowerLetter"/>
      <w:pStyle w:val="10"/>
      <w:suff w:val="nothing"/>
      <w:lvlText w:val="%7．"/>
      <w:lvlJc w:val="left"/>
      <w:pPr>
        <w:ind w:left="0" w:firstLine="402"/>
      </w:pPr>
      <w:rPr>
        <w:rFonts w:hint="eastAsia"/>
      </w:rPr>
    </w:lvl>
    <w:lvl w:ilvl="7" w:tentative="0">
      <w:start w:val="1"/>
      <w:numFmt w:val="lowerLetter"/>
      <w:pStyle w:val="11"/>
      <w:suff w:val="nothing"/>
      <w:lvlText w:val="%8）"/>
      <w:lvlJc w:val="left"/>
      <w:pPr>
        <w:ind w:left="0" w:firstLine="402"/>
      </w:pPr>
      <w:rPr>
        <w:rFonts w:hint="eastAsia"/>
      </w:rPr>
    </w:lvl>
    <w:lvl w:ilvl="8" w:tentative="0">
      <w:start w:val="1"/>
      <w:numFmt w:val="lowerRoman"/>
      <w:pStyle w:val="12"/>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A0487"/>
    <w:rsid w:val="05327D53"/>
    <w:rsid w:val="066F04FF"/>
    <w:rsid w:val="0A1A6C57"/>
    <w:rsid w:val="0B756EE5"/>
    <w:rsid w:val="0C2A0E82"/>
    <w:rsid w:val="14231F17"/>
    <w:rsid w:val="153C0465"/>
    <w:rsid w:val="19EE0799"/>
    <w:rsid w:val="2001740F"/>
    <w:rsid w:val="21787EF5"/>
    <w:rsid w:val="23585420"/>
    <w:rsid w:val="27BC50F8"/>
    <w:rsid w:val="28E45EA3"/>
    <w:rsid w:val="2C5F332D"/>
    <w:rsid w:val="2F3A292D"/>
    <w:rsid w:val="370A0339"/>
    <w:rsid w:val="389C7973"/>
    <w:rsid w:val="3B1D5757"/>
    <w:rsid w:val="3CB316E0"/>
    <w:rsid w:val="4A105C92"/>
    <w:rsid w:val="4DA40313"/>
    <w:rsid w:val="4F6457CE"/>
    <w:rsid w:val="4FBB03DB"/>
    <w:rsid w:val="4FDF1C24"/>
    <w:rsid w:val="5161270B"/>
    <w:rsid w:val="51CC1440"/>
    <w:rsid w:val="545D09F3"/>
    <w:rsid w:val="54D33936"/>
    <w:rsid w:val="5A494BC1"/>
    <w:rsid w:val="5EAB5261"/>
    <w:rsid w:val="5F5A62FF"/>
    <w:rsid w:val="60F95222"/>
    <w:rsid w:val="61140B53"/>
    <w:rsid w:val="62475A4D"/>
    <w:rsid w:val="6C976C36"/>
    <w:rsid w:val="6F734DE5"/>
    <w:rsid w:val="7BD37033"/>
    <w:rsid w:val="7CD70E5F"/>
    <w:rsid w:val="7FF86D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eastAsia="仿宋" w:asciiTheme="minorAscii" w:hAnsiTheme="minorAscii" w:cstheme="minorBidi"/>
      <w:kern w:val="2"/>
      <w:sz w:val="24"/>
      <w:szCs w:val="24"/>
      <w:lang w:val="en-US" w:eastAsia="zh-CN" w:bidi="ar-SA"/>
    </w:rPr>
  </w:style>
  <w:style w:type="paragraph" w:styleId="4">
    <w:name w:val="heading 1"/>
    <w:basedOn w:val="1"/>
    <w:next w:val="1"/>
    <w:qFormat/>
    <w:uiPriority w:val="0"/>
    <w:pPr>
      <w:keepNext/>
      <w:keepLines/>
      <w:numPr>
        <w:ilvl w:val="0"/>
        <w:numId w:val="1"/>
      </w:numPr>
      <w:spacing w:beforeLines="0" w:beforeAutospacing="0" w:afterLines="0" w:afterAutospacing="0" w:line="360" w:lineRule="auto"/>
      <w:outlineLvl w:val="0"/>
    </w:pPr>
    <w:rPr>
      <w:rFonts w:eastAsia="黑体" w:asciiTheme="minorAscii" w:hAnsiTheme="minorAscii"/>
      <w:b/>
      <w:kern w:val="44"/>
      <w:sz w:val="30"/>
    </w:rPr>
  </w:style>
  <w:style w:type="paragraph" w:styleId="5">
    <w:name w:val="heading 2"/>
    <w:basedOn w:val="1"/>
    <w:next w:val="1"/>
    <w:unhideWhenUsed/>
    <w:qFormat/>
    <w:uiPriority w:val="0"/>
    <w:pPr>
      <w:keepNext/>
      <w:keepLines/>
      <w:numPr>
        <w:ilvl w:val="1"/>
        <w:numId w:val="1"/>
      </w:numPr>
      <w:spacing w:beforeLines="0" w:beforeAutospacing="0" w:afterLines="0" w:afterAutospacing="0" w:line="360" w:lineRule="auto"/>
      <w:outlineLvl w:val="1"/>
    </w:pPr>
    <w:rPr>
      <w:rFonts w:ascii="Arial" w:hAnsi="Arial" w:eastAsia="楷体"/>
      <w:b/>
      <w:sz w:val="28"/>
    </w:rPr>
  </w:style>
  <w:style w:type="paragraph" w:styleId="6">
    <w:name w:val="heading 3"/>
    <w:basedOn w:val="1"/>
    <w:next w:val="1"/>
    <w:unhideWhenUsed/>
    <w:qFormat/>
    <w:uiPriority w:val="0"/>
    <w:pPr>
      <w:keepNext/>
      <w:keepLines/>
      <w:numPr>
        <w:ilvl w:val="2"/>
        <w:numId w:val="1"/>
      </w:numPr>
      <w:spacing w:beforeLines="0" w:beforeAutospacing="0" w:afterLines="0" w:afterAutospacing="0" w:line="360" w:lineRule="auto"/>
      <w:ind w:firstLine="403"/>
      <w:outlineLvl w:val="2"/>
    </w:pPr>
    <w:rPr>
      <w:b/>
      <w:sz w:val="24"/>
    </w:rPr>
  </w:style>
  <w:style w:type="paragraph" w:styleId="7">
    <w:name w:val="heading 4"/>
    <w:basedOn w:val="1"/>
    <w:next w:val="1"/>
    <w:unhideWhenUsed/>
    <w:qFormat/>
    <w:uiPriority w:val="0"/>
    <w:pPr>
      <w:keepNext/>
      <w:keepLines/>
      <w:numPr>
        <w:ilvl w:val="3"/>
        <w:numId w:val="1"/>
      </w:numPr>
      <w:spacing w:beforeLines="0" w:beforeAutospacing="0" w:afterLines="0" w:afterAutospacing="0" w:line="360" w:lineRule="auto"/>
      <w:ind w:firstLine="403"/>
      <w:outlineLvl w:val="3"/>
    </w:pPr>
    <w:rPr>
      <w:rFonts w:ascii="Arial" w:hAnsi="Arial" w:eastAsia="宋体"/>
      <w:b/>
      <w:sz w:val="24"/>
    </w:rPr>
  </w:style>
  <w:style w:type="paragraph" w:styleId="8">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5">
    <w:name w:val="Default Paragraph Font"/>
    <w:semiHidden/>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99"/>
    <w:pPr>
      <w:spacing w:before="240" w:beforeLines="0" w:after="60" w:afterLines="0"/>
      <w:jc w:val="center"/>
      <w:outlineLvl w:val="0"/>
    </w:pPr>
    <w:rPr>
      <w:rFonts w:ascii="Arial" w:hAnsi="Arial"/>
      <w:b/>
      <w:bCs/>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2026-03-13T02:40:00Z</dcterms:created>
  <dc:creator>limin2</dc:creator>
  <cp:lastModifiedBy>85C47853C8754348943B3F5372B4A750</cp:lastModifiedBy>
  <dcterms:modified xsi:type="dcterms:W3CDTF">2026-03-24T01:35:05Z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078B97383D664D8797C3CD7FF50AB2C9_12</vt:lpwstr>
  </property>
</Properties>
</file>