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81D1">
      <w:pPr>
        <w:rPr>
          <w:rFonts w:hint="default"/>
          <w:lang w:val="en-US" w:eastAsia="zh-CN"/>
        </w:rPr>
      </w:pPr>
    </w:p>
    <w:p w14:paraId="33529C76">
      <w:pPr>
        <w:pStyle w:val="2"/>
        <w:rPr>
          <w:rFonts w:hint="default"/>
          <w:lang w:val="en-US" w:eastAsia="zh-CN"/>
        </w:rPr>
      </w:pPr>
    </w:p>
    <w:p w14:paraId="6AFD255C">
      <w:pPr>
        <w:spacing w:before="156" w:beforeLines="50" w:after="156" w:afterLines="50"/>
        <w:ind w:firstLine="86" w:firstLineChars="36"/>
        <w:jc w:val="center"/>
        <w:rPr>
          <w:rFonts w:asciiTheme="minorEastAsia" w:hAnsiTheme="minorEastAsia" w:eastAsiaTheme="minorEastAsia"/>
          <w:b/>
          <w:spacing w:val="30"/>
          <w:sz w:val="48"/>
          <w:highlight w:val="none"/>
        </w:rPr>
      </w:pPr>
      <w:r>
        <w:rPr>
          <w:rFonts w:asciiTheme="minorEastAsia" w:hAnsiTheme="minorEastAsia" w:eastAsiaTheme="minorEastAsia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-1021080</wp:posOffset>
            </wp:positionH>
            <wp:positionV relativeFrom="paragraph">
              <wp:posOffset>-914400</wp:posOffset>
            </wp:positionV>
            <wp:extent cx="7646670" cy="6086475"/>
            <wp:effectExtent l="0" t="0" r="1905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46670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7FD3E6B">
      <w:pPr>
        <w:spacing w:before="156" w:beforeLines="50" w:after="156" w:afterLines="50"/>
        <w:ind w:firstLine="195" w:firstLineChars="36"/>
        <w:jc w:val="center"/>
        <w:rPr>
          <w:rFonts w:asciiTheme="minorEastAsia" w:hAnsiTheme="minorEastAsia" w:eastAsiaTheme="minorEastAsia"/>
          <w:b/>
          <w:spacing w:val="30"/>
          <w:sz w:val="48"/>
          <w:highlight w:val="none"/>
        </w:rPr>
      </w:pPr>
    </w:p>
    <w:p w14:paraId="0A34857C">
      <w:pPr>
        <w:spacing w:before="156" w:beforeLines="50" w:after="156" w:afterLines="50"/>
        <w:ind w:firstLine="195" w:firstLineChars="36"/>
        <w:jc w:val="center"/>
        <w:rPr>
          <w:rFonts w:asciiTheme="minorEastAsia" w:hAnsiTheme="minorEastAsia" w:eastAsiaTheme="minorEastAsia"/>
          <w:b/>
          <w:spacing w:val="30"/>
          <w:sz w:val="48"/>
          <w:highlight w:val="none"/>
        </w:rPr>
      </w:pPr>
    </w:p>
    <w:p w14:paraId="06A89EDF">
      <w:pPr>
        <w:spacing w:before="156" w:beforeLines="50" w:after="156" w:afterLines="50"/>
        <w:rPr>
          <w:rFonts w:asciiTheme="minorEastAsia" w:hAnsiTheme="minorEastAsia" w:eastAsiaTheme="minorEastAsia"/>
          <w:b/>
          <w:spacing w:val="30"/>
          <w:sz w:val="48"/>
          <w:szCs w:val="48"/>
          <w:highlight w:val="none"/>
        </w:rPr>
      </w:pPr>
    </w:p>
    <w:p w14:paraId="0625BF93">
      <w:pPr>
        <w:spacing w:before="156" w:beforeLines="50" w:after="156" w:afterLines="50"/>
        <w:jc w:val="center"/>
        <w:rPr>
          <w:rFonts w:asciiTheme="minorEastAsia" w:hAnsiTheme="minorEastAsia" w:eastAsiaTheme="minorEastAsia"/>
          <w:b/>
          <w:spacing w:val="30"/>
          <w:sz w:val="48"/>
          <w:szCs w:val="48"/>
          <w:highlight w:val="none"/>
        </w:rPr>
      </w:pPr>
    </w:p>
    <w:p w14:paraId="573329C0">
      <w:pPr>
        <w:spacing w:before="156" w:beforeLines="50" w:after="156" w:afterLines="50"/>
        <w:jc w:val="center"/>
        <w:rPr>
          <w:rFonts w:asciiTheme="minorEastAsia" w:hAnsiTheme="minorEastAsia" w:eastAsiaTheme="minorEastAsia"/>
          <w:b/>
          <w:sz w:val="32"/>
          <w:szCs w:val="32"/>
          <w:highlight w:val="none"/>
        </w:rPr>
      </w:pPr>
      <w:r>
        <w:rPr>
          <w:rFonts w:hint="eastAsia" w:asciiTheme="minorEastAsia" w:hAnsiTheme="minorEastAsia" w:eastAsiaTheme="minorEastAsia"/>
          <w:b/>
          <w:w w:val="95"/>
          <w:sz w:val="44"/>
          <w:szCs w:val="32"/>
          <w:highlight w:val="none"/>
        </w:rPr>
        <w:t>2026年软件许可（协同办公系统）采购项目</w:t>
      </w:r>
      <w:r>
        <w:rPr>
          <w:rFonts w:asciiTheme="minorEastAsia" w:hAnsiTheme="minorEastAsia" w:eastAsiaTheme="minorEastAsia"/>
          <w:b/>
          <w:sz w:val="44"/>
          <w:szCs w:val="32"/>
          <w:highlight w:val="non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-519430</wp:posOffset>
                </wp:positionH>
                <wp:positionV relativeFrom="paragraph">
                  <wp:posOffset>464185</wp:posOffset>
                </wp:positionV>
                <wp:extent cx="6518275" cy="710565"/>
                <wp:effectExtent l="0" t="4445" r="6350" b="8890"/>
                <wp:wrapNone/>
                <wp:docPr id="10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10565"/>
                          <a:chOff x="-5" y="6276"/>
                          <a:chExt cx="10265" cy="1404"/>
                        </a:xfrm>
                      </wpg:grpSpPr>
                      <wps:wsp>
                        <wps:cNvPr id="7" name="直接连接符 7"/>
                        <wps:cNvCnPr/>
                        <wps:spPr>
                          <a:xfrm>
                            <a:off x="-5" y="6276"/>
                            <a:ext cx="10260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" name="直接连接符 8"/>
                        <wps:cNvCnPr/>
                        <wps:spPr>
                          <a:xfrm>
                            <a:off x="10260" y="6276"/>
                            <a:ext cx="0" cy="1404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" name="直接连接符 9"/>
                        <wps:cNvCnPr/>
                        <wps:spPr>
                          <a:xfrm flipH="1">
                            <a:off x="4680" y="7680"/>
                            <a:ext cx="5580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-40.9pt;margin-top:36.55pt;height:55.95pt;width:513.25pt;z-index:251660288;mso-width-relative:page;mso-height-relative:page;" coordorigin="-5,6276" coordsize="10265,1404" o:gfxdata="UEsDBAoAAAAAAIdO4kAAAAAAAAAAAAAAAAAEAAAAZHJzL1BLAwQUAAAACACHTuJAolO4HdsAAAAK&#10;AQAADwAAAGRycy9kb3ducmV2LnhtbE2PQU/CQBCF7yb+h82YeIPdFZBauyWGqCdCIpgYb0M7tA3d&#10;2aa7tPDvXU96nLwv732TrS62FQP1vnFsQE8VCOLClQ1XBj73b5MEhA/IJbaOycCVPKzy25sM09KN&#10;/EHDLlQilrBP0UAdQpdK6YuaLPqp64hjdnS9xRDPvpJlj2Mst618UOpRWmw4LtTY0bqm4rQ7WwPv&#10;I44vM/06bE7H9fV7v9h+bTQZc3+n1TOIQJfwB8OvflSHPDod3JlLL1oDk0RH9WBgOdMgIvA0ny9B&#10;HCKZLBTIPJP/X8h/AFBLAwQUAAAACACHTuJACu0FVLYCAAAPCQAADgAAAGRycy9lMm9Eb2MueG1s&#10;7VbNbtQwEL4j8Q6W722yUfenUbM9dNtyQFCp8ABu4iSWHNuy3c3unQMnxB2JGz1x5MaBp4HyGMw4&#10;2S3dglhAiEv34LU94/HM982Mc3C4aCSZc+uEVhkd7MaUcJXrQqgqo8+fnexMKHGeqYJJrXhGl9zR&#10;w+nDBwetSXmiay0LbgkYUS5tTUZr700aRS6vecPcrjZcgbDUtmEelraKCstasN7IKInjUdRqWxir&#10;c+4c7M46Ie0t2m0M6rIUOZ/p/LLhyndWLZfMQ0iuFsbRafC2LHnun5al457IjEKkPoxwCcwvcIym&#10;ByytLDO1yHsX2DYubMTUMKHg0rWpGfOMXFpxx1QjcqudLv1urpuoCyQgAlEM4g1sTq2+NCGWKm0r&#10;swYdiNpA/Y/N5k/mZ5aIAjIBIFGsAcavP774/PolSRCc1lQp6Jxac27ObL9RdSuMd1HaBv8hErII&#10;sC7XsPKFJzlsjoaDSTIeUpKDbDyIh6Nhh3teAzl4bAeEIBsl49FKctwfHsQJqIejg714D8XR6toI&#10;vVs70xpISHeDkvs7lM5rZngA3yECPUrjNUhvPnx59e7rp7cwXr+/ImP0DF0A3SPVQ+VSB6j9AKc7&#10;Aa+wwnCBCEQqJOc6VpYa6/wp1w3BSUalUOgeS9n8sfMdLCsV3JaKtBndHyaIHoNCLaFAYNoYINup&#10;Kpx1WoriREiJJ5ytLo6kJXOGxRJ+Pdy31PCSGXN1pxdEHWk1Z8WxKohfGsgiBd2DogsNLyiRHJoN&#10;zsBRlnom5DaaEL1UQDji2iGJswtdLAPAYR8o74D/59xDY+wLZIP7yW9x31N8K99X9PfU38n0e/ZD&#10;Hf1P9vd/xv7+r9knpRTmEfTYUHR9r9wbTYBubIk4CXWxSoPhEEX3TSC0i62bQHgO4J0ML0T/puND&#10;/P06NJOb75jp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KJTuB3bAAAACgEAAA8AAAAAAAAAAQAg&#10;AAAAIgAAAGRycy9kb3ducmV2LnhtbFBLAQIUABQAAAAIAIdO4kAK7QVUtgIAAA8JAAAOAAAAAAAA&#10;AAEAIAAAACoBAABkcnMvZTJvRG9jLnhtbFBLBQYAAAAABgAGAFkBAABSBgAAAAA=&#10;">
                <o:lock v:ext="edit" aspectratio="f"/>
                <v:line id="_x0000_s1026" o:spid="_x0000_s1026" o:spt="20" style="position:absolute;left:-5;top:6276;height:0;width:10260;" filled="f" stroked="t" coordsize="21600,21600" o:gfxdata="UEsDBAoAAAAAAIdO4kAAAAAAAAAAAAAAAAAEAAAAZHJzL1BLAwQUAAAACACHTuJAG6Wya7wAAADa&#10;AAAADwAAAGRycy9kb3ducmV2LnhtbEWPT4vCMBTE7wt+h/AEL2ITFVypRg9qYQ97UVe8PppnW2xe&#10;ahP/7H56Iwh7HGbmN8x8+bC1uFHrK8cahokCQZw7U3Gh4WefDaYgfEA2WDsmDb/kYbnofMwxNe7O&#10;W7rtQiEihH2KGsoQmlRKn5dk0SeuIY7eybUWQ5RtIU2L9wi3tRwpNZEWK44LJTa0Kik/765Wg88O&#10;dMn++nlfHceFo9Fl/b1BrXvdoZqBCPQI/+F3+8to+ITXlXgD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ulsmu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10260;top:6276;height:1404;width:0;" filled="f" stroked="t" coordsize="21600,21600" o:gfxdata="UEsDBAoAAAAAAIdO4kAAAAAAAAAAAAAAAAAEAAAAZHJzL1BLAwQUAAAACACHTuJAajomGbgAAADa&#10;AAAADwAAAGRycy9kb3ducmV2LnhtbEVPy4rCMBTdD/gP4QqzEU10YJBq7EItuHDjC7eX5toWm5u2&#10;iY/x681iwOXhvOfp09biTp2vHGsYjxQI4tyZigsNx0M2nILwAdlg7Zg0/JGHdNH7mmNi3IN3dN+H&#10;QsQQ9glqKENoEil9XpJFP3INceQurrMYIuwKaTp8xHBby4lSv9JixbGhxIaWJeXX/c1q8NmJ2uw1&#10;yAfq/FM4mrSr7Rq1/u6P1QxEoGf4iP/dG6Mhbo1X4g2Qiz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jomGbgAAADaAAAA&#10;DwAAAAAAAAABACAAAAAiAAAAZHJzL2Rvd25yZXYueG1sUEsBAhQAFAAAAAgAh07iQDMvBZ47AAAA&#10;OQAAABAAAAAAAAAAAQAgAAAABwEAAGRycy9zaGFwZXhtbC54bWxQSwUGAAAAAAYABgBbAQAAsQMA&#10;AAAA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4680;top:7680;flip:x;height:0;width:5580;" filled="f" stroked="t" coordsize="21600,21600" o:gfxdata="UEsDBAoAAAAAAIdO4kAAAAAAAAAAAAAAAAAEAAAAZHJzL1BLAwQUAAAACACHTuJA/tOm07wAAADa&#10;AAAADwAAAGRycy9kb3ducmV2LnhtbEWPQWvCQBSE7wX/w/IEb3XXCKVGVxHRIhQKTdOen9nXJDT7&#10;NmS3Sfz3XUHocZiZb5jNbrSN6KnztWMNi7kCQVw4U3OpIf84PT6D8AHZYOOYNFzJw247edhgatzA&#10;79RnoRQRwj5FDVUIbSqlLyqy6OeuJY7et+sshii7UpoOhwi3jUyUepIWa44LFbZ0qKj4yX6thv3X&#10;63H51l+sa8yqzD+NzdVLovVsulBrEIHG8B++t89GwwpuV+INkN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7TptO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 w14:paraId="56D12687">
      <w:pPr>
        <w:spacing w:before="156" w:beforeLines="50" w:after="156" w:afterLines="50"/>
        <w:jc w:val="right"/>
        <w:rPr>
          <w:rFonts w:cs="黑体" w:asciiTheme="minorEastAsia" w:hAnsiTheme="minorEastAsia" w:eastAsiaTheme="minorEastAsia"/>
          <w:bCs/>
          <w:sz w:val="52"/>
          <w:szCs w:val="52"/>
          <w:highlight w:val="none"/>
        </w:rPr>
      </w:pPr>
      <w:r>
        <w:rPr>
          <w:rFonts w:hint="eastAsia" w:cs="黑体" w:asciiTheme="minorEastAsia" w:hAnsiTheme="minorEastAsia" w:eastAsiaTheme="minorEastAsia"/>
          <w:bCs/>
          <w:spacing w:val="30"/>
          <w:sz w:val="52"/>
          <w:szCs w:val="52"/>
          <w:highlight w:val="none"/>
        </w:rPr>
        <w:t>技术规范书</w:t>
      </w:r>
    </w:p>
    <w:p w14:paraId="6F2E9051">
      <w:pPr>
        <w:spacing w:before="156" w:beforeLines="50" w:after="156" w:afterLines="50"/>
        <w:jc w:val="right"/>
        <w:rPr>
          <w:rFonts w:cs="黑体" w:asciiTheme="minorEastAsia" w:hAnsiTheme="minorEastAsia" w:eastAsiaTheme="minorEastAsia"/>
          <w:bCs/>
          <w:spacing w:val="30"/>
          <w:sz w:val="52"/>
          <w:szCs w:val="52"/>
          <w:highlight w:val="none"/>
        </w:rPr>
      </w:pPr>
    </w:p>
    <w:p w14:paraId="1BFC8251">
      <w:pPr>
        <w:spacing w:before="156" w:beforeLines="50" w:after="156" w:afterLines="50"/>
        <w:ind w:left="0" w:leftChars="0" w:firstLine="0" w:firstLineChars="0"/>
        <w:jc w:val="both"/>
        <w:rPr>
          <w:rFonts w:cs="黑体" w:asciiTheme="minorEastAsia" w:hAnsiTheme="minorEastAsia" w:eastAsiaTheme="minorEastAsia"/>
          <w:sz w:val="32"/>
          <w:szCs w:val="32"/>
          <w:highlight w:val="none"/>
        </w:rPr>
      </w:pPr>
    </w:p>
    <w:tbl>
      <w:tblPr>
        <w:tblStyle w:val="23"/>
        <w:tblW w:w="8908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8"/>
      </w:tblGrid>
      <w:tr w14:paraId="0FCF724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0" w:hRule="atLeast"/>
        </w:trPr>
        <w:tc>
          <w:tcPr>
            <w:tcW w:w="8908" w:type="dxa"/>
            <w:vAlign w:val="center"/>
          </w:tcPr>
          <w:p w14:paraId="78C03570">
            <w:pPr>
              <w:spacing w:before="156" w:beforeLines="50" w:after="156" w:afterLines="50" w:line="360" w:lineRule="auto"/>
              <w:jc w:val="center"/>
              <w:rPr>
                <w:rFonts w:hint="eastAsia" w:cs="黑体" w:asciiTheme="minorEastAsia" w:hAnsiTheme="minorEastAsia" w:eastAsiaTheme="minorEastAsia"/>
                <w:sz w:val="32"/>
                <w:szCs w:val="32"/>
                <w:highlight w:val="none"/>
                <w:lang w:eastAsia="zh-CN"/>
              </w:rPr>
            </w:pPr>
          </w:p>
          <w:p w14:paraId="18BEA02B">
            <w:pPr>
              <w:pStyle w:val="2"/>
              <w:rPr>
                <w:rFonts w:hint="eastAsia"/>
                <w:lang w:eastAsia="zh-CN"/>
              </w:rPr>
            </w:pPr>
          </w:p>
          <w:p w14:paraId="7FCC92C1">
            <w:pPr>
              <w:pStyle w:val="2"/>
              <w:spacing w:line="360" w:lineRule="auto"/>
              <w:rPr>
                <w:rFonts w:hint="eastAsia"/>
                <w:lang w:eastAsia="zh-CN"/>
              </w:rPr>
            </w:pPr>
          </w:p>
          <w:p w14:paraId="571E4D4A">
            <w:pPr>
              <w:spacing w:before="156" w:beforeLines="50" w:after="156" w:afterLines="50" w:line="360" w:lineRule="auto"/>
              <w:ind w:left="0" w:leftChars="0" w:firstLine="0" w:firstLineChars="0"/>
              <w:jc w:val="center"/>
              <w:rPr>
                <w:rFonts w:cs="黑体" w:asciiTheme="minorEastAsia" w:hAnsiTheme="minorEastAsia" w:eastAsiaTheme="minorEastAsia"/>
                <w:sz w:val="32"/>
                <w:szCs w:val="32"/>
                <w:highlight w:val="none"/>
              </w:rPr>
            </w:pPr>
            <w:r>
              <w:rPr>
                <w:rFonts w:hint="eastAsia" w:cs="黑体" w:asciiTheme="minorEastAsia" w:hAnsiTheme="minorEastAsia" w:eastAsiaTheme="minorEastAsia"/>
                <w:sz w:val="32"/>
                <w:szCs w:val="32"/>
                <w:highlight w:val="none"/>
                <w:lang w:eastAsia="zh-CN"/>
              </w:rPr>
              <w:t>南方电网国际金融有限公司</w:t>
            </w:r>
          </w:p>
        </w:tc>
      </w:tr>
      <w:tr w14:paraId="35D043C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13" w:hRule="atLeast"/>
        </w:trPr>
        <w:tc>
          <w:tcPr>
            <w:tcW w:w="8908" w:type="dxa"/>
            <w:vAlign w:val="center"/>
          </w:tcPr>
          <w:p w14:paraId="45DD08C0">
            <w:pPr>
              <w:spacing w:before="156" w:beforeLines="50" w:after="156" w:afterLines="50" w:line="360" w:lineRule="auto"/>
              <w:jc w:val="center"/>
              <w:rPr>
                <w:rFonts w:cs="黑体" w:asciiTheme="minorEastAsia" w:hAnsiTheme="minorEastAsia" w:eastAsiaTheme="minorEastAsia"/>
                <w:spacing w:val="20"/>
                <w:sz w:val="32"/>
                <w:szCs w:val="32"/>
                <w:highlight w:val="none"/>
              </w:rPr>
            </w:pPr>
            <w:r>
              <w:rPr>
                <w:rFonts w:hint="eastAsia" w:cs="黑体" w:asciiTheme="minorEastAsia" w:hAnsiTheme="minorEastAsia" w:eastAsiaTheme="minorEastAsia"/>
                <w:spacing w:val="20"/>
                <w:sz w:val="32"/>
                <w:szCs w:val="32"/>
                <w:highlight w:val="none"/>
              </w:rPr>
              <w:t>202</w:t>
            </w:r>
            <w:r>
              <w:rPr>
                <w:rFonts w:hint="eastAsia" w:cs="黑体" w:asciiTheme="minorEastAsia" w:hAnsiTheme="minorEastAsia" w:eastAsiaTheme="minorEastAsia"/>
                <w:spacing w:val="20"/>
                <w:sz w:val="32"/>
                <w:szCs w:val="32"/>
                <w:highlight w:val="none"/>
                <w:lang w:val="en-US" w:eastAsia="zh-CN"/>
              </w:rPr>
              <w:t>6</w:t>
            </w:r>
            <w:r>
              <w:rPr>
                <w:rFonts w:hint="eastAsia" w:cs="黑体" w:asciiTheme="minorEastAsia" w:hAnsiTheme="minorEastAsia" w:eastAsiaTheme="minorEastAsia"/>
                <w:spacing w:val="20"/>
                <w:sz w:val="32"/>
                <w:szCs w:val="32"/>
                <w:highlight w:val="none"/>
              </w:rPr>
              <w:t>年</w:t>
            </w:r>
            <w:r>
              <w:rPr>
                <w:rFonts w:hint="eastAsia" w:cs="黑体" w:asciiTheme="minorEastAsia" w:hAnsiTheme="minorEastAsia" w:eastAsiaTheme="minorEastAsia"/>
                <w:spacing w:val="20"/>
                <w:sz w:val="32"/>
                <w:szCs w:val="32"/>
                <w:highlight w:val="none"/>
                <w:lang w:val="en-US" w:eastAsia="zh-CN"/>
              </w:rPr>
              <w:t>3</w:t>
            </w:r>
            <w:r>
              <w:rPr>
                <w:rFonts w:hint="eastAsia" w:cs="黑体" w:asciiTheme="minorEastAsia" w:hAnsiTheme="minorEastAsia" w:eastAsiaTheme="minorEastAsia"/>
                <w:spacing w:val="20"/>
                <w:sz w:val="32"/>
                <w:szCs w:val="32"/>
                <w:highlight w:val="none"/>
              </w:rPr>
              <w:t>月</w:t>
            </w:r>
          </w:p>
        </w:tc>
      </w:tr>
    </w:tbl>
    <w:sdt>
      <w:sdt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zh-CN"/>
        </w:rPr>
        <w:id w:val="-1280333414"/>
      </w:sdtPr>
      <w:sdtEnd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zh-CN"/>
        </w:rPr>
      </w:sdtEndPr>
      <w:sdtContent>
        <w:p w14:paraId="36244DFC">
          <w:pPr>
            <w:pStyle w:val="46"/>
            <w:spacing w:line="360" w:lineRule="auto"/>
            <w:ind w:firstLine="480"/>
            <w:jc w:val="center"/>
            <w:rPr>
              <w:color w:val="auto"/>
              <w:sz w:val="40"/>
            </w:rPr>
          </w:pPr>
          <w:r>
            <w:rPr>
              <w:color w:val="auto"/>
              <w:sz w:val="40"/>
              <w:lang w:val="zh-CN"/>
            </w:rPr>
            <w:t>目录</w:t>
          </w:r>
        </w:p>
        <w:p w14:paraId="71F1ED45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TOC \o "1-3" \h \z \u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HYPERLINK \l _Toc13490 </w:instrText>
          </w:r>
          <w:r>
            <w:rPr>
              <w:szCs w:val="24"/>
            </w:rPr>
            <w:fldChar w:fldCharType="separate"/>
          </w:r>
          <w:r>
            <w:rPr>
              <w:rFonts w:hint="default"/>
            </w:rPr>
            <w:t xml:space="preserve">1. </w:t>
          </w:r>
          <w:r>
            <w:rPr>
              <w:rFonts w:hint="eastAsia"/>
            </w:rPr>
            <w:t>总则</w:t>
          </w:r>
          <w:r>
            <w:tab/>
          </w:r>
          <w:r>
            <w:fldChar w:fldCharType="begin"/>
          </w:r>
          <w:r>
            <w:instrText xml:space="preserve"> PAGEREF _Toc13490 \h </w:instrText>
          </w:r>
          <w:r>
            <w:fldChar w:fldCharType="separate"/>
          </w:r>
          <w:r>
            <w:t>- 1 -</w:t>
          </w:r>
          <w:r>
            <w:fldChar w:fldCharType="end"/>
          </w:r>
          <w:r>
            <w:rPr>
              <w:szCs w:val="24"/>
            </w:rPr>
            <w:fldChar w:fldCharType="end"/>
          </w:r>
        </w:p>
        <w:p w14:paraId="090EF64D">
          <w:pPr>
            <w:pStyle w:val="22"/>
            <w:tabs>
              <w:tab w:val="right" w:leader="dot" w:pos="9298"/>
              <w:tab w:val="clear" w:pos="105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_Toc27729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  <w:bCs/>
              <w:szCs w:val="28"/>
            </w:rPr>
            <w:t xml:space="preserve">1.1. </w:t>
          </w:r>
          <w:r>
            <w:rPr>
              <w:rFonts w:hint="eastAsia" w:asciiTheme="majorEastAsia" w:hAnsiTheme="majorEastAsia" w:eastAsiaTheme="majorEastAsia" w:cstheme="majorEastAsia"/>
              <w:bCs/>
              <w:szCs w:val="28"/>
            </w:rPr>
            <w:t>概述</w:t>
          </w:r>
          <w:r>
            <w:tab/>
          </w:r>
          <w:r>
            <w:fldChar w:fldCharType="begin"/>
          </w:r>
          <w:r>
            <w:instrText xml:space="preserve"> PAGEREF _Toc27729 \h </w:instrText>
          </w:r>
          <w:r>
            <w:fldChar w:fldCharType="separate"/>
          </w:r>
          <w:r>
            <w:t>- 1 -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6ED15BA9">
          <w:pPr>
            <w:pStyle w:val="22"/>
            <w:tabs>
              <w:tab w:val="right" w:leader="dot" w:pos="9298"/>
              <w:tab w:val="clear" w:pos="105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_Toc25179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  <w:bCs/>
              <w:szCs w:val="28"/>
              <w:lang w:val="en-US" w:eastAsia="zh-CN"/>
            </w:rPr>
            <w:t xml:space="preserve">1.2. </w:t>
          </w:r>
          <w:r>
            <w:rPr>
              <w:rFonts w:hint="eastAsia" w:asciiTheme="majorEastAsia" w:hAnsiTheme="majorEastAsia" w:eastAsiaTheme="majorEastAsia" w:cstheme="majorEastAsia"/>
              <w:bCs/>
              <w:szCs w:val="28"/>
              <w:lang w:val="en-US" w:eastAsia="zh-CN"/>
            </w:rPr>
            <w:t>遵循标准</w:t>
          </w:r>
          <w:r>
            <w:tab/>
          </w:r>
          <w:r>
            <w:fldChar w:fldCharType="begin"/>
          </w:r>
          <w:r>
            <w:instrText xml:space="preserve"> PAGEREF _Toc25179 \h </w:instrText>
          </w:r>
          <w:r>
            <w:fldChar w:fldCharType="separate"/>
          </w:r>
          <w:r>
            <w:t>- 1 -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3880A34E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_Toc30142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 xml:space="preserve">2. </w:t>
          </w:r>
          <w:r>
            <w:rPr>
              <w:rFonts w:hint="eastAsia"/>
            </w:rPr>
            <w:t>项目概述</w:t>
          </w:r>
          <w:r>
            <w:tab/>
          </w:r>
          <w:r>
            <w:fldChar w:fldCharType="begin"/>
          </w:r>
          <w:r>
            <w:instrText xml:space="preserve"> PAGEREF _Toc30142 \h </w:instrText>
          </w:r>
          <w:r>
            <w:fldChar w:fldCharType="separate"/>
          </w:r>
          <w:r>
            <w:t>- 1 -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307BEF2C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_Toc13957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 xml:space="preserve">3. </w:t>
          </w:r>
          <w:r>
            <w:rPr>
              <w:rFonts w:hint="eastAsia"/>
            </w:rPr>
            <w:t>工作范围</w:t>
          </w:r>
          <w:r>
            <w:tab/>
          </w:r>
          <w:r>
            <w:fldChar w:fldCharType="begin"/>
          </w:r>
          <w:r>
            <w:instrText xml:space="preserve"> PAGEREF _Toc13957 \h </w:instrText>
          </w:r>
          <w:r>
            <w:fldChar w:fldCharType="separate"/>
          </w:r>
          <w:r>
            <w:t>- 2 -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19CB01DB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_Toc12560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 </w:t>
          </w:r>
          <w:r>
            <w:rPr>
              <w:rFonts w:hint="eastAsia"/>
              <w:lang w:val="en-US" w:eastAsia="zh-CN"/>
            </w:rPr>
            <w:t>采购需求</w:t>
          </w:r>
          <w:r>
            <w:tab/>
          </w:r>
          <w:r>
            <w:fldChar w:fldCharType="begin"/>
          </w:r>
          <w:r>
            <w:instrText xml:space="preserve"> PAGEREF _Toc12560 \h </w:instrText>
          </w:r>
          <w:r>
            <w:fldChar w:fldCharType="separate"/>
          </w:r>
          <w:r>
            <w:t>- 2 -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2C1583C3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_Toc16829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eastAsia="宋体"/>
              <w:lang w:val="en-US" w:eastAsia="zh-CN"/>
            </w:rPr>
            <w:t xml:space="preserve">5. </w:t>
          </w:r>
          <w:r>
            <w:rPr>
              <w:rFonts w:hint="eastAsia" w:eastAsia="宋体"/>
              <w:lang w:val="sv-SE" w:eastAsia="zh-CN"/>
            </w:rPr>
            <w:t>功能范围</w:t>
          </w:r>
          <w:r>
            <w:tab/>
          </w:r>
          <w:r>
            <w:fldChar w:fldCharType="begin"/>
          </w:r>
          <w:r>
            <w:instrText xml:space="preserve"> PAGEREF _Toc16829 \h </w:instrText>
          </w:r>
          <w:r>
            <w:fldChar w:fldCharType="separate"/>
          </w:r>
          <w:r>
            <w:t>- 2 -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430B17E8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_Toc10751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eastAsia="宋体"/>
              <w:lang w:val="en-US" w:eastAsia="zh-CN"/>
            </w:rPr>
            <w:t xml:space="preserve">6. </w:t>
          </w:r>
          <w:r>
            <w:rPr>
              <w:rFonts w:hint="eastAsia" w:eastAsia="宋体"/>
              <w:lang w:val="en-US" w:eastAsia="zh-CN"/>
            </w:rPr>
            <w:t>协同办公系统运维服务内容</w:t>
          </w:r>
          <w:r>
            <w:tab/>
          </w:r>
          <w:r>
            <w:fldChar w:fldCharType="begin"/>
          </w:r>
          <w:r>
            <w:instrText xml:space="preserve"> PAGEREF _Toc10751 \h </w:instrText>
          </w:r>
          <w:r>
            <w:fldChar w:fldCharType="separate"/>
          </w:r>
          <w:r>
            <w:t>- 3 -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027104AE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_Toc4302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 xml:space="preserve">7. </w:t>
          </w:r>
          <w:r>
            <w:rPr>
              <w:rFonts w:hint="eastAsia"/>
            </w:rPr>
            <w:t>项目团队及职责</w:t>
          </w:r>
          <w:r>
            <w:tab/>
          </w:r>
          <w:r>
            <w:fldChar w:fldCharType="begin"/>
          </w:r>
          <w:r>
            <w:instrText xml:space="preserve"> PAGEREF _Toc4302 \h </w:instrText>
          </w:r>
          <w:r>
            <w:fldChar w:fldCharType="separate"/>
          </w:r>
          <w:r>
            <w:t>- 3 -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07979CF1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_Toc29265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宋体" w:hAnsi="宋体" w:eastAsia="宋体" w:cs="宋体"/>
              <w:szCs w:val="24"/>
            </w:rPr>
            <w:t xml:space="preserve">8. </w:t>
          </w:r>
          <w:r>
            <w:rPr>
              <w:rFonts w:hint="eastAsia" w:ascii="Times New Roman" w:hAnsi="Times New Roman" w:cs="Times New Roman"/>
              <w:bCs/>
              <w:szCs w:val="32"/>
              <w:lang w:val="en-US" w:eastAsia="zh-CN"/>
            </w:rPr>
            <w:t>项目验收</w:t>
          </w:r>
          <w:r>
            <w:tab/>
          </w:r>
          <w:r>
            <w:fldChar w:fldCharType="begin"/>
          </w:r>
          <w:r>
            <w:instrText xml:space="preserve"> PAGEREF _Toc29265 \h </w:instrText>
          </w:r>
          <w:r>
            <w:fldChar w:fldCharType="separate"/>
          </w:r>
          <w:r>
            <w:t>- 4 -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26B3610B">
          <w:pPr>
            <w:pStyle w:val="21"/>
            <w:tabs>
              <w:tab w:val="right" w:leader="dot" w:pos="9298"/>
              <w:tab w:val="clear" w:pos="630"/>
              <w:tab w:val="clear" w:pos="9288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_Toc28136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  <w:bCs/>
              <w:szCs w:val="32"/>
              <w:lang w:val="en-US" w:eastAsia="zh-CN"/>
            </w:rPr>
            <w:t xml:space="preserve">9. </w:t>
          </w:r>
          <w:r>
            <w:rPr>
              <w:rFonts w:hint="eastAsia" w:ascii="Times New Roman" w:hAnsi="Times New Roman" w:cs="Times New Roman"/>
              <w:bCs/>
              <w:szCs w:val="32"/>
              <w:lang w:val="en-US" w:eastAsia="zh-CN"/>
            </w:rPr>
            <w:t>交付物：</w:t>
          </w:r>
          <w:r>
            <w:tab/>
          </w:r>
          <w:r>
            <w:fldChar w:fldCharType="begin"/>
          </w:r>
          <w:r>
            <w:instrText xml:space="preserve"> PAGEREF _Toc28136 \h </w:instrText>
          </w:r>
          <w:r>
            <w:fldChar w:fldCharType="separate"/>
          </w:r>
          <w:r>
            <w:t>- 4 -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 w14:paraId="4B657950">
          <w:pPr>
            <w:spacing w:line="360" w:lineRule="auto"/>
            <w:ind w:firstLine="480"/>
            <w:jc w:val="left"/>
            <w:sectPr>
              <w:headerReference r:id="rId5" w:type="default"/>
              <w:footerReference r:id="rId6" w:type="default"/>
              <w:pgSz w:w="11906" w:h="16838"/>
              <w:pgMar w:top="1418" w:right="1474" w:bottom="1701" w:left="1134" w:header="851" w:footer="964" w:gutter="0"/>
              <w:pgNumType w:fmt="numberInDash"/>
              <w:cols w:space="425" w:num="1"/>
              <w:docGrid w:type="lines" w:linePitch="326" w:charSpace="0"/>
            </w:sectPr>
          </w:pPr>
          <w:r>
            <w:rPr>
              <w:bCs/>
              <w:lang w:val="zh-CN"/>
            </w:rPr>
            <w:fldChar w:fldCharType="end"/>
          </w:r>
        </w:p>
      </w:sdtContent>
    </w:sdt>
    <w:p w14:paraId="55C0DC9C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</w:pPr>
      <w:bookmarkStart w:id="0" w:name="_Toc11974"/>
      <w:bookmarkStart w:id="1" w:name="_Toc6370"/>
      <w:bookmarkStart w:id="2" w:name="_Toc463821220"/>
      <w:bookmarkStart w:id="3" w:name="_Toc13490"/>
      <w:r>
        <w:rPr>
          <w:rFonts w:hint="eastAsia"/>
        </w:rPr>
        <w:t>总则</w:t>
      </w:r>
      <w:bookmarkEnd w:id="0"/>
      <w:bookmarkEnd w:id="1"/>
      <w:bookmarkEnd w:id="2"/>
      <w:bookmarkEnd w:id="3"/>
    </w:p>
    <w:p w14:paraId="3314207F">
      <w:pPr>
        <w:pStyle w:val="2"/>
        <w:numPr>
          <w:ilvl w:val="1"/>
          <w:numId w:val="3"/>
        </w:numPr>
        <w:spacing w:before="163" w:beforeLines="50" w:line="360" w:lineRule="auto"/>
        <w:ind w:left="567" w:leftChars="0" w:hanging="567" w:firstLineChars="0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</w:pPr>
      <w:bookmarkStart w:id="4" w:name="_Toc27729"/>
      <w:bookmarkStart w:id="5" w:name="_Toc351034216"/>
      <w:bookmarkStart w:id="6" w:name="_Toc8229"/>
      <w:bookmarkStart w:id="7" w:name="_Toc371602886"/>
      <w:bookmarkStart w:id="8" w:name="_Toc4876"/>
      <w:bookmarkStart w:id="9" w:name="_Toc463821221"/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概述</w:t>
      </w:r>
      <w:bookmarkEnd w:id="4"/>
      <w:bookmarkEnd w:id="5"/>
      <w:bookmarkEnd w:id="6"/>
      <w:bookmarkEnd w:id="7"/>
      <w:bookmarkEnd w:id="8"/>
      <w:bookmarkEnd w:id="9"/>
    </w:p>
    <w:p w14:paraId="04E1D78F">
      <w:pPr>
        <w:numPr>
          <w:ilvl w:val="0"/>
          <w:numId w:val="4"/>
        </w:numPr>
        <w:spacing w:line="360" w:lineRule="auto"/>
        <w:ind w:left="904" w:leftChars="200" w:hangingChars="177"/>
      </w:pPr>
      <w:bookmarkStart w:id="10" w:name="_Toc324842987"/>
      <w:bookmarkStart w:id="11" w:name="_Toc320542605"/>
      <w:bookmarkStart w:id="12" w:name="_Toc345576074"/>
      <w:r>
        <w:rPr>
          <w:rFonts w:hint="eastAsia"/>
        </w:rPr>
        <w:t>本</w:t>
      </w:r>
      <w:r>
        <w:rPr>
          <w:rFonts w:hint="eastAsia"/>
          <w:lang w:eastAsia="zh-CN"/>
        </w:rPr>
        <w:t>技术规范书</w:t>
      </w:r>
      <w:r>
        <w:rPr>
          <w:rFonts w:hint="eastAsia"/>
        </w:rPr>
        <w:t>适用于</w:t>
      </w:r>
      <w:r>
        <w:rPr>
          <w:rFonts w:hint="eastAsia" w:ascii="宋体" w:hAnsi="宋体" w:cs="宋体"/>
          <w:lang w:eastAsia="zh-CN"/>
        </w:rPr>
        <w:t>国际金融有限公司2026年协同办公系统软件许可采购项目</w:t>
      </w:r>
      <w:r>
        <w:rPr>
          <w:rFonts w:hint="eastAsia"/>
        </w:rPr>
        <w:t>。</w:t>
      </w:r>
    </w:p>
    <w:p w14:paraId="47B19B78">
      <w:pPr>
        <w:numPr>
          <w:ilvl w:val="0"/>
          <w:numId w:val="4"/>
        </w:numPr>
        <w:spacing w:line="360" w:lineRule="auto"/>
        <w:ind w:left="904" w:leftChars="200" w:hangingChars="177"/>
      </w:pPr>
      <w:r>
        <w:rPr>
          <w:rFonts w:hint="eastAsia"/>
        </w:rPr>
        <w:t>本</w:t>
      </w:r>
      <w:r>
        <w:rPr>
          <w:rFonts w:hint="eastAsia"/>
          <w:lang w:eastAsia="zh-CN"/>
        </w:rPr>
        <w:t>技术规范书</w:t>
      </w:r>
      <w:r>
        <w:rPr>
          <w:rFonts w:hint="eastAsia"/>
        </w:rPr>
        <w:t>提出的是最低限度的技术要求</w:t>
      </w:r>
      <w:r>
        <w:t xml:space="preserve">, </w:t>
      </w:r>
      <w:r>
        <w:rPr>
          <w:rFonts w:hint="eastAsia"/>
        </w:rPr>
        <w:t>并未对一切技术细节做出规定</w:t>
      </w:r>
      <w:r>
        <w:t xml:space="preserve">, </w:t>
      </w:r>
      <w:r>
        <w:rPr>
          <w:rFonts w:hint="eastAsia"/>
        </w:rPr>
        <w:t>也未充分引述有关标准和规范的条文</w:t>
      </w:r>
      <w:r>
        <w:t xml:space="preserve">, </w:t>
      </w:r>
      <w:r>
        <w:rPr>
          <w:rFonts w:hint="eastAsia"/>
          <w:lang w:eastAsia="zh-CN"/>
        </w:rPr>
        <w:t>乙方</w:t>
      </w:r>
      <w:r>
        <w:rPr>
          <w:rFonts w:hint="eastAsia"/>
        </w:rPr>
        <w:t>应提供符合本</w:t>
      </w:r>
      <w:r>
        <w:rPr>
          <w:rFonts w:hint="eastAsia"/>
          <w:lang w:eastAsia="zh-CN"/>
        </w:rPr>
        <w:t>技术规范书</w:t>
      </w:r>
      <w:r>
        <w:rPr>
          <w:rFonts w:hint="eastAsia"/>
        </w:rPr>
        <w:t>和工业标准的优质产品。</w:t>
      </w:r>
    </w:p>
    <w:p w14:paraId="51CDADCF">
      <w:pPr>
        <w:numPr>
          <w:ilvl w:val="0"/>
          <w:numId w:val="4"/>
        </w:numPr>
        <w:spacing w:line="360" w:lineRule="auto"/>
        <w:ind w:left="904" w:leftChars="200" w:hangingChars="177"/>
      </w:pPr>
      <w:r>
        <w:rPr>
          <w:rFonts w:hint="eastAsia"/>
        </w:rPr>
        <w:t>本</w:t>
      </w:r>
      <w:r>
        <w:rPr>
          <w:rFonts w:hint="eastAsia"/>
          <w:lang w:eastAsia="zh-CN"/>
        </w:rPr>
        <w:t>技术规范书</w:t>
      </w:r>
      <w:r>
        <w:rPr>
          <w:rFonts w:hint="eastAsia"/>
        </w:rPr>
        <w:t>提出了本项目需求的广度、深度和相应的技术指标要求，可供</w:t>
      </w:r>
      <w:r>
        <w:rPr>
          <w:rFonts w:hint="eastAsia"/>
          <w:lang w:eastAsia="zh-CN"/>
        </w:rPr>
        <w:t>乙方</w:t>
      </w:r>
      <w:r>
        <w:rPr>
          <w:rFonts w:hint="eastAsia"/>
        </w:rPr>
        <w:t>编写</w:t>
      </w:r>
      <w:r>
        <w:rPr>
          <w:rFonts w:hint="eastAsia"/>
          <w:lang w:eastAsia="zh-CN"/>
        </w:rPr>
        <w:t>谈判</w:t>
      </w:r>
      <w:r>
        <w:rPr>
          <w:rFonts w:hint="eastAsia"/>
        </w:rPr>
        <w:t>文件之用。</w:t>
      </w:r>
    </w:p>
    <w:p w14:paraId="06A99CB5">
      <w:pPr>
        <w:numPr>
          <w:ilvl w:val="0"/>
          <w:numId w:val="4"/>
        </w:numPr>
        <w:spacing w:line="360" w:lineRule="auto"/>
        <w:ind w:left="904" w:leftChars="200" w:hangingChars="177"/>
      </w:pPr>
      <w:r>
        <w:rPr>
          <w:rFonts w:hint="eastAsia"/>
        </w:rPr>
        <w:t>对于本</w:t>
      </w:r>
      <w:r>
        <w:rPr>
          <w:rFonts w:hint="eastAsia"/>
          <w:lang w:eastAsia="zh-CN"/>
        </w:rPr>
        <w:t>技术规范书</w:t>
      </w:r>
      <w:r>
        <w:rPr>
          <w:rFonts w:hint="eastAsia"/>
        </w:rPr>
        <w:t>中的某些部分，</w:t>
      </w:r>
      <w:r>
        <w:rPr>
          <w:rFonts w:hint="eastAsia"/>
          <w:lang w:eastAsia="zh-CN"/>
        </w:rPr>
        <w:t>乙方</w:t>
      </w:r>
      <w:r>
        <w:rPr>
          <w:rFonts w:hint="eastAsia"/>
        </w:rPr>
        <w:t>如不能满足要求，或有其它替代方案，或有其它修改建议，应在应答文件中指出其必须进行修改的理由以及与原要求的差别，否则，</w:t>
      </w:r>
      <w:r>
        <w:rPr>
          <w:rFonts w:hint="eastAsia"/>
          <w:lang w:eastAsia="zh-CN"/>
        </w:rPr>
        <w:t>甲方</w:t>
      </w:r>
      <w:r>
        <w:rPr>
          <w:rFonts w:hint="eastAsia"/>
        </w:rPr>
        <w:t>即认为</w:t>
      </w:r>
      <w:r>
        <w:rPr>
          <w:rFonts w:hint="eastAsia"/>
          <w:lang w:eastAsia="zh-CN"/>
        </w:rPr>
        <w:t>乙方</w:t>
      </w:r>
      <w:r>
        <w:rPr>
          <w:rFonts w:hint="eastAsia"/>
        </w:rPr>
        <w:t>可以满足技术规范书的要求。</w:t>
      </w:r>
    </w:p>
    <w:bookmarkEnd w:id="10"/>
    <w:bookmarkEnd w:id="11"/>
    <w:bookmarkEnd w:id="12"/>
    <w:p w14:paraId="6BDD5253">
      <w:pPr>
        <w:pStyle w:val="2"/>
        <w:numPr>
          <w:ilvl w:val="1"/>
          <w:numId w:val="3"/>
        </w:numPr>
        <w:spacing w:before="163" w:beforeLines="50" w:line="360" w:lineRule="auto"/>
        <w:ind w:left="567" w:leftChars="0" w:hanging="567" w:firstLineChars="0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</w:pPr>
      <w:bookmarkStart w:id="13" w:name="_Toc383431315"/>
      <w:bookmarkEnd w:id="13"/>
      <w:bookmarkStart w:id="14" w:name="_Toc383431316"/>
      <w:bookmarkEnd w:id="14"/>
      <w:bookmarkStart w:id="15" w:name="_Toc383424369"/>
      <w:bookmarkEnd w:id="15"/>
      <w:bookmarkStart w:id="16" w:name="_Toc383424370"/>
      <w:bookmarkEnd w:id="16"/>
      <w:bookmarkStart w:id="17" w:name="_Toc383424368"/>
      <w:bookmarkEnd w:id="17"/>
      <w:bookmarkStart w:id="18" w:name="_Toc383431317"/>
      <w:bookmarkEnd w:id="18"/>
      <w:bookmarkStart w:id="19" w:name="_Toc25179"/>
      <w:bookmarkStart w:id="20" w:name="_Toc17926"/>
      <w:bookmarkStart w:id="21" w:name="_Toc256406050"/>
      <w:bookmarkStart w:id="22" w:name="_Toc463821223"/>
      <w:bookmarkStart w:id="23" w:name="_Toc382752459"/>
      <w:bookmarkStart w:id="24" w:name="_Toc105396784"/>
      <w:bookmarkStart w:id="25" w:name="_Toc382769063"/>
      <w:bookmarkStart w:id="26" w:name="_Toc5004"/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  <w:t>遵循标准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04B7C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/>
          <w:szCs w:val="20"/>
        </w:rPr>
      </w:pPr>
      <w:bookmarkStart w:id="27" w:name="_Toc318450952"/>
      <w:bookmarkStart w:id="28" w:name="_Toc345576078"/>
      <w:bookmarkStart w:id="29" w:name="_Toc255814298"/>
      <w:bookmarkStart w:id="30" w:name="_Toc32741"/>
      <w:bookmarkStart w:id="31" w:name="_Toc371602891"/>
      <w:bookmarkStart w:id="32" w:name="_Toc21054"/>
      <w:bookmarkStart w:id="33" w:name="_Toc303694068"/>
      <w:bookmarkStart w:id="34" w:name="_Toc324412214"/>
      <w:bookmarkStart w:id="35" w:name="_Toc351034221"/>
      <w:r>
        <w:rPr>
          <w:rFonts w:hint="eastAsia" w:ascii="宋体" w:hAnsi="宋体"/>
        </w:rPr>
        <w:t>除本</w:t>
      </w:r>
      <w:r>
        <w:rPr>
          <w:rFonts w:hint="eastAsia" w:ascii="宋体" w:hAnsi="宋体"/>
          <w:lang w:eastAsia="zh-CN"/>
        </w:rPr>
        <w:t>采购</w:t>
      </w:r>
      <w:r>
        <w:rPr>
          <w:rFonts w:hint="eastAsia" w:ascii="宋体" w:hAnsi="宋体"/>
        </w:rPr>
        <w:t>书另有说明外，</w:t>
      </w:r>
      <w:r>
        <w:rPr>
          <w:rFonts w:hint="eastAsia" w:ascii="宋体" w:hAnsi="宋体"/>
          <w:lang w:eastAsia="zh-CN"/>
        </w:rPr>
        <w:t>乙方</w:t>
      </w:r>
      <w:r>
        <w:rPr>
          <w:rFonts w:hint="eastAsia" w:ascii="宋体" w:hAnsi="宋体"/>
        </w:rPr>
        <w:t>提供的软件应按照下列标准进行设计、制造、检验和安装。所用的标准必须是最新版本。如果这些标准的内容有不同之处时，应按照最高标准的条款执行或按双方协商同意的标准执行。如果</w:t>
      </w:r>
      <w:r>
        <w:rPr>
          <w:rFonts w:hint="eastAsia" w:ascii="宋体" w:hAnsi="宋体"/>
          <w:lang w:eastAsia="zh-CN"/>
        </w:rPr>
        <w:t>乙方</w:t>
      </w:r>
      <w:r>
        <w:rPr>
          <w:rFonts w:hint="eastAsia" w:ascii="宋体" w:hAnsi="宋体"/>
        </w:rPr>
        <w:t>选用本条件书以外的标准时，需提交这种替换标准相当于或优于本条件书规定的标准的说明。标准如下：</w:t>
      </w:r>
    </w:p>
    <w:p w14:paraId="24FB88D4">
      <w:pPr>
        <w:numPr>
          <w:ilvl w:val="0"/>
          <w:numId w:val="5"/>
        </w:numPr>
        <w:spacing w:line="360" w:lineRule="auto"/>
        <w:ind w:left="0" w:firstLine="480"/>
        <w:rPr>
          <w:rFonts w:ascii="宋体" w:hAnsi="宋体"/>
        </w:rPr>
      </w:pPr>
      <w:r>
        <w:rPr>
          <w:rFonts w:hint="eastAsia" w:ascii="宋体" w:hAnsi="宋体"/>
        </w:rPr>
        <w:t>《信息安全等级保护管理办法》（公通字</w:t>
      </w:r>
      <w:r>
        <w:rPr>
          <w:rFonts w:ascii="宋体" w:hAnsi="宋体"/>
        </w:rPr>
        <w:t xml:space="preserve"> [2007]43</w:t>
      </w:r>
      <w:r>
        <w:rPr>
          <w:rFonts w:hint="eastAsia" w:ascii="宋体" w:hAnsi="宋体"/>
        </w:rPr>
        <w:t>号）</w:t>
      </w:r>
    </w:p>
    <w:p w14:paraId="55238375">
      <w:pPr>
        <w:numPr>
          <w:ilvl w:val="0"/>
          <w:numId w:val="5"/>
        </w:numPr>
        <w:spacing w:line="360" w:lineRule="auto"/>
        <w:ind w:left="0" w:firstLine="480"/>
        <w:rPr>
          <w:rFonts w:ascii="宋体" w:hAnsi="宋体"/>
        </w:rPr>
      </w:pPr>
      <w:r>
        <w:rPr>
          <w:rFonts w:hint="eastAsia" w:ascii="宋体" w:hAnsi="宋体"/>
        </w:rPr>
        <w:t>《信息安全技术信息系统安全等级保护基本要求》（</w:t>
      </w:r>
      <w:r>
        <w:rPr>
          <w:rFonts w:ascii="宋体" w:hAnsi="宋体"/>
        </w:rPr>
        <w:t>GB/T 22239-2008</w:t>
      </w:r>
      <w:r>
        <w:rPr>
          <w:rFonts w:hint="eastAsia" w:ascii="宋体" w:hAnsi="宋体"/>
        </w:rPr>
        <w:t>）</w:t>
      </w:r>
    </w:p>
    <w:p w14:paraId="1B6BB03D">
      <w:pPr>
        <w:numPr>
          <w:ilvl w:val="0"/>
          <w:numId w:val="5"/>
        </w:numPr>
        <w:spacing w:line="360" w:lineRule="auto"/>
        <w:ind w:left="0" w:firstLine="480"/>
        <w:rPr>
          <w:rFonts w:ascii="宋体" w:hAnsi="宋体"/>
        </w:rPr>
      </w:pPr>
      <w:r>
        <w:rPr>
          <w:rFonts w:hint="eastAsia" w:ascii="宋体" w:hAnsi="宋体"/>
        </w:rPr>
        <w:t>《信息系统通用安全技术要求》（</w:t>
      </w:r>
      <w:r>
        <w:rPr>
          <w:rFonts w:ascii="宋体" w:hAnsi="宋体"/>
        </w:rPr>
        <w:t>GB/T20271-2006</w:t>
      </w:r>
      <w:r>
        <w:rPr>
          <w:rFonts w:hint="eastAsia" w:ascii="宋体" w:hAnsi="宋体"/>
        </w:rPr>
        <w:t>）</w:t>
      </w:r>
    </w:p>
    <w:p w14:paraId="4E000D94">
      <w:pPr>
        <w:numPr>
          <w:ilvl w:val="0"/>
          <w:numId w:val="5"/>
        </w:numPr>
        <w:spacing w:line="360" w:lineRule="auto"/>
        <w:ind w:left="0" w:firstLine="480"/>
        <w:rPr>
          <w:rFonts w:ascii="宋体" w:hAnsi="宋体"/>
        </w:rPr>
      </w:pPr>
      <w:r>
        <w:rPr>
          <w:rFonts w:ascii="宋体" w:hAnsi="宋体"/>
        </w:rPr>
        <w:t>《电力行业信息系统安全等级保护基本要求》（电监信息[2012]62号）</w:t>
      </w:r>
      <w:r>
        <w:rPr>
          <w:rFonts w:hint="eastAsia" w:ascii="宋体" w:hAnsi="宋体"/>
        </w:rPr>
        <w:t>；</w:t>
      </w:r>
    </w:p>
    <w:p w14:paraId="0A255CB3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480"/>
        <w:rPr>
          <w:rFonts w:ascii="宋体" w:hAnsi="宋体"/>
        </w:rPr>
      </w:pPr>
      <w:r>
        <w:rPr>
          <w:rFonts w:hint="eastAsia" w:ascii="宋体" w:hAnsi="宋体"/>
        </w:rPr>
        <w:t>《</w:t>
      </w:r>
      <w:r>
        <w:rPr>
          <w:rFonts w:ascii="宋体" w:hAnsi="宋体"/>
        </w:rPr>
        <w:t>南方电网公司信息化工作管理规定</w:t>
      </w:r>
      <w:r>
        <w:rPr>
          <w:rFonts w:hint="eastAsia" w:ascii="宋体" w:hAnsi="宋体"/>
        </w:rPr>
        <w:t>》</w:t>
      </w:r>
    </w:p>
    <w:p w14:paraId="35EACE2B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480"/>
        <w:rPr>
          <w:rFonts w:ascii="宋体" w:hAnsi="宋体"/>
        </w:rPr>
      </w:pPr>
      <w:r>
        <w:rPr>
          <w:rFonts w:hint="eastAsia" w:ascii="宋体" w:hAnsi="宋体"/>
        </w:rPr>
        <w:t>《</w:t>
      </w:r>
      <w:r>
        <w:rPr>
          <w:rFonts w:ascii="宋体" w:hAnsi="宋体"/>
        </w:rPr>
        <w:t>南方电网公司信息化项目管理办法</w:t>
      </w:r>
      <w:r>
        <w:rPr>
          <w:rFonts w:hint="eastAsia" w:ascii="宋体" w:hAnsi="宋体"/>
        </w:rPr>
        <w:t>》</w:t>
      </w:r>
    </w:p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14:paraId="4C681A00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</w:pPr>
      <w:bookmarkStart w:id="36" w:name="_Toc167961157"/>
      <w:bookmarkEnd w:id="36"/>
      <w:bookmarkStart w:id="37" w:name="_Toc168034373"/>
      <w:bookmarkEnd w:id="37"/>
      <w:bookmarkStart w:id="38" w:name="_Toc168034375"/>
      <w:bookmarkEnd w:id="38"/>
      <w:bookmarkStart w:id="39" w:name="_Toc168033018"/>
      <w:bookmarkEnd w:id="39"/>
      <w:bookmarkStart w:id="40" w:name="_Toc168034374"/>
      <w:bookmarkEnd w:id="40"/>
      <w:bookmarkStart w:id="41" w:name="_Toc167961158"/>
      <w:bookmarkEnd w:id="41"/>
      <w:bookmarkStart w:id="42" w:name="_Toc167961159"/>
      <w:bookmarkEnd w:id="42"/>
      <w:bookmarkStart w:id="43" w:name="_Toc167961156"/>
      <w:bookmarkEnd w:id="43"/>
      <w:bookmarkStart w:id="44" w:name="_Toc168033019"/>
      <w:bookmarkEnd w:id="44"/>
      <w:bookmarkStart w:id="45" w:name="_Toc168033020"/>
      <w:bookmarkEnd w:id="45"/>
      <w:bookmarkStart w:id="46" w:name="_Toc168034376"/>
      <w:bookmarkEnd w:id="46"/>
      <w:bookmarkStart w:id="47" w:name="_Toc168033021"/>
      <w:bookmarkEnd w:id="47"/>
      <w:bookmarkStart w:id="48" w:name="_Toc31767"/>
      <w:bookmarkStart w:id="49" w:name="_Toc29366"/>
      <w:bookmarkStart w:id="50" w:name="_Toc30142"/>
      <w:bookmarkStart w:id="51" w:name="_Toc32488"/>
      <w:r>
        <w:rPr>
          <w:rFonts w:hint="eastAsia"/>
        </w:rPr>
        <w:t>项目</w:t>
      </w:r>
      <w:bookmarkEnd w:id="48"/>
      <w:r>
        <w:rPr>
          <w:rFonts w:hint="eastAsia"/>
        </w:rPr>
        <w:t>概述</w:t>
      </w:r>
      <w:bookmarkEnd w:id="49"/>
      <w:bookmarkEnd w:id="50"/>
      <w:bookmarkEnd w:id="51"/>
    </w:p>
    <w:p w14:paraId="348F371B">
      <w:pPr>
        <w:pStyle w:val="52"/>
        <w:pageBreakBefore w:val="0"/>
        <w:kinsoku/>
        <w:wordWrap/>
        <w:overflowPunct/>
        <w:topLinePunct w:val="0"/>
        <w:autoSpaceDN/>
        <w:bidi w:val="0"/>
        <w:snapToGrid/>
        <w:spacing w:line="360" w:lineRule="auto"/>
        <w:ind w:firstLine="480"/>
        <w:jc w:val="both"/>
        <w:rPr>
          <w:rFonts w:hint="eastAsia"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  <w:lang w:eastAsia="zh-CN"/>
        </w:rPr>
        <w:t>协同办公系统是公司员工日常使用的办公软件。南方电网国际金融有限公司通过本项目协同办公系统</w:t>
      </w:r>
      <w:r>
        <w:rPr>
          <w:rFonts w:hint="eastAsia" w:asciiTheme="minorEastAsia" w:hAnsiTheme="minorEastAsia" w:eastAsiaTheme="minorEastAsia"/>
          <w:lang w:val="en-US" w:eastAsia="zh-CN"/>
        </w:rPr>
        <w:t>软件</w:t>
      </w:r>
      <w:r>
        <w:rPr>
          <w:rFonts w:hint="eastAsia" w:asciiTheme="minorEastAsia" w:hAnsiTheme="minorEastAsia" w:eastAsiaTheme="minorEastAsia"/>
          <w:lang w:eastAsia="zh-CN"/>
        </w:rPr>
        <w:t>许可</w:t>
      </w:r>
      <w:r>
        <w:rPr>
          <w:rFonts w:hint="eastAsia" w:asciiTheme="minorEastAsia" w:hAnsiTheme="minorEastAsia" w:eastAsiaTheme="minorEastAsia"/>
          <w:lang w:val="en-US" w:eastAsia="zh-CN"/>
        </w:rPr>
        <w:t>采购</w:t>
      </w:r>
      <w:r>
        <w:rPr>
          <w:rFonts w:hint="eastAsia" w:asciiTheme="minorEastAsia" w:hAnsiTheme="minorEastAsia" w:eastAsiaTheme="minorEastAsia"/>
          <w:lang w:eastAsia="zh-CN"/>
        </w:rPr>
        <w:t>，保障</w:t>
      </w:r>
      <w:r>
        <w:rPr>
          <w:rFonts w:hint="eastAsia" w:asciiTheme="minorEastAsia" w:hAnsiTheme="minorEastAsia" w:eastAsiaTheme="minorEastAsia"/>
          <w:lang w:val="en-US" w:eastAsia="zh-CN"/>
        </w:rPr>
        <w:t>公司</w:t>
      </w:r>
      <w:r>
        <w:rPr>
          <w:rFonts w:hint="eastAsia" w:asciiTheme="minorEastAsia" w:hAnsiTheme="minorEastAsia" w:eastAsiaTheme="minorEastAsia"/>
          <w:lang w:eastAsia="zh-CN"/>
        </w:rPr>
        <w:t>的协同办公系统使用权限，持续提升公司员工的办公效率和体验。</w:t>
      </w:r>
    </w:p>
    <w:p w14:paraId="429534C6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</w:pPr>
      <w:bookmarkStart w:id="52" w:name="_Toc27977"/>
      <w:bookmarkStart w:id="53" w:name="_Toc27212"/>
      <w:bookmarkStart w:id="54" w:name="_Toc13957"/>
      <w:bookmarkStart w:id="55" w:name="_Toc19265"/>
      <w:r>
        <w:rPr>
          <w:rFonts w:hint="eastAsia"/>
        </w:rPr>
        <w:t>工作范围</w:t>
      </w:r>
      <w:bookmarkEnd w:id="52"/>
      <w:bookmarkEnd w:id="53"/>
      <w:bookmarkEnd w:id="54"/>
      <w:bookmarkEnd w:id="55"/>
    </w:p>
    <w:p w14:paraId="054EAD94">
      <w:pPr>
        <w:pStyle w:val="10"/>
        <w:pageBreakBefore w:val="0"/>
        <w:numPr>
          <w:ilvl w:val="0"/>
          <w:numId w:val="6"/>
        </w:numPr>
        <w:tabs>
          <w:tab w:val="left" w:pos="840"/>
          <w:tab w:val="clear" w:pos="1211"/>
        </w:tabs>
        <w:kinsoku/>
        <w:wordWrap/>
        <w:overflowPunct/>
        <w:topLinePunct w:val="0"/>
        <w:autoSpaceDN/>
        <w:bidi w:val="0"/>
        <w:snapToGrid/>
        <w:spacing w:line="360" w:lineRule="auto"/>
        <w:ind w:left="1080" w:firstLineChars="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56" w:name="_Toc18545"/>
      <w:bookmarkStart w:id="57" w:name="_Toc30919"/>
      <w:bookmarkStart w:id="58" w:name="_Toc20609"/>
      <w:r>
        <w:rPr>
          <w:rFonts w:hint="eastAsia" w:ascii="宋体" w:hAnsi="宋体" w:eastAsia="宋体" w:cs="宋体"/>
          <w:sz w:val="24"/>
          <w:szCs w:val="24"/>
          <w:highlight w:val="none"/>
        </w:rPr>
        <w:t>建设单位：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南方电网国际金融有限公司</w:t>
      </w:r>
    </w:p>
    <w:p w14:paraId="3A93EC03">
      <w:pPr>
        <w:pStyle w:val="10"/>
        <w:pageBreakBefore w:val="0"/>
        <w:numPr>
          <w:ilvl w:val="0"/>
          <w:numId w:val="6"/>
        </w:numPr>
        <w:tabs>
          <w:tab w:val="left" w:pos="840"/>
          <w:tab w:val="clear" w:pos="1211"/>
        </w:tabs>
        <w:kinsoku/>
        <w:wordWrap/>
        <w:overflowPunct/>
        <w:topLinePunct w:val="0"/>
        <w:autoSpaceDN/>
        <w:bidi w:val="0"/>
        <w:snapToGrid/>
        <w:spacing w:line="360" w:lineRule="auto"/>
        <w:ind w:left="1080" w:firstLineChars="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建设内容：协同办公系统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软件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许可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36D158F6">
      <w:pPr>
        <w:pStyle w:val="10"/>
        <w:pageBreakBefore w:val="0"/>
        <w:numPr>
          <w:ilvl w:val="0"/>
          <w:numId w:val="6"/>
        </w:numPr>
        <w:tabs>
          <w:tab w:val="left" w:pos="840"/>
          <w:tab w:val="clear" w:pos="1211"/>
        </w:tabs>
        <w:kinsoku/>
        <w:wordWrap/>
        <w:overflowPunct/>
        <w:topLinePunct w:val="0"/>
        <w:autoSpaceDN/>
        <w:bidi w:val="0"/>
        <w:snapToGrid/>
        <w:spacing w:line="360" w:lineRule="auto"/>
        <w:ind w:left="1080" w:firstLineChars="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许可周期：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1年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07AAD238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  <w:rPr>
          <w:rFonts w:hint="eastAsia"/>
          <w:lang w:val="en-US" w:eastAsia="zh-CN"/>
        </w:rPr>
      </w:pPr>
      <w:bookmarkStart w:id="59" w:name="_Toc6604"/>
      <w:bookmarkStart w:id="60" w:name="_Toc23953"/>
      <w:bookmarkStart w:id="61" w:name="_Toc20312"/>
      <w:bookmarkStart w:id="62" w:name="_Toc12560"/>
      <w:bookmarkStart w:id="63" w:name="_Toc17817"/>
      <w:bookmarkStart w:id="64" w:name="_Toc308"/>
      <w:bookmarkStart w:id="65" w:name="_Toc19711"/>
      <w:bookmarkStart w:id="66" w:name="_Toc100654237"/>
      <w:bookmarkStart w:id="67" w:name="_Toc15247"/>
      <w:bookmarkStart w:id="68" w:name="_Toc9126"/>
      <w:bookmarkStart w:id="69" w:name="_Toc15528"/>
      <w:bookmarkStart w:id="70" w:name="_Toc19390"/>
      <w:bookmarkStart w:id="71" w:name="_Toc6987"/>
      <w:bookmarkStart w:id="72" w:name="_Toc1860714501"/>
      <w:bookmarkStart w:id="73" w:name="_Toc29386"/>
      <w:r>
        <w:rPr>
          <w:rFonts w:hint="eastAsia"/>
          <w:lang w:val="en-US" w:eastAsia="zh-CN"/>
        </w:rPr>
        <w:t>采购需求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14:paraId="6EFA1340">
      <w:pPr>
        <w:ind w:firstLine="480"/>
        <w:rPr>
          <w:rFonts w:hint="eastAsia"/>
          <w:lang w:val="en-US" w:eastAsia="zh-CN"/>
        </w:rPr>
      </w:pPr>
      <w:r>
        <w:rPr>
          <w:rFonts w:hint="eastAsia" w:ascii="宋体" w:hAnsi="宋体"/>
          <w:highlight w:val="none"/>
          <w:lang w:val="en-US" w:eastAsia="zh-CN"/>
        </w:rPr>
        <w:t>采购协同办公系统软件许可，</w:t>
      </w:r>
      <w:r>
        <w:rPr>
          <w:rFonts w:hint="eastAsia" w:hAnsi="宋体"/>
          <w:highlight w:val="none"/>
          <w:lang w:val="en-US" w:eastAsia="zh-CN"/>
        </w:rPr>
        <w:t>采购数量及授权时长</w:t>
      </w:r>
      <w:r>
        <w:rPr>
          <w:rFonts w:hint="eastAsia" w:ascii="宋体" w:hAnsi="宋体"/>
          <w:highlight w:val="none"/>
          <w:lang w:val="en-US" w:eastAsia="zh-CN"/>
        </w:rPr>
        <w:t>如下：</w:t>
      </w:r>
      <w:bookmarkStart w:id="74" w:name="_Toc15224"/>
      <w:bookmarkStart w:id="75" w:name="_Toc7843"/>
      <w:bookmarkStart w:id="76" w:name="_Toc2561"/>
    </w:p>
    <w:bookmarkEnd w:id="74"/>
    <w:bookmarkEnd w:id="75"/>
    <w:bookmarkEnd w:id="76"/>
    <w:tbl>
      <w:tblPr>
        <w:tblStyle w:val="23"/>
        <w:tblW w:w="499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1691"/>
        <w:gridCol w:w="1201"/>
        <w:gridCol w:w="1970"/>
        <w:gridCol w:w="2051"/>
        <w:gridCol w:w="1251"/>
      </w:tblGrid>
      <w:tr w14:paraId="66061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</w:trPr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3C1559D1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7C397D1D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建设单位</w:t>
            </w: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75059AD1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软件名称</w:t>
            </w:r>
          </w:p>
        </w:tc>
        <w:tc>
          <w:tcPr>
            <w:tcW w:w="10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0899EA2D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软件类型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4966B401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许可采购数量（个）</w:t>
            </w:r>
          </w:p>
        </w:tc>
        <w:tc>
          <w:tcPr>
            <w:tcW w:w="6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/>
            <w:vAlign w:val="center"/>
          </w:tcPr>
          <w:p w14:paraId="5E7BBBF9"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授权时</w:t>
            </w:r>
            <w:r>
              <w:rPr>
                <w:rFonts w:hint="eastAsia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间</w:t>
            </w:r>
          </w:p>
        </w:tc>
      </w:tr>
      <w:tr w14:paraId="02FB32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57E652AC"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tabs>
                <w:tab w:val="clear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</w:p>
        </w:tc>
        <w:tc>
          <w:tcPr>
            <w:tcW w:w="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1B867BBB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南方电网国际金融有限公司</w:t>
            </w: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79A78B2E"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  <w:t>协同办公系统软件许可</w:t>
            </w:r>
          </w:p>
        </w:tc>
        <w:tc>
          <w:tcPr>
            <w:tcW w:w="10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7F004A02">
            <w:pPr>
              <w:widowControl/>
              <w:ind w:firstLine="0" w:firstLineChars="0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  <w:t>高级版（PC+移动）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1026698C"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hAnsi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60</w:t>
            </w:r>
          </w:p>
        </w:tc>
        <w:tc>
          <w:tcPr>
            <w:tcW w:w="6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2C60F168"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highlight w:val="none"/>
                <w:lang w:val="en-US" w:bidi="ar"/>
              </w:rPr>
            </w:pPr>
            <w:r>
              <w:rPr>
                <w:rFonts w:hint="eastAsia" w:hAnsi="宋体" w:cs="宋体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</w:tr>
    </w:tbl>
    <w:p w14:paraId="7395F15E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  <w:rPr>
          <w:rFonts w:hint="eastAsia" w:eastAsia="宋体"/>
          <w:lang w:val="en-US" w:eastAsia="zh-CN"/>
        </w:rPr>
      </w:pPr>
      <w:bookmarkStart w:id="77" w:name="_Toc16829"/>
      <w:r>
        <w:rPr>
          <w:rFonts w:hint="eastAsia" w:eastAsia="宋体"/>
          <w:lang w:val="sv-SE" w:eastAsia="zh-CN"/>
        </w:rPr>
        <w:t>功能范围</w:t>
      </w:r>
      <w:bookmarkEnd w:id="56"/>
      <w:bookmarkEnd w:id="57"/>
      <w:bookmarkEnd w:id="58"/>
      <w:bookmarkEnd w:id="77"/>
    </w:p>
    <w:p w14:paraId="70B38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lang w:val="sv-SE"/>
        </w:rPr>
      </w:pPr>
      <w:r>
        <w:rPr>
          <w:rFonts w:hint="eastAsia" w:ascii="宋体" w:hAnsi="宋体" w:eastAsia="宋体" w:cs="宋体"/>
          <w:lang w:val="sv-SE"/>
        </w:rPr>
        <w:t>协同办公系统功能涵盖公文管理、督查督办、值班管理、信息报送、公务活动、法律授权、制度管理、决策会议、信访管理9大功能模块。系统基础版本功能蓝图如下：</w:t>
      </w:r>
    </w:p>
    <w:p w14:paraId="7C9BD1B1">
      <w:pPr>
        <w:pStyle w:val="15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3" w:line="360" w:lineRule="auto"/>
        <w:ind w:left="0" w:leftChars="0" w:firstLine="40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0"/>
        </w:rPr>
        <w:drawing>
          <wp:inline distT="0" distB="0" distL="0" distR="0">
            <wp:extent cx="5911850" cy="2877820"/>
            <wp:effectExtent l="0" t="0" r="12700" b="17780"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2435" cy="287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A4D66">
      <w:pPr>
        <w:pStyle w:val="15"/>
        <w:shd w:val="clear"/>
        <w:ind w:left="0" w:leftChars="0" w:firstLine="0" w:firstLineChars="0"/>
        <w:rPr>
          <w:rFonts w:hint="eastAsia" w:ascii="宋体" w:hAnsi="宋体" w:eastAsia="宋体" w:cs="宋体"/>
          <w:sz w:val="20"/>
        </w:rPr>
      </w:pPr>
    </w:p>
    <w:p w14:paraId="2AEB8536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公文管理：全面涵盖发文、收文等公文的全周期管理。通过公文的在线编辑、本地文档快速上传，在线审批、传阅等，实现公文处理的自动化，提高公文处理的协同效率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234A88C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决策会议：主要涉及通过公司党组会议、董事会会议进行决策的议题管理，包括会议议题管理、议题审批管理、议题材料管理等业务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652E351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公务活动：实现从公务活动计划编制、公务活动计划组织实施、公务活动闭环的全程信息在线记录与统计分析，保障南网各级公务活动正常有序的开展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F16FDBA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/>
        </w:rPr>
      </w:pPr>
      <w:r>
        <w:rPr>
          <w:rFonts w:hint="eastAsia"/>
        </w:rPr>
        <w:t>督办管理：通过督办管理管理，确保政令畅通及各项重点工作的贯彻落实，推动战略和决策部署落实。</w:t>
      </w:r>
    </w:p>
    <w:p w14:paraId="02F81666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制度管理：包括制度（标准）新启、制度（标准）统计、制度（标准）库等功能，提升制度管理的高效性、可靠性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77A8243C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信息报送：通过信息报送模块，使全网的信息上报、采编纳入统一的管理平台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1680EA3E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值班管理：通过值班管理，保障各级单位工作日及节假日正常的工作秩序，确保信息反馈准确及时、上传下达通畅，使值班工作更规范、更高效、更可靠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FAF8DDD">
      <w:pPr>
        <w:pStyle w:val="51"/>
        <w:numPr>
          <w:ilvl w:val="0"/>
          <w:numId w:val="8"/>
        </w:numPr>
        <w:bidi w:val="0"/>
        <w:ind w:left="480" w:leftChars="200" w:firstLine="256" w:firstLineChars="0"/>
        <w:rPr>
          <w:rFonts w:hint="eastAsia"/>
        </w:rPr>
      </w:pPr>
      <w:r>
        <w:rPr>
          <w:rFonts w:hint="eastAsia"/>
        </w:rPr>
        <w:t>信访管理：信访业务及时办理、信访风险及时化解，信访数据“全网共享、全时可用、全程可控、全线可查”。</w:t>
      </w:r>
    </w:p>
    <w:p w14:paraId="1A1BFD13">
      <w:pPr>
        <w:pStyle w:val="51"/>
        <w:pageBreakBefore w:val="0"/>
        <w:widowControl w:val="0"/>
        <w:numPr>
          <w:ilvl w:val="0"/>
          <w:numId w:val="8"/>
        </w:numPr>
        <w:kinsoku/>
        <w:wordWrap/>
        <w:overflowPunct/>
        <w:autoSpaceDE/>
        <w:autoSpaceDN/>
        <w:bidi w:val="0"/>
        <w:spacing w:line="360" w:lineRule="auto"/>
        <w:ind w:left="480" w:leftChars="200" w:firstLine="256" w:firstLineChars="0"/>
        <w:rPr>
          <w:rFonts w:hint="eastAsia"/>
        </w:rPr>
      </w:pPr>
      <w:r>
        <w:rPr>
          <w:rFonts w:hint="eastAsia"/>
        </w:rPr>
        <w:t>法律授权：通过线上高效发起和审批授权委托，能实时查阅授权信息，提高工作的时效性与高效性</w:t>
      </w:r>
      <w:r>
        <w:rPr>
          <w:rFonts w:hint="eastAsia"/>
          <w:lang w:eastAsia="zh-CN"/>
        </w:rPr>
        <w:t>。</w:t>
      </w:r>
    </w:p>
    <w:p w14:paraId="2DC91213">
      <w:pPr>
        <w:pStyle w:val="3"/>
        <w:numPr>
          <w:ilvl w:val="0"/>
          <w:numId w:val="2"/>
        </w:numPr>
        <w:spacing w:before="163" w:beforeLines="50" w:line="360" w:lineRule="auto"/>
        <w:ind w:left="425" w:leftChars="0" w:hanging="425" w:firstLineChars="0"/>
        <w:rPr>
          <w:rFonts w:hint="eastAsia" w:eastAsia="宋体"/>
          <w:lang w:val="en-US" w:eastAsia="zh-CN"/>
        </w:rPr>
      </w:pPr>
      <w:bookmarkStart w:id="78" w:name="_Toc10751"/>
      <w:r>
        <w:rPr>
          <w:rFonts w:hint="eastAsia" w:eastAsia="宋体"/>
          <w:lang w:val="en-US" w:eastAsia="zh-CN"/>
        </w:rPr>
        <w:t>协同办公系统运维服务内容</w:t>
      </w:r>
      <w:bookmarkEnd w:id="78"/>
    </w:p>
    <w:p w14:paraId="6E3E9E64">
      <w:pPr>
        <w:spacing w:line="360" w:lineRule="auto"/>
        <w:ind w:firstLine="480"/>
      </w:pPr>
      <w:r>
        <w:rPr>
          <w:rFonts w:hint="eastAsia" w:asciiTheme="minorEastAsia" w:hAnsiTheme="minorEastAsia" w:eastAsiaTheme="minorEastAsia"/>
        </w:rPr>
        <w:t>产品使用期间提供平台服务（不含</w:t>
      </w:r>
      <w:bookmarkStart w:id="95" w:name="_GoBack"/>
      <w:bookmarkEnd w:id="95"/>
      <w:r>
        <w:rPr>
          <w:rFonts w:hint="eastAsia" w:asciiTheme="minorEastAsia" w:hAnsiTheme="minorEastAsia" w:eastAsiaTheme="minorEastAsia"/>
        </w:rPr>
        <w:t>驻场运维服务），产品服务包含在</w:t>
      </w:r>
      <w:r>
        <w:rPr>
          <w:rFonts w:hint="eastAsia" w:asciiTheme="minorEastAsia" w:hAnsiTheme="minorEastAsia" w:eastAsiaTheme="minorEastAsia"/>
          <w:lang w:val="en-US" w:eastAsia="zh-CN"/>
        </w:rPr>
        <w:t>协同办公系统</w:t>
      </w:r>
      <w:r>
        <w:rPr>
          <w:rFonts w:hint="eastAsia" w:asciiTheme="minorEastAsia" w:hAnsiTheme="minorEastAsia" w:eastAsiaTheme="minorEastAsia"/>
        </w:rPr>
        <w:t>产品许可授权有效期间为</w:t>
      </w:r>
      <w:r>
        <w:rPr>
          <w:rFonts w:hint="eastAsia" w:asciiTheme="minorEastAsia" w:hAnsiTheme="minorEastAsia" w:eastAsiaTheme="minorEastAsia"/>
          <w:lang w:eastAsia="zh-CN"/>
        </w:rPr>
        <w:t>甲方</w:t>
      </w:r>
      <w:r>
        <w:rPr>
          <w:rFonts w:hint="eastAsia" w:asciiTheme="minorEastAsia" w:hAnsiTheme="minorEastAsia" w:eastAsiaTheme="minorEastAsia"/>
        </w:rPr>
        <w:t>提供</w:t>
      </w:r>
      <w:r>
        <w:rPr>
          <w:rFonts w:hint="eastAsia" w:asciiTheme="minorEastAsia" w:hAnsiTheme="minorEastAsia" w:eastAsiaTheme="minorEastAsia"/>
          <w:lang w:val="en-US" w:eastAsia="zh-CN"/>
        </w:rPr>
        <w:t>5*8小时</w:t>
      </w:r>
      <w:r>
        <w:rPr>
          <w:rFonts w:hint="eastAsia" w:asciiTheme="minorEastAsia" w:hAnsiTheme="minorEastAsia" w:eastAsiaTheme="minorEastAsia"/>
        </w:rPr>
        <w:t>技术支持和咨询服务，通过电话支持、通信工具支持等途径提供</w:t>
      </w:r>
      <w:r>
        <w:rPr>
          <w:rFonts w:hint="eastAsia" w:asciiTheme="minorEastAsia" w:hAnsiTheme="minorEastAsia" w:eastAsiaTheme="minorEastAsia"/>
          <w:lang w:val="en-US" w:eastAsia="zh-CN"/>
        </w:rPr>
        <w:t>1000号工单处理服务、</w:t>
      </w:r>
      <w:r>
        <w:rPr>
          <w:rFonts w:hint="eastAsia" w:asciiTheme="minorEastAsia" w:hAnsiTheme="minorEastAsia" w:eastAsiaTheme="minorEastAsia"/>
        </w:rPr>
        <w:t>系统咨询服务、系统权限配置服务。</w:t>
      </w:r>
      <w:bookmarkStart w:id="79" w:name="_Toc20589"/>
      <w:bookmarkStart w:id="80" w:name="_Toc17163"/>
      <w:bookmarkStart w:id="81" w:name="_Toc31580"/>
      <w:bookmarkStart w:id="82" w:name="_Toc2431"/>
      <w:bookmarkStart w:id="83" w:name="_Toc528514077"/>
      <w:bookmarkStart w:id="84" w:name="_Toc490849667"/>
    </w:p>
    <w:p w14:paraId="37D424AE">
      <w:pPr>
        <w:pStyle w:val="3"/>
        <w:numPr>
          <w:ilvl w:val="0"/>
          <w:numId w:val="2"/>
        </w:numPr>
        <w:spacing w:before="326" w:beforeLines="100" w:line="360" w:lineRule="auto"/>
        <w:ind w:left="425" w:leftChars="0" w:hanging="425" w:firstLineChars="0"/>
      </w:pPr>
      <w:bookmarkStart w:id="85" w:name="_Toc4302"/>
      <w:r>
        <w:rPr>
          <w:rFonts w:hint="eastAsia"/>
        </w:rPr>
        <w:t>项目团队及职责</w:t>
      </w:r>
      <w:bookmarkEnd w:id="79"/>
      <w:bookmarkEnd w:id="80"/>
      <w:bookmarkEnd w:id="81"/>
      <w:bookmarkEnd w:id="85"/>
    </w:p>
    <w:p w14:paraId="3609483A">
      <w:pPr>
        <w:numPr>
          <w:ilvl w:val="0"/>
          <w:numId w:val="9"/>
        </w:numPr>
        <w:tabs>
          <w:tab w:val="left" w:pos="993"/>
        </w:tabs>
        <w:spacing w:before="163" w:beforeLines="50" w:line="360" w:lineRule="auto"/>
        <w:ind w:left="284" w:firstLine="62" w:firstLineChars="0"/>
        <w:rPr>
          <w:rFonts w:hAnsi="宋体"/>
          <w:b/>
        </w:rPr>
      </w:pPr>
      <w:r>
        <w:rPr>
          <w:rFonts w:hint="eastAsia" w:hAnsi="宋体"/>
          <w:b/>
        </w:rPr>
        <w:t>项目经理</w:t>
      </w:r>
    </w:p>
    <w:p w14:paraId="321A4EF9">
      <w:pPr>
        <w:tabs>
          <w:tab w:val="left" w:pos="1200"/>
        </w:tabs>
        <w:spacing w:before="163" w:beforeLines="50" w:line="360" w:lineRule="auto"/>
        <w:ind w:left="283" w:leftChars="118" w:firstLine="194" w:firstLineChars="81"/>
        <w:rPr>
          <w:rFonts w:hAnsi="宋体"/>
        </w:rPr>
      </w:pPr>
      <w:r>
        <w:rPr>
          <w:rFonts w:hint="eastAsia" w:hAnsi="宋体"/>
        </w:rPr>
        <w:t xml:space="preserve">具体职责： </w:t>
      </w:r>
    </w:p>
    <w:p w14:paraId="7B97047F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代表公司与用户建立项目合作关系，及时、有效地与用户沟通，以便在项目执行过程中得到用户的支持与配合；</w:t>
      </w:r>
    </w:p>
    <w:p w14:paraId="7A0C4FCB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负责制订项目计划，分解项目阶段，确定任务优先级，合理利用资源，对项目实施计划和人力成本预算的执行负责；</w:t>
      </w:r>
    </w:p>
    <w:p w14:paraId="35EEB4F7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组织对项目质量和进度的监控，把握技术方向；</w:t>
      </w:r>
    </w:p>
    <w:p w14:paraId="06B0B8EC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跟踪项目进度，提交项目进度报告，对项目进度实施控制。</w:t>
      </w:r>
    </w:p>
    <w:p w14:paraId="31A33795">
      <w:pPr>
        <w:numPr>
          <w:ilvl w:val="0"/>
          <w:numId w:val="9"/>
        </w:numPr>
        <w:tabs>
          <w:tab w:val="left" w:pos="993"/>
        </w:tabs>
        <w:spacing w:before="163" w:beforeLines="50" w:line="360" w:lineRule="auto"/>
        <w:ind w:left="284" w:firstLine="62" w:firstLineChars="0"/>
        <w:rPr>
          <w:rFonts w:hAnsi="宋体"/>
          <w:b/>
        </w:rPr>
      </w:pPr>
      <w:r>
        <w:rPr>
          <w:rFonts w:hint="eastAsia" w:hAnsi="宋体"/>
          <w:b/>
        </w:rPr>
        <w:t>运维人员</w:t>
      </w:r>
    </w:p>
    <w:p w14:paraId="53EEA6AD">
      <w:pPr>
        <w:tabs>
          <w:tab w:val="left" w:pos="1200"/>
        </w:tabs>
        <w:spacing w:line="360" w:lineRule="auto"/>
        <w:ind w:firstLine="480"/>
        <w:rPr>
          <w:rFonts w:hAnsi="宋体"/>
          <w:b/>
        </w:rPr>
      </w:pPr>
      <w:r>
        <w:rPr>
          <w:rFonts w:hint="eastAsia" w:hAnsi="宋体"/>
        </w:rPr>
        <w:t>具体职责是：</w:t>
      </w:r>
    </w:p>
    <w:p w14:paraId="05022CAE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 xml:space="preserve">负责系统维护工作，包括日常巡检维护、安全整改工作； </w:t>
      </w:r>
    </w:p>
    <w:p w14:paraId="308115A9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 xml:space="preserve">负责系统权限配置服务，为各级管理员配置权限； </w:t>
      </w:r>
    </w:p>
    <w:p w14:paraId="3867B733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负责用户、组织机构数据初始化工作。</w:t>
      </w:r>
    </w:p>
    <w:p w14:paraId="7825E26A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  <w:rPr>
          <w:rFonts w:hAnsi="宋体"/>
        </w:rPr>
      </w:pPr>
      <w:r>
        <w:rPr>
          <w:rFonts w:hint="eastAsia" w:hAnsi="宋体"/>
        </w:rPr>
        <w:t>负责系统故障分析及异常处理；</w:t>
      </w:r>
    </w:p>
    <w:p w14:paraId="01E39997">
      <w:pPr>
        <w:numPr>
          <w:ilvl w:val="1"/>
          <w:numId w:val="10"/>
        </w:numPr>
        <w:tabs>
          <w:tab w:val="left" w:pos="720"/>
        </w:tabs>
        <w:spacing w:line="360" w:lineRule="auto"/>
        <w:ind w:left="567" w:firstLine="0" w:firstLineChars="0"/>
      </w:pPr>
      <w:r>
        <w:rPr>
          <w:rFonts w:hint="eastAsia" w:hAnsi="宋体"/>
        </w:rPr>
        <w:t>负责解答用户疑问，及时为客户提供远程响应支持。</w:t>
      </w:r>
    </w:p>
    <w:p w14:paraId="06CF3DBA">
      <w:pPr>
        <w:pStyle w:val="3"/>
        <w:numPr>
          <w:ilvl w:val="0"/>
          <w:numId w:val="2"/>
        </w:numPr>
        <w:spacing w:before="326" w:beforeLines="100"/>
        <w:ind w:left="425" w:leftChars="0" w:hanging="425" w:firstLineChars="0"/>
        <w:rPr>
          <w:rFonts w:ascii="宋体" w:hAnsi="宋体" w:eastAsia="宋体" w:cs="宋体"/>
          <w:sz w:val="24"/>
          <w:szCs w:val="24"/>
          <w:highlight w:val="none"/>
        </w:rPr>
      </w:pPr>
      <w:bookmarkStart w:id="86" w:name="_Toc29265"/>
      <w:bookmarkStart w:id="87" w:name="_Toc14527"/>
      <w:bookmarkStart w:id="88" w:name="_Toc8967"/>
      <w:bookmarkStart w:id="89" w:name="_Toc16452"/>
      <w:bookmarkStart w:id="90" w:name="_Toc6944"/>
      <w:r>
        <w:rPr>
          <w:rFonts w:hint="eastAsia" w:ascii="Times New Roman" w:hAnsi="Times New Roman" w:cs="Times New Roman"/>
          <w:b/>
          <w:bCs/>
          <w:sz w:val="28"/>
          <w:szCs w:val="32"/>
          <w:lang w:val="en-US" w:eastAsia="zh-CN"/>
        </w:rPr>
        <w:t>项目验收</w:t>
      </w:r>
      <w:bookmarkEnd w:id="86"/>
      <w:bookmarkEnd w:id="87"/>
      <w:bookmarkEnd w:id="88"/>
    </w:p>
    <w:p w14:paraId="14AE2041">
      <w:pPr>
        <w:pageBreakBefore w:val="0"/>
        <w:kinsoku/>
        <w:wordWrap/>
        <w:overflowPunct/>
        <w:topLinePunct w:val="0"/>
        <w:autoSpaceDN/>
        <w:bidi w:val="0"/>
        <w:snapToGrid/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ascii="宋体" w:hAnsi="宋体" w:eastAsia="宋体" w:cs="宋体"/>
          <w:sz w:val="24"/>
          <w:szCs w:val="24"/>
          <w:highlight w:val="none"/>
        </w:rPr>
        <w:t>本项目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甲乙双方以《附件3：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项目验收单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》为验收依据，乙方无需再提交书面验收申请。甲乙双方签署《附件3：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项目验收单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》，视为验收通过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bookmarkEnd w:id="89"/>
    <w:bookmarkEnd w:id="90"/>
    <w:p w14:paraId="6B4419CD">
      <w:pPr>
        <w:pStyle w:val="3"/>
        <w:numPr>
          <w:ilvl w:val="0"/>
          <w:numId w:val="2"/>
        </w:numPr>
        <w:spacing w:before="326" w:beforeLines="100"/>
        <w:ind w:left="425" w:leftChars="0" w:hanging="425" w:firstLineChars="0"/>
        <w:rPr>
          <w:rFonts w:hint="eastAsia" w:ascii="Times New Roman" w:hAnsi="Times New Roman" w:cs="Times New Roman"/>
          <w:b/>
          <w:bCs/>
          <w:sz w:val="28"/>
          <w:szCs w:val="32"/>
          <w:lang w:val="en-US" w:eastAsia="zh-CN"/>
        </w:rPr>
      </w:pPr>
      <w:bookmarkStart w:id="91" w:name="_Toc28136"/>
      <w:bookmarkStart w:id="92" w:name="_Toc31698"/>
      <w:bookmarkStart w:id="93" w:name="_Toc31634"/>
      <w:bookmarkStart w:id="94" w:name="_Toc10886"/>
      <w:r>
        <w:rPr>
          <w:rFonts w:hint="eastAsia" w:ascii="Times New Roman" w:hAnsi="Times New Roman" w:cs="Times New Roman"/>
          <w:b/>
          <w:bCs/>
          <w:sz w:val="28"/>
          <w:szCs w:val="32"/>
          <w:lang w:val="en-US" w:eastAsia="zh-CN"/>
        </w:rPr>
        <w:t>交付物：</w:t>
      </w:r>
      <w:bookmarkEnd w:id="91"/>
    </w:p>
    <w:p w14:paraId="69D319ED">
      <w:pPr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N/>
        <w:bidi w:val="0"/>
        <w:snapToGrid/>
        <w:spacing w:line="360" w:lineRule="auto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《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协同办公系统软件许可授权书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》；</w:t>
      </w:r>
    </w:p>
    <w:p w14:paraId="4282C72D">
      <w:pPr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N/>
        <w:bidi w:val="0"/>
        <w:snapToGrid/>
        <w:spacing w:line="360" w:lineRule="auto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GB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《项目验收单》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bookmarkEnd w:id="82"/>
    <w:bookmarkEnd w:id="83"/>
    <w:bookmarkEnd w:id="84"/>
    <w:bookmarkEnd w:id="92"/>
    <w:bookmarkEnd w:id="93"/>
    <w:bookmarkEnd w:id="94"/>
    <w:p w14:paraId="45F39CFB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beforeAutospacing="0" w:afterAutospacing="0" w:line="360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 w14:paraId="52945C17">
      <w:pPr>
        <w:pStyle w:val="2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 w14:paraId="5003B5D7">
      <w:pPr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 w14:paraId="1FFE9E11">
      <w:pPr>
        <w:widowControl/>
        <w:spacing w:line="240" w:lineRule="auto"/>
        <w:ind w:firstLine="0" w:firstLineChars="0"/>
        <w:jc w:val="left"/>
        <w:rPr>
          <w:rFonts w:ascii="Calibri" w:hAnsi="Calibri" w:cs="Calibri"/>
          <w:kern w:val="0"/>
          <w:sz w:val="20"/>
          <w:szCs w:val="20"/>
        </w:rPr>
      </w:pPr>
    </w:p>
    <w:sectPr>
      <w:footerReference r:id="rId7" w:type="default"/>
      <w:pgSz w:w="11906" w:h="16838"/>
      <w:pgMar w:top="1418" w:right="1474" w:bottom="1701" w:left="1134" w:header="851" w:footer="964" w:gutter="0"/>
      <w:pgNumType w:fmt="numberInDash" w:start="1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577464">
    <w:pPr>
      <w:pStyle w:val="20"/>
      <w:ind w:firstLine="360"/>
      <w:jc w:val="center"/>
    </w:pPr>
  </w:p>
  <w:p w14:paraId="202CADC4">
    <w:pPr>
      <w:pStyle w:val="20"/>
      <w:ind w:firstLine="360"/>
      <w:rPr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F855E8">
    <w:pPr>
      <w:pStyle w:val="20"/>
      <w:ind w:firstLine="3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-</w:t>
    </w:r>
    <w:r>
      <w:t xml:space="preserve"> 21 -</w:t>
    </w:r>
    <w:r>
      <w:fldChar w:fldCharType="end"/>
    </w:r>
  </w:p>
  <w:p w14:paraId="4FC308AD">
    <w:pPr>
      <w:pStyle w:val="20"/>
      <w:ind w:firstLine="360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43B10">
    <w:pPr>
      <w:pStyle w:val="11"/>
      <w:pBdr>
        <w:bottom w:val="single" w:color="auto" w:sz="4" w:space="1"/>
      </w:pBdr>
      <w:spacing w:line="320" w:lineRule="atLeast"/>
      <w:ind w:firstLine="36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E89F84"/>
    <w:multiLevelType w:val="singleLevel"/>
    <w:tmpl w:val="85E89F8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B6565DA8"/>
    <w:multiLevelType w:val="singleLevel"/>
    <w:tmpl w:val="B6565DA8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 w:ascii="宋体" w:hAnsi="宋体" w:eastAsia="宋体" w:cs="宋体"/>
        <w:b w:val="0"/>
        <w:bCs w:val="0"/>
      </w:rPr>
    </w:lvl>
  </w:abstractNum>
  <w:abstractNum w:abstractNumId="2">
    <w:nsid w:val="DF3FEB44"/>
    <w:multiLevelType w:val="multilevel"/>
    <w:tmpl w:val="DF3FEB4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0000030"/>
    <w:multiLevelType w:val="multilevel"/>
    <w:tmpl w:val="00000030"/>
    <w:lvl w:ilvl="0" w:tentative="0">
      <w:start w:val="1"/>
      <w:numFmt w:val="decimal"/>
      <w:lvlText w:val="[%1]"/>
      <w:lvlJc w:val="left"/>
      <w:pPr>
        <w:tabs>
          <w:tab w:val="left" w:pos="900"/>
        </w:tabs>
        <w:ind w:left="900" w:hanging="420"/>
      </w:pPr>
      <w:rPr>
        <w:rFonts w:hint="eastAsia"/>
        <w:b w:val="0"/>
      </w:r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4">
    <w:nsid w:val="03BA29A6"/>
    <w:multiLevelType w:val="multilevel"/>
    <w:tmpl w:val="03BA29A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5">
    <w:nsid w:val="07B77542"/>
    <w:multiLevelType w:val="multilevel"/>
    <w:tmpl w:val="07B7754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6">
    <w:nsid w:val="13A26E29"/>
    <w:multiLevelType w:val="multilevel"/>
    <w:tmpl w:val="13A26E29"/>
    <w:lvl w:ilvl="0" w:tentative="0">
      <w:start w:val="1"/>
      <w:numFmt w:val="decimal"/>
      <w:pStyle w:val="3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  <w:color w:val="auto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7">
    <w:nsid w:val="19463842"/>
    <w:multiLevelType w:val="multilevel"/>
    <w:tmpl w:val="19463842"/>
    <w:lvl w:ilvl="0" w:tentative="0">
      <w:start w:val="1"/>
      <w:numFmt w:val="decimal"/>
      <w:lvlText w:val="%1、"/>
      <w:lvlJc w:val="left"/>
      <w:pPr>
        <w:tabs>
          <w:tab w:val="left" w:pos="1211"/>
        </w:tabs>
        <w:ind w:left="145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324"/>
        </w:tabs>
        <w:ind w:left="132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4"/>
        </w:tabs>
        <w:ind w:left="1744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4"/>
        </w:tabs>
        <w:ind w:left="216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4"/>
        </w:tabs>
        <w:ind w:left="258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4"/>
        </w:tabs>
        <w:ind w:left="3004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4"/>
        </w:tabs>
        <w:ind w:left="342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4"/>
        </w:tabs>
        <w:ind w:left="384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4"/>
        </w:tabs>
        <w:ind w:left="4264" w:hanging="420"/>
      </w:pPr>
    </w:lvl>
  </w:abstractNum>
  <w:abstractNum w:abstractNumId="8">
    <w:nsid w:val="19F926C4"/>
    <w:multiLevelType w:val="multilevel"/>
    <w:tmpl w:val="19F926C4"/>
    <w:lvl w:ilvl="0" w:tentative="0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451033A"/>
    <w:multiLevelType w:val="multilevel"/>
    <w:tmpl w:val="2451033A"/>
    <w:lvl w:ilvl="0" w:tentative="0">
      <w:start w:val="1"/>
      <w:numFmt w:val="decimal"/>
      <w:lvlText w:val="%1）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0">
    <w:nsid w:val="77456506"/>
    <w:multiLevelType w:val="multilevel"/>
    <w:tmpl w:val="77456506"/>
    <w:lvl w:ilvl="0" w:tentative="0">
      <w:start w:val="1"/>
      <w:numFmt w:val="bullet"/>
      <w:lvlText w:val="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mJjMGUyMDNhMGI0MjllZTc4OTE3ODRjOTBjMWQifQ=="/>
  </w:docVars>
  <w:rsids>
    <w:rsidRoot w:val="00172A27"/>
    <w:rsid w:val="000014CF"/>
    <w:rsid w:val="000019C7"/>
    <w:rsid w:val="00023EF8"/>
    <w:rsid w:val="00026493"/>
    <w:rsid w:val="00032648"/>
    <w:rsid w:val="00032B5F"/>
    <w:rsid w:val="000412D3"/>
    <w:rsid w:val="00045808"/>
    <w:rsid w:val="00063E5E"/>
    <w:rsid w:val="000660D9"/>
    <w:rsid w:val="000712CA"/>
    <w:rsid w:val="000803FA"/>
    <w:rsid w:val="000825E7"/>
    <w:rsid w:val="0008305D"/>
    <w:rsid w:val="00085B7D"/>
    <w:rsid w:val="00085BC9"/>
    <w:rsid w:val="0008635B"/>
    <w:rsid w:val="00086AC3"/>
    <w:rsid w:val="0009165C"/>
    <w:rsid w:val="000949CC"/>
    <w:rsid w:val="0009574C"/>
    <w:rsid w:val="000A68AF"/>
    <w:rsid w:val="000C3196"/>
    <w:rsid w:val="000C76AC"/>
    <w:rsid w:val="000D4217"/>
    <w:rsid w:val="000D7E02"/>
    <w:rsid w:val="000E1DBC"/>
    <w:rsid w:val="000E4EFF"/>
    <w:rsid w:val="000F009A"/>
    <w:rsid w:val="000F088A"/>
    <w:rsid w:val="00100872"/>
    <w:rsid w:val="0010511A"/>
    <w:rsid w:val="00107695"/>
    <w:rsid w:val="00116159"/>
    <w:rsid w:val="001162E7"/>
    <w:rsid w:val="001174E1"/>
    <w:rsid w:val="00123A97"/>
    <w:rsid w:val="00123B65"/>
    <w:rsid w:val="00124043"/>
    <w:rsid w:val="00130BF0"/>
    <w:rsid w:val="00146B29"/>
    <w:rsid w:val="00147617"/>
    <w:rsid w:val="00150F2E"/>
    <w:rsid w:val="00172A27"/>
    <w:rsid w:val="00177693"/>
    <w:rsid w:val="00182D38"/>
    <w:rsid w:val="00182FE0"/>
    <w:rsid w:val="001859A5"/>
    <w:rsid w:val="00186BDD"/>
    <w:rsid w:val="00194854"/>
    <w:rsid w:val="00196602"/>
    <w:rsid w:val="00196C11"/>
    <w:rsid w:val="001A189E"/>
    <w:rsid w:val="001A23D5"/>
    <w:rsid w:val="001A4B38"/>
    <w:rsid w:val="001B597E"/>
    <w:rsid w:val="001B7A49"/>
    <w:rsid w:val="001C496C"/>
    <w:rsid w:val="001C58FB"/>
    <w:rsid w:val="001C59B2"/>
    <w:rsid w:val="001D34A9"/>
    <w:rsid w:val="001E150A"/>
    <w:rsid w:val="001E3165"/>
    <w:rsid w:val="001E5682"/>
    <w:rsid w:val="001E719B"/>
    <w:rsid w:val="001F26B3"/>
    <w:rsid w:val="001F26F4"/>
    <w:rsid w:val="001F38F2"/>
    <w:rsid w:val="001F3B12"/>
    <w:rsid w:val="001F3F53"/>
    <w:rsid w:val="001F4DD9"/>
    <w:rsid w:val="00202C91"/>
    <w:rsid w:val="0020425F"/>
    <w:rsid w:val="002110CF"/>
    <w:rsid w:val="0021244C"/>
    <w:rsid w:val="00216E3C"/>
    <w:rsid w:val="00217E01"/>
    <w:rsid w:val="00233F2D"/>
    <w:rsid w:val="0023478F"/>
    <w:rsid w:val="00246EC2"/>
    <w:rsid w:val="002472F5"/>
    <w:rsid w:val="002505B3"/>
    <w:rsid w:val="002529E4"/>
    <w:rsid w:val="002672E6"/>
    <w:rsid w:val="00273923"/>
    <w:rsid w:val="00292BDB"/>
    <w:rsid w:val="002A0654"/>
    <w:rsid w:val="002A1823"/>
    <w:rsid w:val="002A69F4"/>
    <w:rsid w:val="002B5090"/>
    <w:rsid w:val="002B5F9A"/>
    <w:rsid w:val="002C0FD2"/>
    <w:rsid w:val="002C494E"/>
    <w:rsid w:val="002D3262"/>
    <w:rsid w:val="002D5E3A"/>
    <w:rsid w:val="002D64E0"/>
    <w:rsid w:val="002E3AFF"/>
    <w:rsid w:val="002E6815"/>
    <w:rsid w:val="002E6A40"/>
    <w:rsid w:val="002F5C33"/>
    <w:rsid w:val="002F5E8F"/>
    <w:rsid w:val="002F6514"/>
    <w:rsid w:val="002F71B5"/>
    <w:rsid w:val="003027E1"/>
    <w:rsid w:val="00305047"/>
    <w:rsid w:val="003050E9"/>
    <w:rsid w:val="00306CF6"/>
    <w:rsid w:val="003137C5"/>
    <w:rsid w:val="00313A66"/>
    <w:rsid w:val="00313C2C"/>
    <w:rsid w:val="00325797"/>
    <w:rsid w:val="0032666B"/>
    <w:rsid w:val="0033403F"/>
    <w:rsid w:val="00343F44"/>
    <w:rsid w:val="003536C0"/>
    <w:rsid w:val="003539C1"/>
    <w:rsid w:val="003568EA"/>
    <w:rsid w:val="00365AF4"/>
    <w:rsid w:val="00367691"/>
    <w:rsid w:val="00372599"/>
    <w:rsid w:val="00383B45"/>
    <w:rsid w:val="00393FC9"/>
    <w:rsid w:val="003A2F86"/>
    <w:rsid w:val="003A5F72"/>
    <w:rsid w:val="003A78E2"/>
    <w:rsid w:val="003B06C0"/>
    <w:rsid w:val="003B692C"/>
    <w:rsid w:val="003C5D7F"/>
    <w:rsid w:val="003C6CC9"/>
    <w:rsid w:val="003C7391"/>
    <w:rsid w:val="003D2608"/>
    <w:rsid w:val="003D491D"/>
    <w:rsid w:val="003D6261"/>
    <w:rsid w:val="003E24EE"/>
    <w:rsid w:val="003E30B7"/>
    <w:rsid w:val="003E45EF"/>
    <w:rsid w:val="003E51BD"/>
    <w:rsid w:val="003E59DF"/>
    <w:rsid w:val="003F063F"/>
    <w:rsid w:val="003F2FCF"/>
    <w:rsid w:val="00401BB5"/>
    <w:rsid w:val="00430229"/>
    <w:rsid w:val="00450EBE"/>
    <w:rsid w:val="00452C5B"/>
    <w:rsid w:val="00463BB9"/>
    <w:rsid w:val="00464F3F"/>
    <w:rsid w:val="00464FB0"/>
    <w:rsid w:val="004657D5"/>
    <w:rsid w:val="00470BC1"/>
    <w:rsid w:val="00470FB4"/>
    <w:rsid w:val="00473478"/>
    <w:rsid w:val="00476212"/>
    <w:rsid w:val="00484BF9"/>
    <w:rsid w:val="004904D0"/>
    <w:rsid w:val="004B0724"/>
    <w:rsid w:val="004B11D0"/>
    <w:rsid w:val="004D08C3"/>
    <w:rsid w:val="004D1887"/>
    <w:rsid w:val="004D5B7B"/>
    <w:rsid w:val="004E2BD9"/>
    <w:rsid w:val="004F260C"/>
    <w:rsid w:val="004F7A13"/>
    <w:rsid w:val="0050681F"/>
    <w:rsid w:val="00515A08"/>
    <w:rsid w:val="00516C9F"/>
    <w:rsid w:val="00521E40"/>
    <w:rsid w:val="00525287"/>
    <w:rsid w:val="00544BA5"/>
    <w:rsid w:val="005548D9"/>
    <w:rsid w:val="005634FF"/>
    <w:rsid w:val="005657F1"/>
    <w:rsid w:val="005929DC"/>
    <w:rsid w:val="005A3205"/>
    <w:rsid w:val="005A4CE9"/>
    <w:rsid w:val="005A6A0D"/>
    <w:rsid w:val="005A72E5"/>
    <w:rsid w:val="005B4C0C"/>
    <w:rsid w:val="005B6DF2"/>
    <w:rsid w:val="005C0453"/>
    <w:rsid w:val="005C4372"/>
    <w:rsid w:val="005C7C65"/>
    <w:rsid w:val="005E7523"/>
    <w:rsid w:val="005F2845"/>
    <w:rsid w:val="00600797"/>
    <w:rsid w:val="00602872"/>
    <w:rsid w:val="00603D04"/>
    <w:rsid w:val="0061093A"/>
    <w:rsid w:val="00613F1C"/>
    <w:rsid w:val="00617363"/>
    <w:rsid w:val="00627630"/>
    <w:rsid w:val="0063492D"/>
    <w:rsid w:val="006354EA"/>
    <w:rsid w:val="006403EC"/>
    <w:rsid w:val="00642432"/>
    <w:rsid w:val="0065091D"/>
    <w:rsid w:val="006518FE"/>
    <w:rsid w:val="0065222A"/>
    <w:rsid w:val="00657448"/>
    <w:rsid w:val="00661BA5"/>
    <w:rsid w:val="00665C19"/>
    <w:rsid w:val="006702E2"/>
    <w:rsid w:val="006705D1"/>
    <w:rsid w:val="00672E1C"/>
    <w:rsid w:val="006757A9"/>
    <w:rsid w:val="0067589F"/>
    <w:rsid w:val="00681129"/>
    <w:rsid w:val="00681237"/>
    <w:rsid w:val="00683201"/>
    <w:rsid w:val="006833D7"/>
    <w:rsid w:val="00692549"/>
    <w:rsid w:val="00694F94"/>
    <w:rsid w:val="00695C0D"/>
    <w:rsid w:val="006A20E6"/>
    <w:rsid w:val="006B354D"/>
    <w:rsid w:val="006B71E9"/>
    <w:rsid w:val="006C0741"/>
    <w:rsid w:val="006D0EA7"/>
    <w:rsid w:val="006D1A3B"/>
    <w:rsid w:val="006E10E5"/>
    <w:rsid w:val="006E12E0"/>
    <w:rsid w:val="006F23A2"/>
    <w:rsid w:val="006F4BBE"/>
    <w:rsid w:val="007062AF"/>
    <w:rsid w:val="007173F2"/>
    <w:rsid w:val="0072125E"/>
    <w:rsid w:val="00723C5E"/>
    <w:rsid w:val="00735BBD"/>
    <w:rsid w:val="0074324E"/>
    <w:rsid w:val="00744867"/>
    <w:rsid w:val="007506C1"/>
    <w:rsid w:val="007560BC"/>
    <w:rsid w:val="00775AA2"/>
    <w:rsid w:val="00790A35"/>
    <w:rsid w:val="00793BB8"/>
    <w:rsid w:val="007957CD"/>
    <w:rsid w:val="007A407A"/>
    <w:rsid w:val="007A6202"/>
    <w:rsid w:val="007A7ABE"/>
    <w:rsid w:val="007B0DCB"/>
    <w:rsid w:val="007B1C9F"/>
    <w:rsid w:val="007B24CD"/>
    <w:rsid w:val="007B3F36"/>
    <w:rsid w:val="007B7BA1"/>
    <w:rsid w:val="007C6BFA"/>
    <w:rsid w:val="007D2A57"/>
    <w:rsid w:val="007E6611"/>
    <w:rsid w:val="007E7B9C"/>
    <w:rsid w:val="00801594"/>
    <w:rsid w:val="0080268C"/>
    <w:rsid w:val="008105AC"/>
    <w:rsid w:val="008118BD"/>
    <w:rsid w:val="008131C3"/>
    <w:rsid w:val="0081640A"/>
    <w:rsid w:val="00816C45"/>
    <w:rsid w:val="00824521"/>
    <w:rsid w:val="00825021"/>
    <w:rsid w:val="00831C0A"/>
    <w:rsid w:val="00834592"/>
    <w:rsid w:val="00853044"/>
    <w:rsid w:val="008544CB"/>
    <w:rsid w:val="008561A0"/>
    <w:rsid w:val="008566D1"/>
    <w:rsid w:val="008567FD"/>
    <w:rsid w:val="00861883"/>
    <w:rsid w:val="00872AC5"/>
    <w:rsid w:val="00873934"/>
    <w:rsid w:val="008746F2"/>
    <w:rsid w:val="00892619"/>
    <w:rsid w:val="008A2D8B"/>
    <w:rsid w:val="008C2A03"/>
    <w:rsid w:val="008C477B"/>
    <w:rsid w:val="008D1342"/>
    <w:rsid w:val="008D73DB"/>
    <w:rsid w:val="008E0CD8"/>
    <w:rsid w:val="008E207F"/>
    <w:rsid w:val="008E254E"/>
    <w:rsid w:val="008E4301"/>
    <w:rsid w:val="008F05FE"/>
    <w:rsid w:val="0090190B"/>
    <w:rsid w:val="00903C8B"/>
    <w:rsid w:val="009102F0"/>
    <w:rsid w:val="00911F63"/>
    <w:rsid w:val="00922A1F"/>
    <w:rsid w:val="00925883"/>
    <w:rsid w:val="00926E31"/>
    <w:rsid w:val="00933854"/>
    <w:rsid w:val="0093775C"/>
    <w:rsid w:val="00944E0A"/>
    <w:rsid w:val="00951AA8"/>
    <w:rsid w:val="009606F3"/>
    <w:rsid w:val="00964AA7"/>
    <w:rsid w:val="00975D4F"/>
    <w:rsid w:val="00983F7D"/>
    <w:rsid w:val="00985E96"/>
    <w:rsid w:val="0099228A"/>
    <w:rsid w:val="009A003D"/>
    <w:rsid w:val="009A3333"/>
    <w:rsid w:val="009B1E1B"/>
    <w:rsid w:val="009B4549"/>
    <w:rsid w:val="009B5046"/>
    <w:rsid w:val="009B69C1"/>
    <w:rsid w:val="009C2B44"/>
    <w:rsid w:val="009C5D8B"/>
    <w:rsid w:val="009D703D"/>
    <w:rsid w:val="009E08E5"/>
    <w:rsid w:val="009E46DF"/>
    <w:rsid w:val="009E4CFD"/>
    <w:rsid w:val="009F57CE"/>
    <w:rsid w:val="009F5CA9"/>
    <w:rsid w:val="00A006EB"/>
    <w:rsid w:val="00A00D99"/>
    <w:rsid w:val="00A03B1D"/>
    <w:rsid w:val="00A0608E"/>
    <w:rsid w:val="00A0678D"/>
    <w:rsid w:val="00A07758"/>
    <w:rsid w:val="00A125C0"/>
    <w:rsid w:val="00A236A9"/>
    <w:rsid w:val="00A26B5A"/>
    <w:rsid w:val="00A26FCA"/>
    <w:rsid w:val="00A279A8"/>
    <w:rsid w:val="00A34387"/>
    <w:rsid w:val="00A35EFE"/>
    <w:rsid w:val="00A3646F"/>
    <w:rsid w:val="00A40718"/>
    <w:rsid w:val="00A416D4"/>
    <w:rsid w:val="00A41923"/>
    <w:rsid w:val="00A429B4"/>
    <w:rsid w:val="00A43DD3"/>
    <w:rsid w:val="00A44E32"/>
    <w:rsid w:val="00A539EF"/>
    <w:rsid w:val="00A5555B"/>
    <w:rsid w:val="00A6236B"/>
    <w:rsid w:val="00A6620D"/>
    <w:rsid w:val="00A75B32"/>
    <w:rsid w:val="00A803AD"/>
    <w:rsid w:val="00A81670"/>
    <w:rsid w:val="00A8175C"/>
    <w:rsid w:val="00A85053"/>
    <w:rsid w:val="00A86EC9"/>
    <w:rsid w:val="00A90002"/>
    <w:rsid w:val="00A905C9"/>
    <w:rsid w:val="00A93D5E"/>
    <w:rsid w:val="00A95322"/>
    <w:rsid w:val="00A9620B"/>
    <w:rsid w:val="00A97292"/>
    <w:rsid w:val="00AA697B"/>
    <w:rsid w:val="00AC0689"/>
    <w:rsid w:val="00AC6021"/>
    <w:rsid w:val="00AC71E8"/>
    <w:rsid w:val="00AE3D1D"/>
    <w:rsid w:val="00AE3DF6"/>
    <w:rsid w:val="00AE6509"/>
    <w:rsid w:val="00B02FFA"/>
    <w:rsid w:val="00B10D2E"/>
    <w:rsid w:val="00B132BB"/>
    <w:rsid w:val="00B1653D"/>
    <w:rsid w:val="00B2416E"/>
    <w:rsid w:val="00B2426B"/>
    <w:rsid w:val="00B257C5"/>
    <w:rsid w:val="00B26F53"/>
    <w:rsid w:val="00B33FD0"/>
    <w:rsid w:val="00B34CE1"/>
    <w:rsid w:val="00B37DD8"/>
    <w:rsid w:val="00B52CB6"/>
    <w:rsid w:val="00B53334"/>
    <w:rsid w:val="00B53913"/>
    <w:rsid w:val="00B541E1"/>
    <w:rsid w:val="00B55217"/>
    <w:rsid w:val="00B577AB"/>
    <w:rsid w:val="00B60FBB"/>
    <w:rsid w:val="00B63F80"/>
    <w:rsid w:val="00B642BB"/>
    <w:rsid w:val="00B73F2E"/>
    <w:rsid w:val="00B778C3"/>
    <w:rsid w:val="00B80553"/>
    <w:rsid w:val="00B85B6B"/>
    <w:rsid w:val="00B91312"/>
    <w:rsid w:val="00B92A29"/>
    <w:rsid w:val="00B93528"/>
    <w:rsid w:val="00B97EBE"/>
    <w:rsid w:val="00BA444D"/>
    <w:rsid w:val="00BB0480"/>
    <w:rsid w:val="00BB06F9"/>
    <w:rsid w:val="00BB2067"/>
    <w:rsid w:val="00BC0427"/>
    <w:rsid w:val="00BC57E7"/>
    <w:rsid w:val="00BD5F3D"/>
    <w:rsid w:val="00BD60E1"/>
    <w:rsid w:val="00BE3CDA"/>
    <w:rsid w:val="00BE5832"/>
    <w:rsid w:val="00BE6301"/>
    <w:rsid w:val="00C039A9"/>
    <w:rsid w:val="00C06300"/>
    <w:rsid w:val="00C06D8F"/>
    <w:rsid w:val="00C07872"/>
    <w:rsid w:val="00C12307"/>
    <w:rsid w:val="00C13C8A"/>
    <w:rsid w:val="00C156C6"/>
    <w:rsid w:val="00C225C2"/>
    <w:rsid w:val="00C456FB"/>
    <w:rsid w:val="00C5094B"/>
    <w:rsid w:val="00C605EA"/>
    <w:rsid w:val="00C619C3"/>
    <w:rsid w:val="00C639BC"/>
    <w:rsid w:val="00C707DD"/>
    <w:rsid w:val="00C7437C"/>
    <w:rsid w:val="00C757FD"/>
    <w:rsid w:val="00C76444"/>
    <w:rsid w:val="00C77A05"/>
    <w:rsid w:val="00C82728"/>
    <w:rsid w:val="00C957DD"/>
    <w:rsid w:val="00C964F6"/>
    <w:rsid w:val="00C979C6"/>
    <w:rsid w:val="00CB01DC"/>
    <w:rsid w:val="00CB3171"/>
    <w:rsid w:val="00CC2A16"/>
    <w:rsid w:val="00CC4F37"/>
    <w:rsid w:val="00CC6B35"/>
    <w:rsid w:val="00CD3F29"/>
    <w:rsid w:val="00CD65F1"/>
    <w:rsid w:val="00CF197D"/>
    <w:rsid w:val="00CF36CD"/>
    <w:rsid w:val="00D0119F"/>
    <w:rsid w:val="00D03014"/>
    <w:rsid w:val="00D03427"/>
    <w:rsid w:val="00D22E4D"/>
    <w:rsid w:val="00D253DA"/>
    <w:rsid w:val="00D26708"/>
    <w:rsid w:val="00D34F9D"/>
    <w:rsid w:val="00D36851"/>
    <w:rsid w:val="00D4710C"/>
    <w:rsid w:val="00D511B5"/>
    <w:rsid w:val="00D51F46"/>
    <w:rsid w:val="00D602E3"/>
    <w:rsid w:val="00D6043C"/>
    <w:rsid w:val="00D624B8"/>
    <w:rsid w:val="00D66A07"/>
    <w:rsid w:val="00D73947"/>
    <w:rsid w:val="00D739E4"/>
    <w:rsid w:val="00D73F5B"/>
    <w:rsid w:val="00D82984"/>
    <w:rsid w:val="00DA5922"/>
    <w:rsid w:val="00DB1399"/>
    <w:rsid w:val="00DB60AF"/>
    <w:rsid w:val="00DC0141"/>
    <w:rsid w:val="00DD1258"/>
    <w:rsid w:val="00DE1B3E"/>
    <w:rsid w:val="00DE45E3"/>
    <w:rsid w:val="00DE7F9F"/>
    <w:rsid w:val="00E0174C"/>
    <w:rsid w:val="00E16583"/>
    <w:rsid w:val="00E17CA2"/>
    <w:rsid w:val="00E261FA"/>
    <w:rsid w:val="00E26E10"/>
    <w:rsid w:val="00E34FBA"/>
    <w:rsid w:val="00E35270"/>
    <w:rsid w:val="00E4062A"/>
    <w:rsid w:val="00E41F16"/>
    <w:rsid w:val="00E43BA0"/>
    <w:rsid w:val="00E46395"/>
    <w:rsid w:val="00E5201D"/>
    <w:rsid w:val="00E551FB"/>
    <w:rsid w:val="00E55DDD"/>
    <w:rsid w:val="00E61A66"/>
    <w:rsid w:val="00E61B4D"/>
    <w:rsid w:val="00E64643"/>
    <w:rsid w:val="00E73854"/>
    <w:rsid w:val="00E74B18"/>
    <w:rsid w:val="00E955C8"/>
    <w:rsid w:val="00EA5BA8"/>
    <w:rsid w:val="00EA5F11"/>
    <w:rsid w:val="00EB05A0"/>
    <w:rsid w:val="00EB1BED"/>
    <w:rsid w:val="00EB58FF"/>
    <w:rsid w:val="00EC2FD6"/>
    <w:rsid w:val="00ED3003"/>
    <w:rsid w:val="00ED6FD6"/>
    <w:rsid w:val="00EE05A6"/>
    <w:rsid w:val="00EE1625"/>
    <w:rsid w:val="00EE49A6"/>
    <w:rsid w:val="00EE49BA"/>
    <w:rsid w:val="00EF3F1D"/>
    <w:rsid w:val="00EF42F1"/>
    <w:rsid w:val="00F11F3C"/>
    <w:rsid w:val="00F160D7"/>
    <w:rsid w:val="00F37E2C"/>
    <w:rsid w:val="00F5717B"/>
    <w:rsid w:val="00F7118F"/>
    <w:rsid w:val="00F7147F"/>
    <w:rsid w:val="00FA2C2C"/>
    <w:rsid w:val="00FA7345"/>
    <w:rsid w:val="00FB2F0B"/>
    <w:rsid w:val="00FB69B4"/>
    <w:rsid w:val="00FC2ADF"/>
    <w:rsid w:val="00FD17A4"/>
    <w:rsid w:val="00FD32A5"/>
    <w:rsid w:val="00FD4B29"/>
    <w:rsid w:val="00FE3D91"/>
    <w:rsid w:val="00FE54D6"/>
    <w:rsid w:val="00FE5DDC"/>
    <w:rsid w:val="00FE6FAF"/>
    <w:rsid w:val="00FF2224"/>
    <w:rsid w:val="00FF27E0"/>
    <w:rsid w:val="00FF49E2"/>
    <w:rsid w:val="01222CDE"/>
    <w:rsid w:val="01997EE2"/>
    <w:rsid w:val="020D44B3"/>
    <w:rsid w:val="023A780C"/>
    <w:rsid w:val="026A7A17"/>
    <w:rsid w:val="02C8280D"/>
    <w:rsid w:val="03516E52"/>
    <w:rsid w:val="03CA32FF"/>
    <w:rsid w:val="04365C0D"/>
    <w:rsid w:val="051C2CDE"/>
    <w:rsid w:val="05422670"/>
    <w:rsid w:val="054C3D19"/>
    <w:rsid w:val="05F4262E"/>
    <w:rsid w:val="0651197A"/>
    <w:rsid w:val="067B1C86"/>
    <w:rsid w:val="069200CE"/>
    <w:rsid w:val="06D77179"/>
    <w:rsid w:val="077D55B7"/>
    <w:rsid w:val="08A7456D"/>
    <w:rsid w:val="091B0BD8"/>
    <w:rsid w:val="099A1503"/>
    <w:rsid w:val="0A675D1A"/>
    <w:rsid w:val="0ADB0F46"/>
    <w:rsid w:val="0B220225"/>
    <w:rsid w:val="0C460641"/>
    <w:rsid w:val="0D32324A"/>
    <w:rsid w:val="0EF96BCA"/>
    <w:rsid w:val="0F1C056E"/>
    <w:rsid w:val="0F861363"/>
    <w:rsid w:val="10370164"/>
    <w:rsid w:val="10950A41"/>
    <w:rsid w:val="1114126D"/>
    <w:rsid w:val="117A0D1D"/>
    <w:rsid w:val="1283439D"/>
    <w:rsid w:val="1285376F"/>
    <w:rsid w:val="138F74A5"/>
    <w:rsid w:val="13EF1CB7"/>
    <w:rsid w:val="13F75FEA"/>
    <w:rsid w:val="1432340B"/>
    <w:rsid w:val="14396C93"/>
    <w:rsid w:val="14C91303"/>
    <w:rsid w:val="14D100C4"/>
    <w:rsid w:val="14D6013F"/>
    <w:rsid w:val="14DC2BD0"/>
    <w:rsid w:val="14EF4731"/>
    <w:rsid w:val="15AC2454"/>
    <w:rsid w:val="15E8247F"/>
    <w:rsid w:val="15F72C14"/>
    <w:rsid w:val="17620E04"/>
    <w:rsid w:val="17C70995"/>
    <w:rsid w:val="181C1B00"/>
    <w:rsid w:val="181E3888"/>
    <w:rsid w:val="18A81946"/>
    <w:rsid w:val="192429E3"/>
    <w:rsid w:val="19647B69"/>
    <w:rsid w:val="199028C9"/>
    <w:rsid w:val="19AC24C6"/>
    <w:rsid w:val="1A5F6500"/>
    <w:rsid w:val="1AF56210"/>
    <w:rsid w:val="1C57306A"/>
    <w:rsid w:val="1CA0029C"/>
    <w:rsid w:val="1CB66D06"/>
    <w:rsid w:val="1CBF13A0"/>
    <w:rsid w:val="1D2772C0"/>
    <w:rsid w:val="1E1D35EF"/>
    <w:rsid w:val="1EEB0AA5"/>
    <w:rsid w:val="203357D2"/>
    <w:rsid w:val="20584B8B"/>
    <w:rsid w:val="208F6517"/>
    <w:rsid w:val="20A96D23"/>
    <w:rsid w:val="211A545E"/>
    <w:rsid w:val="2205388A"/>
    <w:rsid w:val="23103EC2"/>
    <w:rsid w:val="236B4418"/>
    <w:rsid w:val="23827926"/>
    <w:rsid w:val="23AB4992"/>
    <w:rsid w:val="23BF7EC7"/>
    <w:rsid w:val="24172B97"/>
    <w:rsid w:val="24834476"/>
    <w:rsid w:val="24D66A5E"/>
    <w:rsid w:val="24D82656"/>
    <w:rsid w:val="2529627D"/>
    <w:rsid w:val="255319AC"/>
    <w:rsid w:val="25866280"/>
    <w:rsid w:val="25AD0BB1"/>
    <w:rsid w:val="27304209"/>
    <w:rsid w:val="27DD0D79"/>
    <w:rsid w:val="27EB3E4D"/>
    <w:rsid w:val="28294865"/>
    <w:rsid w:val="287B6FF9"/>
    <w:rsid w:val="297168A5"/>
    <w:rsid w:val="298A412C"/>
    <w:rsid w:val="29EE439A"/>
    <w:rsid w:val="29FB2BBC"/>
    <w:rsid w:val="2A006616"/>
    <w:rsid w:val="2A2F3F82"/>
    <w:rsid w:val="2BEC2107"/>
    <w:rsid w:val="2E87381F"/>
    <w:rsid w:val="2F4079DE"/>
    <w:rsid w:val="30DE447F"/>
    <w:rsid w:val="30F05D16"/>
    <w:rsid w:val="313C48D0"/>
    <w:rsid w:val="335D168C"/>
    <w:rsid w:val="34A75447"/>
    <w:rsid w:val="34AC5301"/>
    <w:rsid w:val="34DE1EF0"/>
    <w:rsid w:val="351D07E7"/>
    <w:rsid w:val="352826B8"/>
    <w:rsid w:val="36B155D5"/>
    <w:rsid w:val="36DB2095"/>
    <w:rsid w:val="378230B9"/>
    <w:rsid w:val="38411B0F"/>
    <w:rsid w:val="38786BD4"/>
    <w:rsid w:val="390C6256"/>
    <w:rsid w:val="390E23FF"/>
    <w:rsid w:val="3A5575E1"/>
    <w:rsid w:val="3AB86093"/>
    <w:rsid w:val="3AD12D84"/>
    <w:rsid w:val="3B282D31"/>
    <w:rsid w:val="3BEB6B9E"/>
    <w:rsid w:val="3BF43E48"/>
    <w:rsid w:val="3C7966F0"/>
    <w:rsid w:val="3CC440A3"/>
    <w:rsid w:val="3D6A7D83"/>
    <w:rsid w:val="3D7C79B2"/>
    <w:rsid w:val="3DA054AE"/>
    <w:rsid w:val="3EF041C9"/>
    <w:rsid w:val="3F125FDD"/>
    <w:rsid w:val="3F485EA2"/>
    <w:rsid w:val="401C6802"/>
    <w:rsid w:val="40721429"/>
    <w:rsid w:val="408700F6"/>
    <w:rsid w:val="40B202E9"/>
    <w:rsid w:val="41654381"/>
    <w:rsid w:val="41711C71"/>
    <w:rsid w:val="425A43EC"/>
    <w:rsid w:val="429976BA"/>
    <w:rsid w:val="43107552"/>
    <w:rsid w:val="431743E0"/>
    <w:rsid w:val="432B7BB0"/>
    <w:rsid w:val="43625D1A"/>
    <w:rsid w:val="43F63E0D"/>
    <w:rsid w:val="44005CEC"/>
    <w:rsid w:val="445842B1"/>
    <w:rsid w:val="44613151"/>
    <w:rsid w:val="448C05DF"/>
    <w:rsid w:val="451E4E4B"/>
    <w:rsid w:val="457A51CE"/>
    <w:rsid w:val="45AC3495"/>
    <w:rsid w:val="45E11A85"/>
    <w:rsid w:val="464427EB"/>
    <w:rsid w:val="464B11CF"/>
    <w:rsid w:val="4799373F"/>
    <w:rsid w:val="47BE5D39"/>
    <w:rsid w:val="481D611E"/>
    <w:rsid w:val="482568A4"/>
    <w:rsid w:val="48D344BF"/>
    <w:rsid w:val="48DE7735"/>
    <w:rsid w:val="49067D22"/>
    <w:rsid w:val="490C551E"/>
    <w:rsid w:val="49217B3B"/>
    <w:rsid w:val="498D029E"/>
    <w:rsid w:val="499C10F1"/>
    <w:rsid w:val="49EA3262"/>
    <w:rsid w:val="4A0C6471"/>
    <w:rsid w:val="4A123335"/>
    <w:rsid w:val="4A54394D"/>
    <w:rsid w:val="4A5F61B3"/>
    <w:rsid w:val="4A977EAC"/>
    <w:rsid w:val="4AD475A2"/>
    <w:rsid w:val="4AD957A6"/>
    <w:rsid w:val="4B0551C6"/>
    <w:rsid w:val="4B264AD3"/>
    <w:rsid w:val="4BB57E6E"/>
    <w:rsid w:val="4BBA3C84"/>
    <w:rsid w:val="4BF44E09"/>
    <w:rsid w:val="4CC43F81"/>
    <w:rsid w:val="4D302450"/>
    <w:rsid w:val="4D6A4716"/>
    <w:rsid w:val="4DAC584E"/>
    <w:rsid w:val="4E8C4693"/>
    <w:rsid w:val="4EDC3CDC"/>
    <w:rsid w:val="4F9C201E"/>
    <w:rsid w:val="4FAD2727"/>
    <w:rsid w:val="50DB6B76"/>
    <w:rsid w:val="50F9100B"/>
    <w:rsid w:val="511D1AB0"/>
    <w:rsid w:val="51F230A8"/>
    <w:rsid w:val="520A436D"/>
    <w:rsid w:val="525047AF"/>
    <w:rsid w:val="52573B89"/>
    <w:rsid w:val="52627165"/>
    <w:rsid w:val="5298189D"/>
    <w:rsid w:val="52D36D4C"/>
    <w:rsid w:val="53C65326"/>
    <w:rsid w:val="54B377C1"/>
    <w:rsid w:val="54CC4FC3"/>
    <w:rsid w:val="54EA3005"/>
    <w:rsid w:val="54F800A9"/>
    <w:rsid w:val="550F77B6"/>
    <w:rsid w:val="552B1E8F"/>
    <w:rsid w:val="555B2034"/>
    <w:rsid w:val="56A63EE5"/>
    <w:rsid w:val="572D5A1B"/>
    <w:rsid w:val="57423C76"/>
    <w:rsid w:val="580F7106"/>
    <w:rsid w:val="5845667E"/>
    <w:rsid w:val="58BC314B"/>
    <w:rsid w:val="58CD22C6"/>
    <w:rsid w:val="59F05082"/>
    <w:rsid w:val="5B060C94"/>
    <w:rsid w:val="5C1111ED"/>
    <w:rsid w:val="5D2C4C3F"/>
    <w:rsid w:val="5D97602F"/>
    <w:rsid w:val="5DD80C66"/>
    <w:rsid w:val="5E035230"/>
    <w:rsid w:val="5E151EE3"/>
    <w:rsid w:val="5FAC12E8"/>
    <w:rsid w:val="601F2F6A"/>
    <w:rsid w:val="603030AC"/>
    <w:rsid w:val="604B22CB"/>
    <w:rsid w:val="60F50A59"/>
    <w:rsid w:val="61FB3091"/>
    <w:rsid w:val="62224451"/>
    <w:rsid w:val="623A20BC"/>
    <w:rsid w:val="627E26A1"/>
    <w:rsid w:val="62B250FC"/>
    <w:rsid w:val="62E23D94"/>
    <w:rsid w:val="62EF64B1"/>
    <w:rsid w:val="635D0157"/>
    <w:rsid w:val="63925E79"/>
    <w:rsid w:val="63DE27AE"/>
    <w:rsid w:val="6468763C"/>
    <w:rsid w:val="64F2628F"/>
    <w:rsid w:val="64F75F3F"/>
    <w:rsid w:val="652A2375"/>
    <w:rsid w:val="654F09FE"/>
    <w:rsid w:val="66284E83"/>
    <w:rsid w:val="66520FB6"/>
    <w:rsid w:val="66B47981"/>
    <w:rsid w:val="67B376A9"/>
    <w:rsid w:val="6828049B"/>
    <w:rsid w:val="685970CE"/>
    <w:rsid w:val="68777756"/>
    <w:rsid w:val="690F6297"/>
    <w:rsid w:val="69132EFA"/>
    <w:rsid w:val="69E84D38"/>
    <w:rsid w:val="69FB056C"/>
    <w:rsid w:val="6A375ABF"/>
    <w:rsid w:val="6A4C7E59"/>
    <w:rsid w:val="6A575F14"/>
    <w:rsid w:val="6AD66FD5"/>
    <w:rsid w:val="6B8D773B"/>
    <w:rsid w:val="6C065A9E"/>
    <w:rsid w:val="6C187D8C"/>
    <w:rsid w:val="6C5F4336"/>
    <w:rsid w:val="6CD440AA"/>
    <w:rsid w:val="6CF959D6"/>
    <w:rsid w:val="6D6B44D7"/>
    <w:rsid w:val="6D6C0E2A"/>
    <w:rsid w:val="6D9427AA"/>
    <w:rsid w:val="6DA468A5"/>
    <w:rsid w:val="6E4A3FFA"/>
    <w:rsid w:val="6E5D72C4"/>
    <w:rsid w:val="6E9F2B3A"/>
    <w:rsid w:val="6F555688"/>
    <w:rsid w:val="6FBD310C"/>
    <w:rsid w:val="6FD9045C"/>
    <w:rsid w:val="70097500"/>
    <w:rsid w:val="705C4D63"/>
    <w:rsid w:val="70863E87"/>
    <w:rsid w:val="70D6480D"/>
    <w:rsid w:val="70DA239B"/>
    <w:rsid w:val="71091155"/>
    <w:rsid w:val="71EE400C"/>
    <w:rsid w:val="72764553"/>
    <w:rsid w:val="72A132FF"/>
    <w:rsid w:val="7306507E"/>
    <w:rsid w:val="73394BB6"/>
    <w:rsid w:val="73825DEF"/>
    <w:rsid w:val="739E76F8"/>
    <w:rsid w:val="73A56E44"/>
    <w:rsid w:val="747D0755"/>
    <w:rsid w:val="752913AF"/>
    <w:rsid w:val="76D8308D"/>
    <w:rsid w:val="777D532B"/>
    <w:rsid w:val="778E20E6"/>
    <w:rsid w:val="77F521CE"/>
    <w:rsid w:val="78F263D1"/>
    <w:rsid w:val="79366790"/>
    <w:rsid w:val="79A36D9F"/>
    <w:rsid w:val="79C94CB0"/>
    <w:rsid w:val="79CB2046"/>
    <w:rsid w:val="79D67CC6"/>
    <w:rsid w:val="7A062B0E"/>
    <w:rsid w:val="7A99417F"/>
    <w:rsid w:val="7A9A3908"/>
    <w:rsid w:val="7AC42395"/>
    <w:rsid w:val="7B537186"/>
    <w:rsid w:val="7B5921E4"/>
    <w:rsid w:val="7D8F4035"/>
    <w:rsid w:val="7DC23CD2"/>
    <w:rsid w:val="7DF2482C"/>
    <w:rsid w:val="7E203C03"/>
    <w:rsid w:val="7E4D70E3"/>
    <w:rsid w:val="7E5E2A09"/>
    <w:rsid w:val="7E7E1598"/>
    <w:rsid w:val="7E9C43FE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80" w:lineRule="atLeas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4"/>
    <w:autoRedefine/>
    <w:qFormat/>
    <w:uiPriority w:val="0"/>
    <w:pPr>
      <w:keepNext/>
      <w:keepLines/>
      <w:numPr>
        <w:ilvl w:val="0"/>
        <w:numId w:val="1"/>
      </w:numPr>
      <w:topLinePunct/>
      <w:adjustRightInd w:val="0"/>
      <w:snapToGrid w:val="0"/>
      <w:ind w:firstLineChars="0"/>
      <w:jc w:val="left"/>
      <w:textAlignment w:val="center"/>
      <w:outlineLvl w:val="0"/>
    </w:pPr>
    <w:rPr>
      <w:b/>
      <w:bCs/>
      <w:snapToGrid w:val="0"/>
      <w:kern w:val="0"/>
      <w:sz w:val="28"/>
      <w:szCs w:val="32"/>
    </w:rPr>
  </w:style>
  <w:style w:type="paragraph" w:styleId="2">
    <w:name w:val="heading 2"/>
    <w:basedOn w:val="1"/>
    <w:next w:val="1"/>
    <w:autoRedefine/>
    <w:qFormat/>
    <w:uiPriority w:val="0"/>
    <w:pPr>
      <w:tabs>
        <w:tab w:val="left" w:pos="432"/>
      </w:tabs>
      <w:outlineLvl w:val="1"/>
    </w:pPr>
    <w:rPr>
      <w:rFonts w:cs="宋体"/>
      <w:color w:val="000000"/>
    </w:rPr>
  </w:style>
  <w:style w:type="paragraph" w:styleId="5">
    <w:name w:val="heading 3"/>
    <w:basedOn w:val="3"/>
    <w:next w:val="1"/>
    <w:link w:val="34"/>
    <w:unhideWhenUsed/>
    <w:qFormat/>
    <w:uiPriority w:val="0"/>
    <w:pPr>
      <w:spacing w:before="260" w:after="260" w:line="416" w:lineRule="atLeast"/>
      <w:outlineLvl w:val="2"/>
    </w:pPr>
    <w:rPr>
      <w:sz w:val="32"/>
    </w:rPr>
  </w:style>
  <w:style w:type="paragraph" w:styleId="6">
    <w:name w:val="heading 4"/>
    <w:basedOn w:val="1"/>
    <w:next w:val="1"/>
    <w:link w:val="35"/>
    <w:autoRedefine/>
    <w:qFormat/>
    <w:uiPriority w:val="0"/>
    <w:pPr>
      <w:keepNext/>
      <w:keepLines/>
      <w:tabs>
        <w:tab w:val="left" w:pos="864"/>
      </w:tabs>
      <w:topLinePunct/>
      <w:adjustRightInd w:val="0"/>
      <w:snapToGrid w:val="0"/>
      <w:ind w:left="864" w:hanging="864" w:firstLineChars="0"/>
      <w:textAlignment w:val="center"/>
      <w:outlineLvl w:val="3"/>
    </w:pPr>
    <w:rPr>
      <w:rFonts w:ascii="仿宋_GB2312" w:hAnsi="Calibri" w:eastAsia="仿宋_GB2312"/>
      <w:b/>
      <w:bCs/>
      <w:lang w:val="sv-SE"/>
    </w:rPr>
  </w:style>
  <w:style w:type="paragraph" w:styleId="7">
    <w:name w:val="heading 5"/>
    <w:basedOn w:val="1"/>
    <w:next w:val="1"/>
    <w:link w:val="36"/>
    <w:autoRedefine/>
    <w:qFormat/>
    <w:uiPriority w:val="0"/>
    <w:pPr>
      <w:keepNext/>
      <w:keepLines/>
      <w:tabs>
        <w:tab w:val="left" w:pos="1008"/>
      </w:tabs>
      <w:topLinePunct/>
      <w:adjustRightInd w:val="0"/>
      <w:snapToGrid w:val="0"/>
      <w:ind w:firstLine="0" w:firstLineChars="0"/>
      <w:textAlignment w:val="center"/>
      <w:outlineLvl w:val="4"/>
    </w:pPr>
    <w:rPr>
      <w:rFonts w:ascii="仿宋_GB2312" w:hAnsi="Calibri" w:eastAsia="仿宋_GB2312"/>
      <w:b/>
      <w:bCs/>
      <w:szCs w:val="28"/>
    </w:rPr>
  </w:style>
  <w:style w:type="paragraph" w:styleId="8">
    <w:name w:val="heading 6"/>
    <w:basedOn w:val="1"/>
    <w:next w:val="1"/>
    <w:link w:val="38"/>
    <w:autoRedefine/>
    <w:unhideWhenUsed/>
    <w:qFormat/>
    <w:uiPriority w:val="0"/>
    <w:pPr>
      <w:spacing w:beforeLines="10" w:afterLines="10" w:line="300" w:lineRule="auto"/>
      <w:ind w:firstLine="0" w:firstLineChars="0"/>
      <w:outlineLvl w:val="5"/>
    </w:pPr>
    <w:rPr>
      <w:rFonts w:asciiTheme="majorHAnsi" w:hAnsiTheme="majorHAnsi" w:eastAsiaTheme="majorEastAsia" w:cstheme="majorBidi"/>
      <w:b/>
      <w:bCs/>
      <w:kern w:val="0"/>
    </w:rPr>
  </w:style>
  <w:style w:type="paragraph" w:styleId="9">
    <w:name w:val="heading 7"/>
    <w:basedOn w:val="1"/>
    <w:next w:val="10"/>
    <w:link w:val="47"/>
    <w:autoRedefine/>
    <w:qFormat/>
    <w:uiPriority w:val="99"/>
    <w:pPr>
      <w:keepNext/>
      <w:keepLines/>
      <w:spacing w:line="360" w:lineRule="auto"/>
      <w:ind w:firstLine="0" w:firstLineChars="0"/>
      <w:outlineLvl w:val="6"/>
    </w:pPr>
    <w:rPr>
      <w:rFonts w:ascii="宋体" w:hAnsi="宋体"/>
      <w:sz w:val="21"/>
      <w:szCs w:val="21"/>
    </w:rPr>
  </w:style>
  <w:style w:type="paragraph" w:styleId="12">
    <w:name w:val="heading 8"/>
    <w:basedOn w:val="1"/>
    <w:next w:val="10"/>
    <w:link w:val="48"/>
    <w:autoRedefine/>
    <w:qFormat/>
    <w:uiPriority w:val="99"/>
    <w:pPr>
      <w:keepNext/>
      <w:keepLines/>
      <w:spacing w:line="317" w:lineRule="auto"/>
      <w:ind w:firstLine="0" w:firstLineChars="0"/>
      <w:outlineLvl w:val="7"/>
    </w:pPr>
    <w:rPr>
      <w:rFonts w:asciiTheme="minorHAnsi" w:hAnsiTheme="minorHAnsi" w:eastAsiaTheme="minorEastAsia"/>
      <w:sz w:val="21"/>
      <w:szCs w:val="21"/>
    </w:rPr>
  </w:style>
  <w:style w:type="paragraph" w:styleId="13">
    <w:name w:val="heading 9"/>
    <w:basedOn w:val="1"/>
    <w:next w:val="10"/>
    <w:link w:val="49"/>
    <w:autoRedefine/>
    <w:qFormat/>
    <w:uiPriority w:val="99"/>
    <w:pPr>
      <w:keepNext/>
      <w:keepLines/>
      <w:spacing w:line="317" w:lineRule="auto"/>
      <w:ind w:firstLine="0" w:firstLineChars="0"/>
      <w:outlineLvl w:val="8"/>
    </w:pPr>
    <w:rPr>
      <w:rFonts w:ascii="宋体" w:hAnsi="宋体"/>
      <w:sz w:val="21"/>
      <w:szCs w:val="20"/>
    </w:rPr>
  </w:style>
  <w:style w:type="character" w:default="1" w:styleId="24">
    <w:name w:val="Default Paragraph Font"/>
    <w:autoRedefine/>
    <w:semiHidden/>
    <w:unhideWhenUsed/>
    <w:qFormat/>
    <w:uiPriority w:val="1"/>
  </w:style>
  <w:style w:type="table" w:default="1" w:styleId="2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autoRedefine/>
    <w:unhideWhenUsed/>
    <w:qFormat/>
    <w:uiPriority w:val="99"/>
    <w:pPr>
      <w:ind w:firstLine="420"/>
    </w:pPr>
  </w:style>
  <w:style w:type="paragraph" w:styleId="10">
    <w:name w:val="Normal Indent"/>
    <w:basedOn w:val="1"/>
    <w:next w:val="11"/>
    <w:autoRedefine/>
    <w:qFormat/>
    <w:uiPriority w:val="0"/>
    <w:pPr>
      <w:ind w:firstLine="420"/>
    </w:pPr>
  </w:style>
  <w:style w:type="paragraph" w:styleId="11">
    <w:name w:val="header"/>
    <w:basedOn w:val="1"/>
    <w:autoRedefine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4">
    <w:name w:val="annotation text"/>
    <w:basedOn w:val="1"/>
    <w:autoRedefine/>
    <w:qFormat/>
    <w:uiPriority w:val="0"/>
    <w:pPr>
      <w:jc w:val="left"/>
    </w:pPr>
  </w:style>
  <w:style w:type="paragraph" w:styleId="15">
    <w:name w:val="Body Text"/>
    <w:basedOn w:val="1"/>
    <w:next w:val="16"/>
    <w:link w:val="50"/>
    <w:autoRedefine/>
    <w:qFormat/>
    <w:uiPriority w:val="99"/>
    <w:pPr>
      <w:spacing w:after="120"/>
    </w:pPr>
  </w:style>
  <w:style w:type="paragraph" w:styleId="16">
    <w:name w:val="Title"/>
    <w:basedOn w:val="1"/>
    <w:next w:val="1"/>
    <w:autoRedefine/>
    <w:qFormat/>
    <w:uiPriority w:val="0"/>
    <w:pPr>
      <w:pBdr>
        <w:bottom w:val="single" w:color="4F81BD" w:sz="8" w:space="4"/>
      </w:pBdr>
      <w:spacing w:after="300"/>
      <w:ind w:firstLine="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17">
    <w:name w:val="Body Text Indent"/>
    <w:basedOn w:val="1"/>
    <w:autoRedefine/>
    <w:qFormat/>
    <w:uiPriority w:val="0"/>
    <w:pPr>
      <w:spacing w:after="120"/>
      <w:ind w:left="200" w:leftChars="200"/>
    </w:pPr>
  </w:style>
  <w:style w:type="paragraph" w:styleId="18">
    <w:name w:val="toc 3"/>
    <w:basedOn w:val="1"/>
    <w:next w:val="1"/>
    <w:autoRedefine/>
    <w:qFormat/>
    <w:uiPriority w:val="39"/>
    <w:pPr>
      <w:ind w:left="840" w:leftChars="400"/>
    </w:pPr>
  </w:style>
  <w:style w:type="paragraph" w:styleId="19">
    <w:name w:val="Balloon Text"/>
    <w:basedOn w:val="1"/>
    <w:link w:val="37"/>
    <w:autoRedefine/>
    <w:qFormat/>
    <w:uiPriority w:val="0"/>
    <w:pPr>
      <w:spacing w:line="240" w:lineRule="auto"/>
    </w:pPr>
    <w:rPr>
      <w:sz w:val="18"/>
      <w:szCs w:val="18"/>
    </w:rPr>
  </w:style>
  <w:style w:type="paragraph" w:styleId="20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21">
    <w:name w:val="toc 1"/>
    <w:basedOn w:val="1"/>
    <w:next w:val="1"/>
    <w:qFormat/>
    <w:uiPriority w:val="39"/>
    <w:pPr>
      <w:tabs>
        <w:tab w:val="left" w:pos="630"/>
        <w:tab w:val="right" w:leader="dot" w:pos="9288"/>
      </w:tabs>
      <w:ind w:firstLine="480" w:firstLineChars="0"/>
      <w:jc w:val="left"/>
    </w:pPr>
    <w:rPr>
      <w:b/>
      <w:bCs/>
      <w:caps/>
      <w:szCs w:val="20"/>
    </w:rPr>
  </w:style>
  <w:style w:type="paragraph" w:styleId="22">
    <w:name w:val="toc 2"/>
    <w:basedOn w:val="1"/>
    <w:next w:val="1"/>
    <w:autoRedefine/>
    <w:qFormat/>
    <w:uiPriority w:val="39"/>
    <w:pPr>
      <w:tabs>
        <w:tab w:val="left" w:pos="1050"/>
        <w:tab w:val="right" w:leader="dot" w:pos="9288"/>
      </w:tabs>
      <w:ind w:left="425" w:leftChars="177" w:firstLine="210" w:firstLineChars="100"/>
      <w:jc w:val="left"/>
    </w:pPr>
    <w:rPr>
      <w:smallCaps/>
      <w:sz w:val="21"/>
      <w:szCs w:val="20"/>
    </w:rPr>
  </w:style>
  <w:style w:type="character" w:styleId="25">
    <w:name w:val="page number"/>
    <w:basedOn w:val="24"/>
    <w:autoRedefine/>
    <w:semiHidden/>
    <w:qFormat/>
    <w:uiPriority w:val="0"/>
  </w:style>
  <w:style w:type="character" w:styleId="26">
    <w:name w:val="Hyperlink"/>
    <w:basedOn w:val="2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4"/>
    <w:autoRedefine/>
    <w:qFormat/>
    <w:uiPriority w:val="0"/>
    <w:rPr>
      <w:sz w:val="21"/>
      <w:szCs w:val="21"/>
    </w:rPr>
  </w:style>
  <w:style w:type="paragraph" w:customStyle="1" w:styleId="28">
    <w:name w:val="封面一级标题文字"/>
    <w:basedOn w:val="1"/>
    <w:autoRedefine/>
    <w:semiHidden/>
    <w:qFormat/>
    <w:uiPriority w:val="0"/>
    <w:pPr>
      <w:spacing w:line="640" w:lineRule="exact"/>
      <w:ind w:firstLine="0" w:firstLineChars="0"/>
      <w:jc w:val="center"/>
    </w:pPr>
    <w:rPr>
      <w:rFonts w:ascii="黑体" w:hAnsi="黑体" w:eastAsia="黑体"/>
      <w:b/>
      <w:bCs/>
      <w:sz w:val="52"/>
    </w:rPr>
  </w:style>
  <w:style w:type="paragraph" w:customStyle="1" w:styleId="29">
    <w:name w:val="封面二级标题文字"/>
    <w:basedOn w:val="1"/>
    <w:autoRedefine/>
    <w:semiHidden/>
    <w:qFormat/>
    <w:uiPriority w:val="0"/>
    <w:pPr>
      <w:ind w:firstLine="0" w:firstLineChars="0"/>
      <w:jc w:val="center"/>
    </w:pPr>
    <w:rPr>
      <w:rFonts w:ascii="黑体" w:eastAsia="黑体"/>
      <w:b/>
      <w:sz w:val="44"/>
      <w:szCs w:val="44"/>
    </w:rPr>
  </w:style>
  <w:style w:type="paragraph" w:customStyle="1" w:styleId="30">
    <w:name w:val="封面“EPC联合体”中文文字"/>
    <w:basedOn w:val="1"/>
    <w:autoRedefine/>
    <w:semiHidden/>
    <w:qFormat/>
    <w:uiPriority w:val="0"/>
    <w:pPr>
      <w:ind w:firstLine="0" w:firstLineChars="0"/>
      <w:jc w:val="center"/>
    </w:pPr>
    <w:rPr>
      <w:rFonts w:hAnsi="宋体"/>
      <w:b/>
      <w:sz w:val="32"/>
      <w:szCs w:val="32"/>
    </w:rPr>
  </w:style>
  <w:style w:type="paragraph" w:customStyle="1" w:styleId="31">
    <w:name w:val="封面日期地点文字"/>
    <w:basedOn w:val="1"/>
    <w:autoRedefine/>
    <w:semiHidden/>
    <w:qFormat/>
    <w:uiPriority w:val="0"/>
    <w:pPr>
      <w:spacing w:line="360" w:lineRule="exact"/>
      <w:ind w:firstLine="0" w:firstLineChars="0"/>
      <w:jc w:val="center"/>
    </w:pPr>
    <w:rPr>
      <w:sz w:val="32"/>
      <w:szCs w:val="32"/>
    </w:rPr>
  </w:style>
  <w:style w:type="paragraph" w:customStyle="1" w:styleId="32">
    <w:name w:val="签名页文字"/>
    <w:basedOn w:val="1"/>
    <w:autoRedefine/>
    <w:semiHidden/>
    <w:qFormat/>
    <w:uiPriority w:val="0"/>
    <w:pPr>
      <w:spacing w:line="600" w:lineRule="exact"/>
      <w:ind w:left="1100" w:leftChars="1100" w:firstLine="0" w:firstLineChars="0"/>
    </w:pPr>
    <w:rPr>
      <w:sz w:val="32"/>
      <w:szCs w:val="32"/>
    </w:rPr>
  </w:style>
  <w:style w:type="paragraph" w:customStyle="1" w:styleId="33">
    <w:name w:val="“目录”"/>
    <w:basedOn w:val="1"/>
    <w:autoRedefine/>
    <w:semiHidden/>
    <w:qFormat/>
    <w:uiPriority w:val="0"/>
    <w:pPr>
      <w:ind w:firstLine="0" w:firstLineChars="0"/>
      <w:jc w:val="center"/>
    </w:pPr>
    <w:rPr>
      <w:b/>
      <w:sz w:val="44"/>
    </w:rPr>
  </w:style>
  <w:style w:type="character" w:customStyle="1" w:styleId="34">
    <w:name w:val="标题 3 Char"/>
    <w:basedOn w:val="24"/>
    <w:link w:val="5"/>
    <w:autoRedefine/>
    <w:qFormat/>
    <w:uiPriority w:val="0"/>
    <w:rPr>
      <w:b/>
      <w:bCs/>
      <w:snapToGrid w:val="0"/>
      <w:sz w:val="32"/>
      <w:szCs w:val="32"/>
    </w:rPr>
  </w:style>
  <w:style w:type="character" w:customStyle="1" w:styleId="35">
    <w:name w:val="标题 4 Char"/>
    <w:basedOn w:val="24"/>
    <w:link w:val="6"/>
    <w:qFormat/>
    <w:uiPriority w:val="0"/>
    <w:rPr>
      <w:b/>
      <w:bCs/>
      <w:kern w:val="2"/>
      <w:sz w:val="24"/>
      <w:szCs w:val="24"/>
      <w:lang w:val="sv-SE"/>
    </w:rPr>
  </w:style>
  <w:style w:type="character" w:customStyle="1" w:styleId="36">
    <w:name w:val="标题 5 Char"/>
    <w:basedOn w:val="24"/>
    <w:link w:val="7"/>
    <w:qFormat/>
    <w:uiPriority w:val="0"/>
    <w:rPr>
      <w:b/>
      <w:bCs/>
      <w:kern w:val="2"/>
      <w:sz w:val="24"/>
      <w:szCs w:val="28"/>
    </w:rPr>
  </w:style>
  <w:style w:type="character" w:customStyle="1" w:styleId="37">
    <w:name w:val="批注框文本 Char"/>
    <w:basedOn w:val="24"/>
    <w:link w:val="19"/>
    <w:autoRedefine/>
    <w:qFormat/>
    <w:uiPriority w:val="0"/>
    <w:rPr>
      <w:kern w:val="2"/>
      <w:sz w:val="18"/>
      <w:szCs w:val="18"/>
    </w:rPr>
  </w:style>
  <w:style w:type="character" w:customStyle="1" w:styleId="38">
    <w:name w:val="标题 6 Char"/>
    <w:basedOn w:val="24"/>
    <w:link w:val="8"/>
    <w:autoRedefine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paragraph" w:customStyle="1" w:styleId="39">
    <w:name w:val="tab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CG Times" w:hAnsi="CG Times" w:eastAsia="宋体" w:cs="Times New Roman"/>
      <w:color w:val="000000"/>
      <w:sz w:val="24"/>
      <w:lang w:val="en-US" w:eastAsia="zh-CN" w:bidi="ar-SA"/>
    </w:rPr>
  </w:style>
  <w:style w:type="paragraph" w:customStyle="1" w:styleId="40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41">
    <w:name w:val="WPSOffice手动目录 2"/>
    <w:autoRedefine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">
    <w:name w:val="样式 段 + 首行缩进:  2 字符"/>
    <w:basedOn w:val="1"/>
    <w:autoRedefine/>
    <w:qFormat/>
    <w:uiPriority w:val="0"/>
    <w:pPr>
      <w:widowControl/>
      <w:autoSpaceDE w:val="0"/>
      <w:autoSpaceDN w:val="0"/>
      <w:spacing w:line="360" w:lineRule="auto"/>
      <w:ind w:firstLine="420"/>
    </w:pPr>
    <w:rPr>
      <w:rFonts w:ascii="宋体"/>
      <w:kern w:val="0"/>
      <w:szCs w:val="20"/>
    </w:rPr>
  </w:style>
  <w:style w:type="paragraph" w:customStyle="1" w:styleId="43">
    <w:name w:val="标题 1H1Heading 0Fab-1PIM 1h1Level 1 Topic HeadingHeadin..."/>
    <w:basedOn w:val="3"/>
    <w:next w:val="1"/>
    <w:autoRedefine/>
    <w:qFormat/>
    <w:uiPriority w:val="0"/>
    <w:pPr>
      <w:keepLines w:val="0"/>
      <w:widowControl/>
      <w:numPr>
        <w:numId w:val="0"/>
      </w:numPr>
      <w:tabs>
        <w:tab w:val="left" w:pos="360"/>
      </w:tabs>
      <w:topLinePunct w:val="0"/>
      <w:spacing w:before="240" w:after="160" w:line="360" w:lineRule="auto"/>
      <w:ind w:left="360" w:hanging="360"/>
      <w:textAlignment w:val="auto"/>
    </w:pPr>
    <w:rPr>
      <w:rFonts w:ascii="Palatino Linotype" w:hAnsi="Palatino Linotype" w:cs="宋体"/>
      <w:bCs w:val="0"/>
      <w:snapToGrid/>
      <w:sz w:val="32"/>
      <w:szCs w:val="20"/>
      <w:lang w:val="zh-CN"/>
    </w:rPr>
  </w:style>
  <w:style w:type="paragraph" w:customStyle="1" w:styleId="44">
    <w:name w:val="列出段落2"/>
    <w:basedOn w:val="1"/>
    <w:unhideWhenUsed/>
    <w:qFormat/>
    <w:uiPriority w:val="99"/>
    <w:pPr>
      <w:ind w:firstLine="420"/>
    </w:pPr>
  </w:style>
  <w:style w:type="paragraph" w:customStyle="1" w:styleId="45">
    <w:name w:val="封面落款"/>
    <w:basedOn w:val="1"/>
    <w:autoRedefine/>
    <w:qFormat/>
    <w:uiPriority w:val="0"/>
    <w:pPr>
      <w:spacing w:line="360" w:lineRule="auto"/>
      <w:ind w:firstLine="0" w:firstLineChars="0"/>
      <w:jc w:val="center"/>
    </w:pPr>
    <w:rPr>
      <w:rFonts w:eastAsia="黑体"/>
      <w:sz w:val="36"/>
      <w:szCs w:val="20"/>
    </w:rPr>
  </w:style>
  <w:style w:type="paragraph" w:customStyle="1" w:styleId="46">
    <w:name w:val="TOC 标题1"/>
    <w:basedOn w:val="3"/>
    <w:next w:val="1"/>
    <w:autoRedefine/>
    <w:unhideWhenUsed/>
    <w:qFormat/>
    <w:uiPriority w:val="39"/>
    <w:pPr>
      <w:widowControl/>
      <w:numPr>
        <w:numId w:val="0"/>
      </w:numPr>
      <w:tabs>
        <w:tab w:val="clear" w:pos="432"/>
      </w:tabs>
      <w:topLinePunct w:val="0"/>
      <w:adjustRightInd/>
      <w:snapToGrid/>
      <w:spacing w:before="480" w:line="276" w:lineRule="auto"/>
      <w:textAlignment w:val="auto"/>
      <w:outlineLvl w:val="9"/>
    </w:pPr>
    <w:rPr>
      <w:rFonts w:asciiTheme="majorHAnsi" w:hAnsiTheme="majorHAnsi" w:eastAsiaTheme="majorEastAsia" w:cstheme="majorBidi"/>
      <w:snapToGrid/>
      <w:color w:val="2E75B6" w:themeColor="accent1" w:themeShade="BF"/>
      <w:szCs w:val="28"/>
    </w:rPr>
  </w:style>
  <w:style w:type="character" w:customStyle="1" w:styleId="47">
    <w:name w:val="标题 7 Char"/>
    <w:basedOn w:val="24"/>
    <w:link w:val="9"/>
    <w:autoRedefine/>
    <w:qFormat/>
    <w:uiPriority w:val="99"/>
    <w:rPr>
      <w:rFonts w:ascii="宋体" w:hAnsi="宋体" w:cs="Times New Roman"/>
      <w:kern w:val="2"/>
      <w:sz w:val="21"/>
      <w:szCs w:val="21"/>
    </w:rPr>
  </w:style>
  <w:style w:type="character" w:customStyle="1" w:styleId="48">
    <w:name w:val="标题 8 Char"/>
    <w:basedOn w:val="24"/>
    <w:link w:val="12"/>
    <w:autoRedefine/>
    <w:qFormat/>
    <w:uiPriority w:val="99"/>
    <w:rPr>
      <w:rFonts w:cs="Times New Roman" w:asciiTheme="minorHAnsi" w:hAnsiTheme="minorHAnsi" w:eastAsiaTheme="minorEastAsia"/>
      <w:kern w:val="2"/>
      <w:sz w:val="21"/>
      <w:szCs w:val="21"/>
    </w:rPr>
  </w:style>
  <w:style w:type="character" w:customStyle="1" w:styleId="49">
    <w:name w:val="标题 9 Char"/>
    <w:basedOn w:val="24"/>
    <w:link w:val="13"/>
    <w:qFormat/>
    <w:uiPriority w:val="99"/>
    <w:rPr>
      <w:rFonts w:ascii="宋体" w:hAnsi="宋体" w:cs="Times New Roman"/>
      <w:kern w:val="2"/>
      <w:sz w:val="21"/>
    </w:rPr>
  </w:style>
  <w:style w:type="character" w:customStyle="1" w:styleId="50">
    <w:name w:val="正文文本 Char"/>
    <w:basedOn w:val="24"/>
    <w:link w:val="15"/>
    <w:qFormat/>
    <w:uiPriority w:val="99"/>
    <w:rPr>
      <w:rFonts w:ascii="Times New Roman" w:hAnsi="Times New Roman" w:cs="Times New Roman"/>
      <w:kern w:val="2"/>
      <w:sz w:val="24"/>
      <w:szCs w:val="24"/>
    </w:rPr>
  </w:style>
  <w:style w:type="paragraph" w:styleId="51">
    <w:name w:val="List Paragraph"/>
    <w:basedOn w:val="1"/>
    <w:qFormat/>
    <w:uiPriority w:val="99"/>
    <w:pPr>
      <w:ind w:firstLine="420"/>
    </w:pPr>
  </w:style>
  <w:style w:type="paragraph" w:customStyle="1" w:styleId="52">
    <w:name w:val="正文文字样式"/>
    <w:basedOn w:val="1"/>
    <w:qFormat/>
    <w:uiPriority w:val="0"/>
    <w:pPr>
      <w:spacing w:line="480" w:lineRule="atLeast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9F2DA3-7B39-4DEC-9F73-5B99359D89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1949</Words>
  <Characters>2020</Characters>
  <Lines>91</Lines>
  <Paragraphs>25</Paragraphs>
  <TotalTime>2</TotalTime>
  <ScaleCrop>false</ScaleCrop>
  <LinksUpToDate>false</LinksUpToDate>
  <CharactersWithSpaces>2094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zhaowei3</dc:creator>
  <cp:lastModifiedBy>定时任务通知_管理员胡传义</cp:lastModifiedBy>
  <cp:lastPrinted>2020-06-11T03:19:00Z</cp:lastPrinted>
  <dcterms:modified xsi:type="dcterms:W3CDTF">2026-03-06T05:26:06Z</dcterms:modified>
  <cp:revision>452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A9B827B6BC0D48CB8B0AE1FCE292D552</vt:lpwstr>
  </property>
  <property fmtid="{D5CDD505-2E9C-101B-9397-08002B2CF9AE}" pid="4" name="KSOTemplateDocerSaveRecord">
    <vt:lpwstr>eyJoZGlkIjoiNzI0NTNkN2Q4NjAzNTFlNDYzMmUwOTQ2NjhhMDA2ZmMiLCJ1c2VySWQiOiIzNTU2Njg3NjAifQ==</vt:lpwstr>
  </property>
</Properties>
</file>