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ABE8A">
      <w:pPr>
        <w:pStyle w:val="9"/>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32"/>
          <w:szCs w:val="32"/>
          <w:highlight w:val="none"/>
          <w:u w:val="none"/>
          <w:lang w:val="en-US" w:eastAsia="zh-CN"/>
        </w:rPr>
        <w:t>标段2.航云110千伏出线工程（续建，第三部分）、110千伏大田站扩建第三台主变工程、110千伏福庄站扩建第三台主变工程、110千伏秀水输变电工程选址选线-可研-勘察设计捆绑</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14:paraId="69B563B1">
      <w:pPr>
        <w:pStyle w:val="9"/>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6317BDF2">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218D7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top"/>
          </w:tcPr>
          <w:p w14:paraId="03B7F82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top"/>
          </w:tcPr>
          <w:p w14:paraId="65CE022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top"/>
          </w:tcPr>
          <w:p w14:paraId="2D0F099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3DB57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2FE0063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63AF1FE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可研批复(项目立项)文号</w:t>
            </w:r>
          </w:p>
        </w:tc>
        <w:tc>
          <w:tcPr>
            <w:tcW w:w="5250" w:type="dxa"/>
            <w:noWrap w:val="0"/>
            <w:vAlign w:val="center"/>
          </w:tcPr>
          <w:p w14:paraId="0EB555F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14:paraId="4A77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D5AF6D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613D6BD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资金落实情况</w:t>
            </w:r>
          </w:p>
        </w:tc>
        <w:tc>
          <w:tcPr>
            <w:tcW w:w="5250" w:type="dxa"/>
            <w:noWrap w:val="0"/>
            <w:vAlign w:val="center"/>
          </w:tcPr>
          <w:p w14:paraId="5B48684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14:paraId="076FA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exact"/>
          <w:jc w:val="center"/>
        </w:trPr>
        <w:tc>
          <w:tcPr>
            <w:tcW w:w="776" w:type="dxa"/>
            <w:noWrap w:val="0"/>
            <w:vAlign w:val="center"/>
          </w:tcPr>
          <w:p w14:paraId="48CA788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36B2DD7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资金来源（或投资计划下达）文号</w:t>
            </w:r>
          </w:p>
        </w:tc>
        <w:tc>
          <w:tcPr>
            <w:tcW w:w="5250" w:type="dxa"/>
            <w:noWrap w:val="0"/>
            <w:vAlign w:val="center"/>
          </w:tcPr>
          <w:p w14:paraId="33C51C0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广供电基部〔2025〕17号、广供电基部〔2025〕75号</w:t>
            </w:r>
          </w:p>
        </w:tc>
      </w:tr>
      <w:tr w14:paraId="5CB5F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E478DE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4F5F04A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1DAD288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4DD10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7F268A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5A0E5A9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56CB866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w:t>
            </w:r>
          </w:p>
        </w:tc>
      </w:tr>
      <w:tr w14:paraId="310F3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exact"/>
          <w:jc w:val="center"/>
        </w:trPr>
        <w:tc>
          <w:tcPr>
            <w:tcW w:w="776" w:type="dxa"/>
            <w:noWrap w:val="0"/>
            <w:vAlign w:val="center"/>
          </w:tcPr>
          <w:p w14:paraId="04FEB38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14:paraId="589A8B1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服务期/框架有效期</w:t>
            </w:r>
          </w:p>
        </w:tc>
        <w:tc>
          <w:tcPr>
            <w:tcW w:w="5250" w:type="dxa"/>
            <w:noWrap w:val="0"/>
            <w:vAlign w:val="center"/>
          </w:tcPr>
          <w:p w14:paraId="6009201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w:t>
            </w: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至</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立项前期、里程碑节点计划完成时止。</w:t>
            </w:r>
          </w:p>
        </w:tc>
      </w:tr>
    </w:tbl>
    <w:p w14:paraId="6C8F394E">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80" w:lineRule="auto"/>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6E6B26C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pPr>
      <w:r>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t>根据广州电网主网滚动规划及立项前期工作需求，计划开展2025年主网输变电工程[选址选线-可研-勘察设计捆绑]招标工作。招标结果应用于局主网项目选址选线、可研、勘察设计工作。</w:t>
      </w:r>
    </w:p>
    <w:p w14:paraId="3CD7B8EB">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二、采购范围</w:t>
      </w:r>
    </w:p>
    <w:p w14:paraId="14205E6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Theme="minorEastAsia" w:hAnsiTheme="minorEastAsia" w:eastAsiaTheme="minorEastAsia" w:cstheme="minorEastAsia"/>
          <w:b w:val="0"/>
          <w:bCs/>
          <w:color w:val="auto"/>
          <w:sz w:val="24"/>
          <w:szCs w:val="24"/>
          <w:highlight w:val="none"/>
          <w:u w:val="single"/>
          <w:lang w:val="en-US" w:eastAsia="zh-CN"/>
        </w:rPr>
      </w:pPr>
      <w:r>
        <w:rPr>
          <w:rFonts w:hint="eastAsia" w:asciiTheme="minorEastAsia" w:hAnsiTheme="minorEastAsia" w:eastAsiaTheme="minorEastAsia" w:cstheme="minorEastAsia"/>
          <w:b w:val="0"/>
          <w:bCs/>
          <w:color w:val="auto"/>
          <w:sz w:val="24"/>
          <w:szCs w:val="24"/>
          <w:highlight w:val="none"/>
          <w:u w:val="single"/>
        </w:rPr>
        <w:t>开展项目（1）选址选线、可行性研究工作，可研勘察，编制工程选址选线报告、可行性研究报告，开展必要的专题研究工作（必要性需经甲方出具文件），协助取得站址选址、线路路径涉及相关业主的同意意见等工作；（2）勘察（包含超前钻，如有发生，按实结算），初步设计，施工图设计，概算，施工图预算，配合甲方完成施工图预算审查相关工作，并按甲方要求时间提供相应资料；招标配合，包括按要求配合项目施工招标，完成与施工招标范围对应的施工图预算编制工作，配合提供施工招标图纸（具体要求以相关规范文件及建设单位发出的任务通知书为准），现场技术服务，竣工图编制，设计配合结算及总结算报告编制，参加水土保持设施验收会议（参与现场查勘、会议汇报及会上答疑等)，电子化移交，应建设单位要求进行设计单位自身勘察设计工作要求以外的调可研（调投资）和收资工作（如与项目相关的建设场地清理、管线迁移、科技项目等），使用合法的标准设计和典型造价文件，初步设计审查时按要求提供标准设计和典型造价应用的授权码，按要求在标准设计和典型造价应用管理平台备案和上报相关工程项目资料，协助办理竣工线路复测，物资设备录入，全面开展样板点的标准建设等，以及工程实施过程中相应的设计服务等工作。</w:t>
      </w:r>
      <w:r>
        <w:rPr>
          <w:rFonts w:hint="eastAsia" w:asciiTheme="minorEastAsia" w:hAnsiTheme="minorEastAsia" w:eastAsiaTheme="minorEastAsia" w:cstheme="minorEastAsia"/>
          <w:b w:val="0"/>
          <w:bCs/>
          <w:color w:val="auto"/>
          <w:sz w:val="24"/>
          <w:szCs w:val="24"/>
          <w:highlight w:val="none"/>
          <w:u w:val="single"/>
          <w:lang w:val="en-US" w:eastAsia="zh-CN"/>
        </w:rPr>
        <w:t>具体工程详见下表</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3321"/>
        <w:gridCol w:w="900"/>
        <w:gridCol w:w="1152"/>
        <w:gridCol w:w="1044"/>
        <w:gridCol w:w="1932"/>
        <w:gridCol w:w="1613"/>
      </w:tblGrid>
      <w:tr w14:paraId="72B236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9" w:hRule="atLeast"/>
          <w:jc w:val="center"/>
        </w:trPr>
        <w:tc>
          <w:tcPr>
            <w:tcW w:w="3321" w:type="dxa"/>
            <w:tcBorders>
              <w:top w:val="single" w:color="auto" w:sz="8" w:space="0"/>
              <w:left w:val="single" w:color="auto" w:sz="8" w:space="0"/>
              <w:bottom w:val="single" w:color="auto" w:sz="8" w:space="0"/>
              <w:right w:val="single" w:color="auto" w:sz="8" w:space="0"/>
            </w:tcBorders>
            <w:vAlign w:val="center"/>
          </w:tcPr>
          <w:p w14:paraId="6882D2D1">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标段</w:t>
            </w:r>
          </w:p>
        </w:tc>
        <w:tc>
          <w:tcPr>
            <w:tcW w:w="900" w:type="dxa"/>
            <w:tcBorders>
              <w:top w:val="single" w:color="auto" w:sz="8" w:space="0"/>
              <w:left w:val="single" w:color="auto" w:sz="8" w:space="0"/>
              <w:bottom w:val="single" w:color="auto" w:sz="8" w:space="0"/>
              <w:right w:val="single" w:color="auto" w:sz="8" w:space="0"/>
            </w:tcBorders>
            <w:vAlign w:val="center"/>
          </w:tcPr>
          <w:p w14:paraId="7CD3CF4E">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序号</w:t>
            </w:r>
          </w:p>
        </w:tc>
        <w:tc>
          <w:tcPr>
            <w:tcW w:w="1152" w:type="dxa"/>
            <w:tcBorders>
              <w:top w:val="single" w:color="auto" w:sz="8" w:space="0"/>
              <w:left w:val="single" w:color="auto" w:sz="8" w:space="0"/>
              <w:bottom w:val="single" w:color="auto" w:sz="8" w:space="0"/>
              <w:right w:val="single" w:color="auto" w:sz="8" w:space="0"/>
            </w:tcBorders>
            <w:vAlign w:val="center"/>
          </w:tcPr>
          <w:p w14:paraId="19E08AE1">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电压等级</w:t>
            </w:r>
          </w:p>
        </w:tc>
        <w:tc>
          <w:tcPr>
            <w:tcW w:w="1044" w:type="dxa"/>
            <w:tcBorders>
              <w:top w:val="single" w:color="auto" w:sz="8" w:space="0"/>
              <w:left w:val="single" w:color="auto" w:sz="8" w:space="0"/>
              <w:bottom w:val="single" w:color="auto" w:sz="8" w:space="0"/>
              <w:right w:val="single" w:color="auto" w:sz="8" w:space="0"/>
            </w:tcBorders>
            <w:vAlign w:val="center"/>
          </w:tcPr>
          <w:p w14:paraId="35EE7DA8">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区域</w:t>
            </w:r>
          </w:p>
        </w:tc>
        <w:tc>
          <w:tcPr>
            <w:tcW w:w="1932" w:type="dxa"/>
            <w:tcBorders>
              <w:top w:val="single" w:color="auto" w:sz="8" w:space="0"/>
              <w:left w:val="single" w:color="auto" w:sz="8" w:space="0"/>
              <w:bottom w:val="single" w:color="auto" w:sz="8" w:space="0"/>
              <w:right w:val="single" w:color="auto" w:sz="8" w:space="0"/>
            </w:tcBorders>
            <w:vAlign w:val="center"/>
          </w:tcPr>
          <w:p w14:paraId="465648CC">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项目名称</w:t>
            </w:r>
          </w:p>
        </w:tc>
        <w:tc>
          <w:tcPr>
            <w:tcW w:w="1613" w:type="dxa"/>
            <w:tcBorders>
              <w:top w:val="single" w:color="auto" w:sz="8" w:space="0"/>
              <w:left w:val="single" w:color="auto" w:sz="8" w:space="0"/>
              <w:bottom w:val="single" w:color="auto" w:sz="8" w:space="0"/>
              <w:right w:val="single" w:color="auto" w:sz="8" w:space="0"/>
            </w:tcBorders>
            <w:vAlign w:val="center"/>
          </w:tcPr>
          <w:p w14:paraId="18D44860">
            <w:pPr>
              <w:widowControl/>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招标内容</w:t>
            </w:r>
          </w:p>
        </w:tc>
      </w:tr>
      <w:tr w14:paraId="7A109C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52" w:hRule="atLeast"/>
          <w:jc w:val="center"/>
        </w:trPr>
        <w:tc>
          <w:tcPr>
            <w:tcW w:w="3321" w:type="dxa"/>
            <w:vMerge w:val="restart"/>
            <w:tcBorders>
              <w:top w:val="single" w:color="auto" w:sz="8" w:space="0"/>
              <w:left w:val="single" w:color="auto" w:sz="8" w:space="0"/>
              <w:right w:val="single" w:color="auto" w:sz="8" w:space="0"/>
            </w:tcBorders>
            <w:vAlign w:val="center"/>
          </w:tcPr>
          <w:p w14:paraId="06FE2411">
            <w:pPr>
              <w:jc w:val="center"/>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标段2</w:t>
            </w:r>
            <w:r>
              <w:rPr>
                <w:rFonts w:hint="eastAsia" w:ascii="宋体" w:hAnsi="宋体" w:cs="宋体"/>
                <w:b w:val="0"/>
                <w:bCs w:val="0"/>
                <w:color w:val="auto"/>
                <w:kern w:val="0"/>
                <w:sz w:val="21"/>
                <w:szCs w:val="21"/>
                <w:highlight w:val="none"/>
                <w:lang w:val="en-US" w:eastAsia="zh-CN"/>
              </w:rPr>
              <w:t>.</w:t>
            </w:r>
            <w:bookmarkStart w:id="1" w:name="_GoBack"/>
            <w:bookmarkEnd w:id="1"/>
            <w:r>
              <w:rPr>
                <w:rFonts w:hint="eastAsia" w:ascii="宋体" w:hAnsi="宋体" w:eastAsia="宋体" w:cs="宋体"/>
                <w:b w:val="0"/>
                <w:bCs w:val="0"/>
                <w:color w:val="auto"/>
                <w:kern w:val="0"/>
                <w:sz w:val="21"/>
                <w:szCs w:val="21"/>
                <w:highlight w:val="none"/>
                <w:lang w:val="en-US" w:eastAsia="zh-CN"/>
              </w:rPr>
              <w:t>航云110千伏出线工程（续建，第三部分）、110千伏大田站扩建第三台主变工程、110千伏福庄站扩建第三台主变工程、110千伏秀水输变电工程选址选线-可研-勘察设计捆绑</w:t>
            </w:r>
          </w:p>
        </w:tc>
        <w:tc>
          <w:tcPr>
            <w:tcW w:w="900" w:type="dxa"/>
            <w:tcBorders>
              <w:top w:val="single" w:color="auto" w:sz="8" w:space="0"/>
              <w:left w:val="single" w:color="auto" w:sz="8" w:space="0"/>
              <w:bottom w:val="single" w:color="auto" w:sz="8" w:space="0"/>
              <w:right w:val="single" w:color="auto" w:sz="8" w:space="0"/>
            </w:tcBorders>
            <w:vAlign w:val="center"/>
          </w:tcPr>
          <w:p w14:paraId="0FB29078">
            <w:pPr>
              <w:widowControl/>
              <w:jc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1</w:t>
            </w:r>
          </w:p>
        </w:tc>
        <w:tc>
          <w:tcPr>
            <w:tcW w:w="1152" w:type="dxa"/>
            <w:tcBorders>
              <w:top w:val="single" w:color="auto" w:sz="8" w:space="0"/>
              <w:left w:val="single" w:color="auto" w:sz="8" w:space="0"/>
              <w:bottom w:val="single" w:color="auto" w:sz="8" w:space="0"/>
              <w:right w:val="single" w:color="auto" w:sz="8" w:space="0"/>
            </w:tcBorders>
            <w:vAlign w:val="center"/>
          </w:tcPr>
          <w:p w14:paraId="1896803A">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110kV</w:t>
            </w:r>
          </w:p>
        </w:tc>
        <w:tc>
          <w:tcPr>
            <w:tcW w:w="1044" w:type="dxa"/>
            <w:tcBorders>
              <w:top w:val="single" w:color="auto" w:sz="8" w:space="0"/>
              <w:left w:val="single" w:color="auto" w:sz="8" w:space="0"/>
              <w:bottom w:val="single" w:color="auto" w:sz="8" w:space="0"/>
              <w:right w:val="single" w:color="auto" w:sz="8" w:space="0"/>
            </w:tcBorders>
            <w:vAlign w:val="center"/>
          </w:tcPr>
          <w:p w14:paraId="78EC37CA">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val="0"/>
                <w:bCs w:val="0"/>
                <w:i w:val="0"/>
                <w:iCs w:val="0"/>
                <w:color w:val="auto"/>
                <w:kern w:val="0"/>
                <w:sz w:val="21"/>
                <w:szCs w:val="21"/>
                <w:highlight w:val="none"/>
                <w:u w:val="none"/>
                <w:lang w:val="en-US" w:eastAsia="zh-CN" w:bidi="ar"/>
              </w:rPr>
              <w:t>白云</w:t>
            </w:r>
          </w:p>
        </w:tc>
        <w:tc>
          <w:tcPr>
            <w:tcW w:w="1932" w:type="dxa"/>
            <w:tcBorders>
              <w:top w:val="single" w:color="auto" w:sz="8" w:space="0"/>
              <w:left w:val="single" w:color="auto" w:sz="8" w:space="0"/>
              <w:bottom w:val="single" w:color="auto" w:sz="8" w:space="0"/>
              <w:right w:val="single" w:color="auto" w:sz="8" w:space="0"/>
            </w:tcBorders>
            <w:vAlign w:val="center"/>
          </w:tcPr>
          <w:p w14:paraId="1D517F2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航云110千伏出线工程（续建，第三部分）</w:t>
            </w:r>
          </w:p>
        </w:tc>
        <w:tc>
          <w:tcPr>
            <w:tcW w:w="1613" w:type="dxa"/>
            <w:tcBorders>
              <w:top w:val="single" w:color="auto" w:sz="8" w:space="0"/>
              <w:left w:val="single" w:color="auto" w:sz="8" w:space="0"/>
              <w:bottom w:val="single" w:color="auto" w:sz="8" w:space="0"/>
              <w:right w:val="single" w:color="auto" w:sz="8" w:space="0"/>
            </w:tcBorders>
            <w:vAlign w:val="center"/>
          </w:tcPr>
          <w:p w14:paraId="6C5E86D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可研-勘察设计捆绑</w:t>
            </w:r>
          </w:p>
        </w:tc>
      </w:tr>
      <w:tr w14:paraId="009DC0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7" w:hRule="atLeast"/>
          <w:jc w:val="center"/>
        </w:trPr>
        <w:tc>
          <w:tcPr>
            <w:tcW w:w="3321" w:type="dxa"/>
            <w:vMerge w:val="continue"/>
            <w:tcBorders>
              <w:left w:val="single" w:color="auto" w:sz="8" w:space="0"/>
              <w:right w:val="single" w:color="auto" w:sz="8" w:space="0"/>
            </w:tcBorders>
            <w:vAlign w:val="center"/>
          </w:tcPr>
          <w:p w14:paraId="25E1D5C9">
            <w:pPr>
              <w:jc w:val="center"/>
              <w:rPr>
                <w:rFonts w:hint="eastAsia" w:ascii="宋体" w:hAnsi="宋体" w:eastAsia="宋体" w:cs="宋体"/>
                <w:b w:val="0"/>
                <w:bCs w:val="0"/>
                <w:color w:val="auto"/>
                <w:kern w:val="0"/>
                <w:sz w:val="21"/>
                <w:szCs w:val="21"/>
                <w:highlight w:val="none"/>
              </w:rPr>
            </w:pPr>
          </w:p>
        </w:tc>
        <w:tc>
          <w:tcPr>
            <w:tcW w:w="900" w:type="dxa"/>
            <w:tcBorders>
              <w:top w:val="single" w:color="auto" w:sz="8" w:space="0"/>
              <w:left w:val="single" w:color="auto" w:sz="8" w:space="0"/>
              <w:bottom w:val="single" w:color="auto" w:sz="8" w:space="0"/>
              <w:right w:val="single" w:color="auto" w:sz="8" w:space="0"/>
            </w:tcBorders>
            <w:vAlign w:val="center"/>
          </w:tcPr>
          <w:p w14:paraId="580F9EFE">
            <w:pPr>
              <w:widowControl/>
              <w:jc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2</w:t>
            </w:r>
          </w:p>
        </w:tc>
        <w:tc>
          <w:tcPr>
            <w:tcW w:w="1152" w:type="dxa"/>
            <w:tcBorders>
              <w:top w:val="single" w:color="auto" w:sz="8" w:space="0"/>
              <w:left w:val="single" w:color="auto" w:sz="8" w:space="0"/>
              <w:bottom w:val="single" w:color="auto" w:sz="8" w:space="0"/>
              <w:right w:val="single" w:color="auto" w:sz="8" w:space="0"/>
            </w:tcBorders>
            <w:vAlign w:val="center"/>
          </w:tcPr>
          <w:p w14:paraId="375CC9B8">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110kV</w:t>
            </w:r>
          </w:p>
        </w:tc>
        <w:tc>
          <w:tcPr>
            <w:tcW w:w="1044" w:type="dxa"/>
            <w:tcBorders>
              <w:top w:val="single" w:color="auto" w:sz="8" w:space="0"/>
              <w:left w:val="single" w:color="auto" w:sz="8" w:space="0"/>
              <w:bottom w:val="single" w:color="auto" w:sz="8" w:space="0"/>
              <w:right w:val="single" w:color="auto" w:sz="8" w:space="0"/>
            </w:tcBorders>
            <w:vAlign w:val="center"/>
          </w:tcPr>
          <w:p w14:paraId="550CCECA">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val="0"/>
                <w:bCs w:val="0"/>
                <w:i w:val="0"/>
                <w:iCs w:val="0"/>
                <w:color w:val="auto"/>
                <w:kern w:val="0"/>
                <w:sz w:val="21"/>
                <w:szCs w:val="21"/>
                <w:highlight w:val="none"/>
                <w:u w:val="none"/>
                <w:lang w:val="en-US" w:eastAsia="zh-CN" w:bidi="ar"/>
              </w:rPr>
              <w:t>白云</w:t>
            </w:r>
          </w:p>
        </w:tc>
        <w:tc>
          <w:tcPr>
            <w:tcW w:w="1932" w:type="dxa"/>
            <w:tcBorders>
              <w:top w:val="single" w:color="auto" w:sz="8" w:space="0"/>
              <w:left w:val="single" w:color="auto" w:sz="8" w:space="0"/>
              <w:bottom w:val="single" w:color="auto" w:sz="8" w:space="0"/>
              <w:right w:val="single" w:color="auto" w:sz="8" w:space="0"/>
            </w:tcBorders>
            <w:vAlign w:val="center"/>
          </w:tcPr>
          <w:p w14:paraId="3BF195E1">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大田站扩建第三台主变工程</w:t>
            </w:r>
          </w:p>
        </w:tc>
        <w:tc>
          <w:tcPr>
            <w:tcW w:w="1613" w:type="dxa"/>
            <w:tcBorders>
              <w:top w:val="single" w:color="auto" w:sz="8" w:space="0"/>
              <w:left w:val="single" w:color="auto" w:sz="8" w:space="0"/>
              <w:bottom w:val="single" w:color="auto" w:sz="8" w:space="0"/>
              <w:right w:val="single" w:color="auto" w:sz="8" w:space="0"/>
            </w:tcBorders>
            <w:vAlign w:val="center"/>
          </w:tcPr>
          <w:p w14:paraId="5D4526E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可研-勘察设计捆绑</w:t>
            </w:r>
          </w:p>
        </w:tc>
      </w:tr>
      <w:tr w14:paraId="04B16B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7" w:hRule="atLeast"/>
          <w:jc w:val="center"/>
        </w:trPr>
        <w:tc>
          <w:tcPr>
            <w:tcW w:w="3321" w:type="dxa"/>
            <w:vMerge w:val="continue"/>
            <w:tcBorders>
              <w:left w:val="single" w:color="auto" w:sz="8" w:space="0"/>
              <w:right w:val="single" w:color="auto" w:sz="8" w:space="0"/>
            </w:tcBorders>
            <w:vAlign w:val="center"/>
          </w:tcPr>
          <w:p w14:paraId="10494B4C">
            <w:pPr>
              <w:jc w:val="center"/>
              <w:rPr>
                <w:rFonts w:hint="eastAsia" w:ascii="宋体" w:hAnsi="宋体" w:eastAsia="宋体" w:cs="宋体"/>
                <w:b w:val="0"/>
                <w:bCs w:val="0"/>
                <w:color w:val="auto"/>
                <w:kern w:val="0"/>
                <w:sz w:val="21"/>
                <w:szCs w:val="21"/>
                <w:highlight w:val="none"/>
              </w:rPr>
            </w:pPr>
          </w:p>
        </w:tc>
        <w:tc>
          <w:tcPr>
            <w:tcW w:w="900" w:type="dxa"/>
            <w:tcBorders>
              <w:top w:val="single" w:color="auto" w:sz="8" w:space="0"/>
              <w:left w:val="single" w:color="auto" w:sz="8" w:space="0"/>
              <w:bottom w:val="single" w:color="auto" w:sz="8" w:space="0"/>
              <w:right w:val="single" w:color="auto" w:sz="8" w:space="0"/>
            </w:tcBorders>
            <w:vAlign w:val="center"/>
          </w:tcPr>
          <w:p w14:paraId="275847BB">
            <w:pPr>
              <w:widowControl/>
              <w:jc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val="0"/>
                <w:bCs w:val="0"/>
                <w:color w:val="auto"/>
                <w:sz w:val="21"/>
                <w:szCs w:val="21"/>
                <w:highlight w:val="none"/>
                <w:lang w:val="en-US" w:eastAsia="zh-CN"/>
              </w:rPr>
              <w:t>3</w:t>
            </w:r>
          </w:p>
        </w:tc>
        <w:tc>
          <w:tcPr>
            <w:tcW w:w="1152" w:type="dxa"/>
            <w:tcBorders>
              <w:top w:val="single" w:color="auto" w:sz="8" w:space="0"/>
              <w:left w:val="single" w:color="auto" w:sz="8" w:space="0"/>
              <w:bottom w:val="single" w:color="auto" w:sz="8" w:space="0"/>
              <w:right w:val="single" w:color="auto" w:sz="8" w:space="0"/>
            </w:tcBorders>
            <w:vAlign w:val="center"/>
          </w:tcPr>
          <w:p w14:paraId="40334336">
            <w:pPr>
              <w:keepNext w:val="0"/>
              <w:keepLines w:val="0"/>
              <w:widowControl/>
              <w:suppressLineNumbers w:val="0"/>
              <w:jc w:val="center"/>
              <w:textAlignment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110kV</w:t>
            </w:r>
          </w:p>
        </w:tc>
        <w:tc>
          <w:tcPr>
            <w:tcW w:w="1044" w:type="dxa"/>
            <w:tcBorders>
              <w:top w:val="single" w:color="auto" w:sz="8" w:space="0"/>
              <w:left w:val="single" w:color="auto" w:sz="8" w:space="0"/>
              <w:bottom w:val="single" w:color="auto" w:sz="8" w:space="0"/>
              <w:right w:val="single" w:color="auto" w:sz="8" w:space="0"/>
            </w:tcBorders>
            <w:vAlign w:val="center"/>
          </w:tcPr>
          <w:p w14:paraId="33ABB867">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val="0"/>
                <w:bCs w:val="0"/>
                <w:i w:val="0"/>
                <w:iCs w:val="0"/>
                <w:color w:val="auto"/>
                <w:kern w:val="0"/>
                <w:sz w:val="21"/>
                <w:szCs w:val="21"/>
                <w:highlight w:val="none"/>
                <w:u w:val="none"/>
                <w:lang w:val="en-US" w:eastAsia="zh-CN" w:bidi="ar"/>
              </w:rPr>
              <w:t>白云</w:t>
            </w:r>
          </w:p>
        </w:tc>
        <w:tc>
          <w:tcPr>
            <w:tcW w:w="1932" w:type="dxa"/>
            <w:tcBorders>
              <w:top w:val="single" w:color="auto" w:sz="8" w:space="0"/>
              <w:left w:val="single" w:color="auto" w:sz="8" w:space="0"/>
              <w:bottom w:val="single" w:color="auto" w:sz="8" w:space="0"/>
              <w:right w:val="single" w:color="auto" w:sz="8" w:space="0"/>
            </w:tcBorders>
            <w:vAlign w:val="center"/>
          </w:tcPr>
          <w:p w14:paraId="6B27690D">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福庄站扩建第三台主变工程</w:t>
            </w:r>
          </w:p>
        </w:tc>
        <w:tc>
          <w:tcPr>
            <w:tcW w:w="1613" w:type="dxa"/>
            <w:tcBorders>
              <w:top w:val="single" w:color="auto" w:sz="8" w:space="0"/>
              <w:left w:val="single" w:color="auto" w:sz="8" w:space="0"/>
              <w:bottom w:val="single" w:color="auto" w:sz="8" w:space="0"/>
              <w:right w:val="single" w:color="auto" w:sz="8" w:space="0"/>
            </w:tcBorders>
            <w:vAlign w:val="center"/>
          </w:tcPr>
          <w:p w14:paraId="6F44E4A0">
            <w:pPr>
              <w:keepNext w:val="0"/>
              <w:keepLines w:val="0"/>
              <w:widowControl/>
              <w:suppressLineNumbers w:val="0"/>
              <w:jc w:val="center"/>
              <w:textAlignment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可研-勘察设计捆绑</w:t>
            </w:r>
          </w:p>
        </w:tc>
      </w:tr>
      <w:tr w14:paraId="5F176C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47" w:hRule="atLeast"/>
          <w:jc w:val="center"/>
        </w:trPr>
        <w:tc>
          <w:tcPr>
            <w:tcW w:w="3321" w:type="dxa"/>
            <w:vMerge w:val="continue"/>
            <w:tcBorders>
              <w:left w:val="single" w:color="auto" w:sz="8" w:space="0"/>
              <w:right w:val="single" w:color="auto" w:sz="8" w:space="0"/>
            </w:tcBorders>
            <w:vAlign w:val="center"/>
          </w:tcPr>
          <w:p w14:paraId="4E33DA2F">
            <w:pPr>
              <w:jc w:val="center"/>
              <w:rPr>
                <w:rFonts w:hint="eastAsia" w:ascii="宋体" w:hAnsi="宋体" w:eastAsia="宋体" w:cs="宋体"/>
                <w:b w:val="0"/>
                <w:bCs w:val="0"/>
                <w:color w:val="auto"/>
                <w:kern w:val="0"/>
                <w:sz w:val="21"/>
                <w:szCs w:val="21"/>
                <w:highlight w:val="none"/>
              </w:rPr>
            </w:pPr>
          </w:p>
        </w:tc>
        <w:tc>
          <w:tcPr>
            <w:tcW w:w="900" w:type="dxa"/>
            <w:tcBorders>
              <w:top w:val="single" w:color="auto" w:sz="8" w:space="0"/>
              <w:left w:val="single" w:color="auto" w:sz="8" w:space="0"/>
              <w:bottom w:val="single" w:color="auto" w:sz="8" w:space="0"/>
              <w:right w:val="single" w:color="auto" w:sz="8" w:space="0"/>
            </w:tcBorders>
            <w:vAlign w:val="center"/>
          </w:tcPr>
          <w:p w14:paraId="65C3DAC8">
            <w:pPr>
              <w:widowControl/>
              <w:jc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4</w:t>
            </w:r>
          </w:p>
        </w:tc>
        <w:tc>
          <w:tcPr>
            <w:tcW w:w="1152" w:type="dxa"/>
            <w:tcBorders>
              <w:top w:val="single" w:color="auto" w:sz="8" w:space="0"/>
              <w:left w:val="single" w:color="auto" w:sz="8" w:space="0"/>
              <w:bottom w:val="single" w:color="auto" w:sz="8" w:space="0"/>
              <w:right w:val="single" w:color="auto" w:sz="8" w:space="0"/>
            </w:tcBorders>
            <w:vAlign w:val="center"/>
          </w:tcPr>
          <w:p w14:paraId="11E40D13">
            <w:pPr>
              <w:keepNext w:val="0"/>
              <w:keepLines w:val="0"/>
              <w:widowControl/>
              <w:suppressLineNumbers w:val="0"/>
              <w:jc w:val="center"/>
              <w:textAlignment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110kV</w:t>
            </w:r>
          </w:p>
        </w:tc>
        <w:tc>
          <w:tcPr>
            <w:tcW w:w="1044" w:type="dxa"/>
            <w:tcBorders>
              <w:top w:val="single" w:color="auto" w:sz="8" w:space="0"/>
              <w:left w:val="single" w:color="auto" w:sz="8" w:space="0"/>
              <w:bottom w:val="single" w:color="auto" w:sz="8" w:space="0"/>
              <w:right w:val="single" w:color="auto" w:sz="8" w:space="0"/>
            </w:tcBorders>
            <w:vAlign w:val="center"/>
          </w:tcPr>
          <w:p w14:paraId="6A3C8E99">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val="0"/>
                <w:bCs w:val="0"/>
                <w:i w:val="0"/>
                <w:iCs w:val="0"/>
                <w:color w:val="auto"/>
                <w:kern w:val="0"/>
                <w:sz w:val="21"/>
                <w:szCs w:val="21"/>
                <w:highlight w:val="none"/>
                <w:u w:val="none"/>
                <w:lang w:val="en-US" w:eastAsia="zh-CN" w:bidi="ar"/>
              </w:rPr>
              <w:t>白云</w:t>
            </w:r>
          </w:p>
        </w:tc>
        <w:tc>
          <w:tcPr>
            <w:tcW w:w="1932" w:type="dxa"/>
            <w:tcBorders>
              <w:top w:val="single" w:color="auto" w:sz="8" w:space="0"/>
              <w:left w:val="single" w:color="auto" w:sz="8" w:space="0"/>
              <w:bottom w:val="single" w:color="auto" w:sz="8" w:space="0"/>
              <w:right w:val="single" w:color="auto" w:sz="8" w:space="0"/>
            </w:tcBorders>
            <w:vAlign w:val="center"/>
          </w:tcPr>
          <w:p w14:paraId="67E5898D">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秀水输变电工程</w:t>
            </w:r>
          </w:p>
        </w:tc>
        <w:tc>
          <w:tcPr>
            <w:tcW w:w="1613" w:type="dxa"/>
            <w:tcBorders>
              <w:top w:val="single" w:color="auto" w:sz="8" w:space="0"/>
              <w:left w:val="single" w:color="auto" w:sz="8" w:space="0"/>
              <w:bottom w:val="single" w:color="auto" w:sz="8" w:space="0"/>
              <w:right w:val="single" w:color="auto" w:sz="8" w:space="0"/>
            </w:tcBorders>
            <w:vAlign w:val="center"/>
          </w:tcPr>
          <w:p w14:paraId="020118D8">
            <w:pPr>
              <w:keepNext w:val="0"/>
              <w:keepLines w:val="0"/>
              <w:widowControl/>
              <w:suppressLineNumbers w:val="0"/>
              <w:jc w:val="center"/>
              <w:textAlignment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选址选线-可研-勘察设计捆绑</w:t>
            </w:r>
          </w:p>
        </w:tc>
      </w:tr>
    </w:tbl>
    <w:p w14:paraId="18A20A6C">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063F398D">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三、报价表及报价要求</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1"/>
        <w:gridCol w:w="1350"/>
        <w:gridCol w:w="915"/>
        <w:gridCol w:w="780"/>
        <w:gridCol w:w="956"/>
        <w:gridCol w:w="678"/>
        <w:gridCol w:w="791"/>
        <w:gridCol w:w="838"/>
        <w:gridCol w:w="828"/>
        <w:gridCol w:w="814"/>
      </w:tblGrid>
      <w:tr w14:paraId="1C4FC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2" w:hRule="atLeast"/>
          <w:jc w:val="center"/>
        </w:trPr>
        <w:tc>
          <w:tcPr>
            <w:tcW w:w="561" w:type="dxa"/>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14:paraId="6C28B346">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lang w:bidi="ar"/>
              </w:rPr>
              <w:t>序号</w:t>
            </w:r>
          </w:p>
        </w:tc>
        <w:tc>
          <w:tcPr>
            <w:tcW w:w="1350" w:type="dxa"/>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14:paraId="43F0808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lang w:bidi="ar"/>
              </w:rPr>
              <w:t>项目名称</w:t>
            </w:r>
          </w:p>
        </w:tc>
        <w:tc>
          <w:tcPr>
            <w:tcW w:w="2651" w:type="dxa"/>
            <w:gridSpan w:val="3"/>
            <w:tcBorders>
              <w:top w:val="single" w:color="auto" w:sz="4" w:space="0"/>
              <w:left w:val="single" w:color="auto" w:sz="4" w:space="0"/>
            </w:tcBorders>
            <w:noWrap w:val="0"/>
            <w:vAlign w:val="center"/>
          </w:tcPr>
          <w:p w14:paraId="70E44B69">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cs="宋体"/>
                <w:color w:val="auto"/>
                <w:kern w:val="0"/>
                <w:szCs w:val="21"/>
                <w:highlight w:val="none"/>
              </w:rPr>
              <w:t>最高投标限价</w:t>
            </w:r>
          </w:p>
        </w:tc>
        <w:tc>
          <w:tcPr>
            <w:tcW w:w="678" w:type="dxa"/>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14:paraId="195F3E9A">
            <w:pPr>
              <w:widowControl/>
              <w:jc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投标下浮率</w:t>
            </w:r>
          </w:p>
        </w:tc>
        <w:tc>
          <w:tcPr>
            <w:tcW w:w="2457" w:type="dxa"/>
            <w:gridSpan w:val="3"/>
            <w:tcBorders>
              <w:top w:val="single" w:color="auto" w:sz="4" w:space="0"/>
              <w:left w:val="single" w:color="auto" w:sz="4" w:space="0"/>
            </w:tcBorders>
            <w:noWrap w:val="0"/>
            <w:vAlign w:val="center"/>
          </w:tcPr>
          <w:p w14:paraId="442F86EA">
            <w:pPr>
              <w:widowControl/>
              <w:shd w:val="clear" w:color="auto" w:fill="auto"/>
              <w:jc w:val="center"/>
              <w:rPr>
                <w:rFonts w:hint="eastAsia" w:ascii="宋体" w:hAnsi="宋体" w:eastAsia="宋体" w:cs="宋体"/>
                <w:color w:val="auto"/>
                <w:kern w:val="0"/>
                <w:szCs w:val="21"/>
                <w:highlight w:val="none"/>
                <w:lang w:bidi="ar"/>
              </w:rPr>
            </w:pPr>
            <w:r>
              <w:rPr>
                <w:rFonts w:hint="eastAsia" w:ascii="宋体" w:hAnsi="宋体" w:cs="宋体"/>
                <w:color w:val="auto"/>
                <w:kern w:val="0"/>
                <w:szCs w:val="21"/>
                <w:highlight w:val="none"/>
                <w:lang w:bidi="ar"/>
              </w:rPr>
              <w:t>投标报价</w:t>
            </w:r>
          </w:p>
        </w:tc>
        <w:tc>
          <w:tcPr>
            <w:tcW w:w="814" w:type="dxa"/>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14:paraId="29E04CF6">
            <w:pPr>
              <w:widowControl/>
              <w:jc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备注</w:t>
            </w:r>
          </w:p>
        </w:tc>
      </w:tr>
      <w:tr w14:paraId="1B3C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2" w:hRule="atLeast"/>
          <w:jc w:val="center"/>
        </w:trPr>
        <w:tc>
          <w:tcPr>
            <w:tcW w:w="561" w:type="dxa"/>
            <w:vMerge w:val="continue"/>
            <w:tcBorders>
              <w:left w:val="single" w:color="auto" w:sz="4" w:space="0"/>
              <w:right w:val="single" w:color="auto" w:sz="4" w:space="0"/>
            </w:tcBorders>
            <w:noWrap w:val="0"/>
            <w:tcMar>
              <w:top w:w="15" w:type="dxa"/>
              <w:left w:w="15" w:type="dxa"/>
              <w:right w:w="15" w:type="dxa"/>
            </w:tcMar>
            <w:vAlign w:val="center"/>
          </w:tcPr>
          <w:p w14:paraId="2B5B570E">
            <w:pPr>
              <w:widowControl/>
              <w:shd w:val="clear" w:color="auto" w:fill="auto"/>
              <w:jc w:val="center"/>
            </w:pPr>
          </w:p>
        </w:tc>
        <w:tc>
          <w:tcPr>
            <w:tcW w:w="1350" w:type="dxa"/>
            <w:vMerge w:val="continue"/>
            <w:tcBorders>
              <w:left w:val="single" w:color="auto" w:sz="4" w:space="0"/>
              <w:right w:val="single" w:color="auto" w:sz="4" w:space="0"/>
            </w:tcBorders>
            <w:noWrap w:val="0"/>
            <w:tcMar>
              <w:top w:w="15" w:type="dxa"/>
              <w:left w:w="15" w:type="dxa"/>
              <w:right w:w="15" w:type="dxa"/>
            </w:tcMar>
            <w:vAlign w:val="center"/>
          </w:tcPr>
          <w:p w14:paraId="650208BB">
            <w:pPr>
              <w:widowControl/>
              <w:shd w:val="clear" w:color="auto" w:fill="auto"/>
              <w:jc w:val="center"/>
            </w:pPr>
          </w:p>
        </w:tc>
        <w:tc>
          <w:tcPr>
            <w:tcW w:w="915" w:type="dxa"/>
            <w:tcBorders>
              <w:top w:val="single" w:color="auto" w:sz="4" w:space="0"/>
              <w:left w:val="single" w:color="auto" w:sz="4" w:space="0"/>
            </w:tcBorders>
            <w:noWrap w:val="0"/>
            <w:vAlign w:val="center"/>
          </w:tcPr>
          <w:p w14:paraId="74CBFDDD">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选址选线可研费</w:t>
            </w:r>
          </w:p>
          <w:p w14:paraId="2F304D9D">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（元）</w:t>
            </w:r>
          </w:p>
        </w:tc>
        <w:tc>
          <w:tcPr>
            <w:tcW w:w="780" w:type="dxa"/>
            <w:tcBorders>
              <w:left w:val="single" w:color="auto" w:sz="4" w:space="0"/>
            </w:tcBorders>
            <w:noWrap w:val="0"/>
            <w:vAlign w:val="center"/>
          </w:tcPr>
          <w:p w14:paraId="048A991B">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勘察设计费</w:t>
            </w:r>
          </w:p>
          <w:p w14:paraId="71320AF5">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（元）</w:t>
            </w:r>
          </w:p>
        </w:tc>
        <w:tc>
          <w:tcPr>
            <w:tcW w:w="956" w:type="dxa"/>
            <w:tcBorders>
              <w:left w:val="single" w:color="auto" w:sz="4" w:space="0"/>
            </w:tcBorders>
            <w:noWrap w:val="0"/>
            <w:vAlign w:val="center"/>
          </w:tcPr>
          <w:p w14:paraId="7F131A2D">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小计</w:t>
            </w:r>
          </w:p>
        </w:tc>
        <w:tc>
          <w:tcPr>
            <w:tcW w:w="678" w:type="dxa"/>
            <w:vMerge w:val="continue"/>
            <w:tcBorders>
              <w:left w:val="single" w:color="auto" w:sz="4" w:space="0"/>
              <w:right w:val="single" w:color="auto" w:sz="4" w:space="0"/>
            </w:tcBorders>
            <w:noWrap w:val="0"/>
            <w:tcMar>
              <w:top w:w="15" w:type="dxa"/>
              <w:left w:w="15" w:type="dxa"/>
              <w:right w:w="15" w:type="dxa"/>
            </w:tcMar>
            <w:vAlign w:val="center"/>
          </w:tcPr>
          <w:p w14:paraId="0CCA71D4">
            <w:pPr>
              <w:widowControl/>
              <w:shd w:val="clear" w:color="auto" w:fill="auto"/>
              <w:jc w:val="center"/>
              <w:rPr>
                <w:rFonts w:hint="eastAsia" w:ascii="宋体" w:hAnsi="宋体" w:eastAsia="宋体" w:cs="宋体"/>
                <w:color w:val="auto"/>
                <w:kern w:val="0"/>
                <w:szCs w:val="21"/>
                <w:highlight w:val="none"/>
                <w:lang w:val="en-US" w:eastAsia="zh-CN" w:bidi="ar"/>
              </w:rPr>
            </w:pPr>
          </w:p>
        </w:tc>
        <w:tc>
          <w:tcPr>
            <w:tcW w:w="791" w:type="dxa"/>
            <w:tcBorders>
              <w:left w:val="single" w:color="auto" w:sz="4" w:space="0"/>
            </w:tcBorders>
            <w:noWrap w:val="0"/>
            <w:vAlign w:val="center"/>
          </w:tcPr>
          <w:p w14:paraId="688E8335">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选址选线可研</w:t>
            </w:r>
          </w:p>
          <w:p w14:paraId="2396A128">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（元）</w:t>
            </w:r>
          </w:p>
        </w:tc>
        <w:tc>
          <w:tcPr>
            <w:tcW w:w="838" w:type="dxa"/>
            <w:tcBorders>
              <w:left w:val="single" w:color="auto" w:sz="4" w:space="0"/>
            </w:tcBorders>
            <w:noWrap w:val="0"/>
            <w:vAlign w:val="center"/>
          </w:tcPr>
          <w:p w14:paraId="6B45A24A">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勘察设计费</w:t>
            </w:r>
          </w:p>
          <w:p w14:paraId="15DA205A">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（元）</w:t>
            </w:r>
          </w:p>
        </w:tc>
        <w:tc>
          <w:tcPr>
            <w:tcW w:w="828" w:type="dxa"/>
            <w:tcBorders>
              <w:left w:val="single" w:color="auto" w:sz="4" w:space="0"/>
              <w:bottom w:val="single" w:color="auto" w:sz="4" w:space="0"/>
            </w:tcBorders>
            <w:noWrap w:val="0"/>
            <w:vAlign w:val="center"/>
          </w:tcPr>
          <w:p w14:paraId="689621A6">
            <w:pPr>
              <w:widowControl/>
              <w:shd w:val="clear" w:color="auto" w:fill="auto"/>
              <w:jc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bidi="ar"/>
              </w:rPr>
              <w:t>小计</w:t>
            </w:r>
          </w:p>
        </w:tc>
        <w:tc>
          <w:tcPr>
            <w:tcW w:w="814" w:type="dxa"/>
            <w:vMerge w:val="continue"/>
            <w:tcBorders>
              <w:left w:val="single" w:color="auto" w:sz="4" w:space="0"/>
              <w:right w:val="single" w:color="auto" w:sz="4" w:space="0"/>
            </w:tcBorders>
            <w:noWrap w:val="0"/>
            <w:tcMar>
              <w:top w:w="15" w:type="dxa"/>
              <w:left w:w="15" w:type="dxa"/>
              <w:right w:w="15" w:type="dxa"/>
            </w:tcMar>
            <w:vAlign w:val="center"/>
          </w:tcPr>
          <w:p w14:paraId="28A1A686">
            <w:pPr>
              <w:widowControl/>
              <w:shd w:val="clear" w:color="auto" w:fill="auto"/>
              <w:jc w:val="center"/>
              <w:rPr>
                <w:rFonts w:hint="eastAsia" w:ascii="宋体" w:hAnsi="宋体" w:eastAsia="宋体" w:cs="宋体"/>
                <w:color w:val="auto"/>
                <w:kern w:val="0"/>
                <w:szCs w:val="21"/>
                <w:highlight w:val="none"/>
                <w:lang w:val="en-US" w:eastAsia="zh-CN" w:bidi="ar"/>
              </w:rPr>
            </w:pPr>
          </w:p>
        </w:tc>
      </w:tr>
      <w:tr w14:paraId="4F6EE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3" w:hRule="atLeast"/>
          <w:jc w:val="center"/>
        </w:trPr>
        <w:tc>
          <w:tcPr>
            <w:tcW w:w="56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A82E12F">
            <w:pPr>
              <w:widowControl/>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bidi="ar"/>
              </w:rPr>
              <w:t>1</w:t>
            </w:r>
          </w:p>
        </w:tc>
        <w:tc>
          <w:tcPr>
            <w:tcW w:w="135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3D4E334">
            <w:pPr>
              <w:keepNext w:val="0"/>
              <w:keepLines w:val="0"/>
              <w:widowControl/>
              <w:suppressLineNumbers w:val="0"/>
              <w:jc w:val="center"/>
              <w:textAlignment w:val="center"/>
              <w:rPr>
                <w:rFonts w:ascii="宋体" w:hAnsi="宋体" w:cs="宋体"/>
                <w:color w:val="auto"/>
                <w:kern w:val="0"/>
                <w:szCs w:val="21"/>
                <w:highlight w:val="none"/>
              </w:rPr>
            </w:pPr>
            <w:r>
              <w:rPr>
                <w:rFonts w:hint="eastAsia" w:ascii="宋体" w:hAnsi="宋体" w:eastAsia="宋体" w:cs="宋体"/>
                <w:b w:val="0"/>
                <w:bCs w:val="0"/>
                <w:i w:val="0"/>
                <w:iCs w:val="0"/>
                <w:color w:val="auto"/>
                <w:kern w:val="0"/>
                <w:sz w:val="21"/>
                <w:szCs w:val="21"/>
                <w:highlight w:val="none"/>
                <w:u w:val="none"/>
                <w:lang w:val="en-US" w:eastAsia="zh-CN" w:bidi="ar"/>
              </w:rPr>
              <w:t>航云110千伏出线工程（续建，第三部分）</w:t>
            </w:r>
          </w:p>
        </w:tc>
        <w:tc>
          <w:tcPr>
            <w:tcW w:w="91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1DED20F">
            <w:pPr>
              <w:keepNext w:val="0"/>
              <w:keepLines w:val="0"/>
              <w:widowControl/>
              <w:suppressLineNumbers w:val="0"/>
              <w:jc w:val="center"/>
              <w:textAlignment w:val="center"/>
              <w:rPr>
                <w:rFonts w:hint="default" w:ascii="宋体" w:hAnsi="宋体" w:cs="宋体"/>
                <w:color w:val="auto"/>
                <w:kern w:val="0"/>
                <w:szCs w:val="21"/>
                <w:highlight w:val="none"/>
                <w:lang w:val="en-US"/>
              </w:rPr>
            </w:pPr>
            <w:r>
              <w:rPr>
                <w:rFonts w:hint="eastAsia" w:ascii="宋体" w:hAnsi="宋体" w:cs="宋体"/>
                <w:b w:val="0"/>
                <w:bCs w:val="0"/>
                <w:i w:val="0"/>
                <w:iCs w:val="0"/>
                <w:color w:val="auto"/>
                <w:kern w:val="0"/>
                <w:sz w:val="21"/>
                <w:szCs w:val="21"/>
                <w:highlight w:val="none"/>
                <w:u w:val="none"/>
                <w:lang w:val="en-US" w:eastAsia="zh-CN" w:bidi="ar"/>
              </w:rPr>
              <w:t>200000</w:t>
            </w:r>
          </w:p>
        </w:tc>
        <w:tc>
          <w:tcPr>
            <w:tcW w:w="78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04F7BF5">
            <w:pPr>
              <w:keepNext w:val="0"/>
              <w:keepLines w:val="0"/>
              <w:widowControl/>
              <w:suppressLineNumbers w:val="0"/>
              <w:jc w:val="center"/>
              <w:textAlignment w:val="center"/>
              <w:rPr>
                <w:rFonts w:hint="eastAsia" w:ascii="宋体" w:hAnsi="宋体" w:eastAsia="宋体" w:cs="宋体"/>
                <w:color w:val="auto"/>
                <w:kern w:val="0"/>
                <w:szCs w:val="21"/>
                <w:highlight w:val="none"/>
                <w:lang w:eastAsia="zh-CN"/>
              </w:rPr>
            </w:pPr>
            <w:r>
              <w:rPr>
                <w:rFonts w:hint="eastAsia" w:ascii="宋体" w:hAnsi="宋体" w:eastAsia="宋体" w:cs="宋体"/>
                <w:i w:val="0"/>
                <w:iCs w:val="0"/>
                <w:color w:val="000000"/>
                <w:kern w:val="0"/>
                <w:sz w:val="21"/>
                <w:szCs w:val="21"/>
                <w:u w:val="none"/>
                <w:lang w:val="en-US" w:eastAsia="zh-CN" w:bidi="ar"/>
              </w:rPr>
              <w:t>7834</w:t>
            </w:r>
            <w:r>
              <w:rPr>
                <w:rFonts w:hint="eastAsia" w:ascii="宋体" w:hAnsi="宋体" w:cs="宋体"/>
                <w:i w:val="0"/>
                <w:iCs w:val="0"/>
                <w:color w:val="000000"/>
                <w:kern w:val="0"/>
                <w:sz w:val="21"/>
                <w:szCs w:val="21"/>
                <w:u w:val="none"/>
                <w:lang w:val="en-US" w:eastAsia="zh-CN" w:bidi="ar"/>
              </w:rPr>
              <w:t>00</w:t>
            </w:r>
            <w:r>
              <w:rPr>
                <w:rFonts w:hint="eastAsia" w:ascii="宋体" w:hAnsi="宋体" w:eastAsia="宋体" w:cs="宋体"/>
                <w:i w:val="0"/>
                <w:iCs w:val="0"/>
                <w:color w:val="000000"/>
                <w:kern w:val="0"/>
                <w:sz w:val="21"/>
                <w:szCs w:val="21"/>
                <w:u w:val="none"/>
                <w:lang w:val="en-US" w:eastAsia="zh-CN" w:bidi="ar"/>
              </w:rPr>
              <w:t xml:space="preserve"> </w:t>
            </w:r>
          </w:p>
        </w:tc>
        <w:tc>
          <w:tcPr>
            <w:tcW w:w="95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80BFA29">
            <w:pPr>
              <w:keepNext w:val="0"/>
              <w:keepLines w:val="0"/>
              <w:widowControl/>
              <w:suppressLineNumbers w:val="0"/>
              <w:jc w:val="center"/>
              <w:textAlignment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u w:val="none"/>
                <w:lang w:val="en-US" w:eastAsia="zh-CN" w:bidi="ar"/>
              </w:rPr>
              <w:t>9834</w:t>
            </w:r>
            <w:r>
              <w:rPr>
                <w:rFonts w:hint="eastAsia" w:ascii="宋体" w:hAnsi="宋体" w:cs="宋体"/>
                <w:i w:val="0"/>
                <w:iCs w:val="0"/>
                <w:color w:val="auto"/>
                <w:kern w:val="0"/>
                <w:sz w:val="21"/>
                <w:szCs w:val="21"/>
                <w:u w:val="none"/>
                <w:lang w:val="en-US" w:eastAsia="zh-CN" w:bidi="ar"/>
              </w:rPr>
              <w:t>00</w:t>
            </w:r>
          </w:p>
        </w:tc>
        <w:tc>
          <w:tcPr>
            <w:tcW w:w="678" w:type="dxa"/>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14:paraId="1CA6156A">
            <w:pPr>
              <w:widowControl/>
              <w:jc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p>
        </w:tc>
        <w:tc>
          <w:tcPr>
            <w:tcW w:w="79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top"/>
          </w:tcPr>
          <w:p w14:paraId="5201D8B8">
            <w:pPr>
              <w:widowControl/>
              <w:jc w:val="center"/>
              <w:rPr>
                <w:rFonts w:ascii="宋体" w:hAnsi="宋体"/>
                <w:color w:val="auto"/>
                <w:highlight w:val="none"/>
              </w:rPr>
            </w:pPr>
          </w:p>
        </w:tc>
        <w:tc>
          <w:tcPr>
            <w:tcW w:w="83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1967D8A">
            <w:pPr>
              <w:widowControl/>
              <w:jc w:val="center"/>
              <w:rPr>
                <w:rFonts w:ascii="宋体" w:hAnsi="宋体"/>
                <w:color w:val="auto"/>
                <w:highlight w:val="none"/>
              </w:rPr>
            </w:pPr>
          </w:p>
        </w:tc>
        <w:tc>
          <w:tcPr>
            <w:tcW w:w="82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1B748BB">
            <w:pPr>
              <w:widowControl/>
              <w:jc w:val="center"/>
              <w:rPr>
                <w:rFonts w:ascii="宋体" w:hAnsi="宋体"/>
                <w:color w:val="auto"/>
                <w:highlight w:val="none"/>
              </w:rPr>
            </w:pPr>
          </w:p>
        </w:tc>
        <w:tc>
          <w:tcPr>
            <w:tcW w:w="81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8330A89">
            <w:pPr>
              <w:widowControl/>
              <w:jc w:val="center"/>
              <w:rPr>
                <w:rFonts w:ascii="宋体" w:hAnsi="宋体" w:cs="宋体"/>
                <w:color w:val="auto"/>
                <w:kern w:val="0"/>
                <w:szCs w:val="21"/>
                <w:highlight w:val="none"/>
              </w:rPr>
            </w:pPr>
          </w:p>
        </w:tc>
      </w:tr>
      <w:tr w14:paraId="27927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56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DCF6F20">
            <w:pPr>
              <w:widowControl/>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bidi="ar"/>
              </w:rPr>
              <w:t>2</w:t>
            </w:r>
          </w:p>
        </w:tc>
        <w:tc>
          <w:tcPr>
            <w:tcW w:w="135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0C29E3F">
            <w:pPr>
              <w:keepNext w:val="0"/>
              <w:keepLines w:val="0"/>
              <w:widowControl/>
              <w:suppressLineNumbers w:val="0"/>
              <w:jc w:val="center"/>
              <w:textAlignment w:val="center"/>
              <w:rPr>
                <w:rFonts w:ascii="宋体" w:hAnsi="宋体"/>
                <w:color w:val="auto"/>
                <w:highlight w:val="none"/>
              </w:rPr>
            </w:pPr>
            <w:r>
              <w:rPr>
                <w:rFonts w:hint="eastAsia" w:ascii="宋体" w:hAnsi="宋体" w:eastAsia="宋体" w:cs="宋体"/>
                <w:b w:val="0"/>
                <w:bCs w:val="0"/>
                <w:i w:val="0"/>
                <w:iCs w:val="0"/>
                <w:color w:val="auto"/>
                <w:kern w:val="0"/>
                <w:sz w:val="21"/>
                <w:szCs w:val="21"/>
                <w:highlight w:val="none"/>
                <w:u w:val="none"/>
                <w:lang w:val="en-US" w:eastAsia="zh-CN" w:bidi="ar"/>
              </w:rPr>
              <w:t>110千伏大田站扩建第三台主变工程</w:t>
            </w:r>
          </w:p>
        </w:tc>
        <w:tc>
          <w:tcPr>
            <w:tcW w:w="91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5FEC79F">
            <w:pPr>
              <w:keepNext w:val="0"/>
              <w:keepLines w:val="0"/>
              <w:widowControl/>
              <w:suppressLineNumbers w:val="0"/>
              <w:jc w:val="center"/>
              <w:textAlignment w:val="center"/>
              <w:rPr>
                <w:rFonts w:hint="default" w:ascii="宋体" w:hAnsi="宋体" w:cs="宋体"/>
                <w:color w:val="auto"/>
                <w:kern w:val="0"/>
                <w:szCs w:val="21"/>
                <w:highlight w:val="none"/>
                <w:lang w:val="en-US"/>
              </w:rPr>
            </w:pPr>
            <w:r>
              <w:rPr>
                <w:rFonts w:hint="eastAsia" w:ascii="宋体" w:hAnsi="宋体" w:cs="宋体"/>
                <w:b w:val="0"/>
                <w:bCs w:val="0"/>
                <w:i w:val="0"/>
                <w:iCs w:val="0"/>
                <w:color w:val="auto"/>
                <w:kern w:val="0"/>
                <w:sz w:val="21"/>
                <w:szCs w:val="21"/>
                <w:highlight w:val="none"/>
                <w:u w:val="none"/>
                <w:lang w:val="en-US" w:eastAsia="zh-CN" w:bidi="ar"/>
              </w:rPr>
              <w:t>281600</w:t>
            </w:r>
          </w:p>
        </w:tc>
        <w:tc>
          <w:tcPr>
            <w:tcW w:w="78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1F1016D">
            <w:pPr>
              <w:keepNext w:val="0"/>
              <w:keepLines w:val="0"/>
              <w:widowControl/>
              <w:suppressLineNumbers w:val="0"/>
              <w:jc w:val="center"/>
              <w:textAlignment w:val="center"/>
              <w:rPr>
                <w:rFonts w:ascii="宋体" w:hAnsi="宋体" w:cs="宋体"/>
                <w:color w:val="auto"/>
                <w:kern w:val="0"/>
                <w:szCs w:val="21"/>
                <w:highlight w:val="none"/>
              </w:rPr>
            </w:pPr>
            <w:r>
              <w:rPr>
                <w:rFonts w:hint="eastAsia" w:ascii="宋体" w:hAnsi="宋体" w:eastAsia="宋体" w:cs="宋体"/>
                <w:i w:val="0"/>
                <w:iCs w:val="0"/>
                <w:color w:val="000000"/>
                <w:kern w:val="0"/>
                <w:sz w:val="21"/>
                <w:szCs w:val="21"/>
                <w:u w:val="none"/>
                <w:lang w:val="en-US" w:eastAsia="zh-CN" w:bidi="ar"/>
              </w:rPr>
              <w:t>6598</w:t>
            </w:r>
            <w:r>
              <w:rPr>
                <w:rFonts w:hint="eastAsia" w:ascii="宋体" w:hAnsi="宋体" w:cs="宋体"/>
                <w:i w:val="0"/>
                <w:iCs w:val="0"/>
                <w:color w:val="000000"/>
                <w:kern w:val="0"/>
                <w:sz w:val="21"/>
                <w:szCs w:val="21"/>
                <w:u w:val="none"/>
                <w:lang w:val="en-US" w:eastAsia="zh-CN" w:bidi="ar"/>
              </w:rPr>
              <w:t>00</w:t>
            </w:r>
            <w:r>
              <w:rPr>
                <w:rFonts w:hint="eastAsia" w:ascii="宋体" w:hAnsi="宋体" w:eastAsia="宋体" w:cs="宋体"/>
                <w:i w:val="0"/>
                <w:iCs w:val="0"/>
                <w:color w:val="000000"/>
                <w:kern w:val="0"/>
                <w:sz w:val="21"/>
                <w:szCs w:val="21"/>
                <w:u w:val="none"/>
                <w:lang w:val="en-US" w:eastAsia="zh-CN" w:bidi="ar"/>
              </w:rPr>
              <w:t xml:space="preserve"> </w:t>
            </w:r>
          </w:p>
        </w:tc>
        <w:tc>
          <w:tcPr>
            <w:tcW w:w="95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183730F">
            <w:pPr>
              <w:keepNext w:val="0"/>
              <w:keepLines w:val="0"/>
              <w:widowControl/>
              <w:suppressLineNumbers w:val="0"/>
              <w:jc w:val="center"/>
              <w:textAlignment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u w:val="none"/>
                <w:lang w:val="en-US" w:eastAsia="zh-CN" w:bidi="ar"/>
              </w:rPr>
              <w:t>9414</w:t>
            </w:r>
            <w:r>
              <w:rPr>
                <w:rFonts w:hint="eastAsia" w:ascii="宋体" w:hAnsi="宋体" w:cs="宋体"/>
                <w:i w:val="0"/>
                <w:iCs w:val="0"/>
                <w:color w:val="auto"/>
                <w:kern w:val="0"/>
                <w:sz w:val="21"/>
                <w:szCs w:val="21"/>
                <w:u w:val="none"/>
                <w:lang w:val="en-US" w:eastAsia="zh-CN" w:bidi="ar"/>
              </w:rPr>
              <w:t>00</w:t>
            </w:r>
            <w:r>
              <w:rPr>
                <w:rFonts w:hint="eastAsia" w:ascii="宋体" w:hAnsi="宋体" w:eastAsia="宋体" w:cs="宋体"/>
                <w:i w:val="0"/>
                <w:iCs w:val="0"/>
                <w:color w:val="auto"/>
                <w:kern w:val="0"/>
                <w:sz w:val="21"/>
                <w:szCs w:val="21"/>
                <w:u w:val="none"/>
                <w:lang w:val="en-US" w:eastAsia="zh-CN" w:bidi="ar"/>
              </w:rPr>
              <w:t xml:space="preserve"> </w:t>
            </w:r>
          </w:p>
        </w:tc>
        <w:tc>
          <w:tcPr>
            <w:tcW w:w="678" w:type="dxa"/>
            <w:vMerge w:val="continue"/>
            <w:tcBorders>
              <w:left w:val="single" w:color="auto" w:sz="4" w:space="0"/>
              <w:right w:val="single" w:color="auto" w:sz="4" w:space="0"/>
            </w:tcBorders>
            <w:noWrap w:val="0"/>
            <w:tcMar>
              <w:top w:w="15" w:type="dxa"/>
              <w:left w:w="15" w:type="dxa"/>
              <w:right w:w="15" w:type="dxa"/>
            </w:tcMar>
            <w:vAlign w:val="center"/>
          </w:tcPr>
          <w:p w14:paraId="30DF308D">
            <w:pPr>
              <w:widowControl/>
              <w:jc w:val="center"/>
              <w:rPr>
                <w:rFonts w:ascii="宋体" w:hAnsi="宋体" w:cs="宋体"/>
                <w:color w:val="auto"/>
                <w:kern w:val="0"/>
                <w:szCs w:val="21"/>
                <w:highlight w:val="none"/>
                <w:lang w:bidi="ar"/>
              </w:rPr>
            </w:pPr>
          </w:p>
        </w:tc>
        <w:tc>
          <w:tcPr>
            <w:tcW w:w="79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top"/>
          </w:tcPr>
          <w:p w14:paraId="559493BF">
            <w:pPr>
              <w:widowControl/>
              <w:jc w:val="center"/>
              <w:rPr>
                <w:rFonts w:ascii="宋体" w:hAnsi="宋体"/>
                <w:color w:val="auto"/>
                <w:highlight w:val="none"/>
              </w:rPr>
            </w:pPr>
          </w:p>
        </w:tc>
        <w:tc>
          <w:tcPr>
            <w:tcW w:w="83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C23D12C">
            <w:pPr>
              <w:widowControl/>
              <w:jc w:val="center"/>
              <w:rPr>
                <w:rFonts w:ascii="宋体" w:hAnsi="宋体"/>
                <w:color w:val="auto"/>
                <w:highlight w:val="none"/>
              </w:rPr>
            </w:pPr>
            <w:r>
              <w:rPr>
                <w:rFonts w:hint="eastAsia" w:ascii="宋体" w:hAnsi="宋体" w:cs="宋体"/>
                <w:color w:val="auto"/>
                <w:kern w:val="0"/>
                <w:szCs w:val="21"/>
                <w:highlight w:val="none"/>
                <w:lang w:bidi="ar"/>
              </w:rPr>
              <w:t>　</w:t>
            </w:r>
          </w:p>
        </w:tc>
        <w:tc>
          <w:tcPr>
            <w:tcW w:w="82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2224291">
            <w:pPr>
              <w:widowControl/>
              <w:jc w:val="center"/>
              <w:rPr>
                <w:rFonts w:ascii="宋体" w:hAnsi="宋体"/>
                <w:color w:val="auto"/>
                <w:highlight w:val="none"/>
              </w:rPr>
            </w:pPr>
          </w:p>
        </w:tc>
        <w:tc>
          <w:tcPr>
            <w:tcW w:w="81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99E2ACE">
            <w:pPr>
              <w:widowControl/>
              <w:jc w:val="center"/>
              <w:rPr>
                <w:rFonts w:ascii="宋体" w:hAnsi="宋体" w:cs="宋体"/>
                <w:color w:val="auto"/>
                <w:kern w:val="0"/>
                <w:szCs w:val="21"/>
                <w:highlight w:val="none"/>
                <w:lang w:bidi="ar"/>
              </w:rPr>
            </w:pPr>
          </w:p>
        </w:tc>
      </w:tr>
      <w:tr w14:paraId="4E993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56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04D5681">
            <w:pPr>
              <w:widowControl/>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bidi="ar"/>
              </w:rPr>
              <w:t>3</w:t>
            </w:r>
          </w:p>
        </w:tc>
        <w:tc>
          <w:tcPr>
            <w:tcW w:w="135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A082169">
            <w:pPr>
              <w:keepNext w:val="0"/>
              <w:keepLines w:val="0"/>
              <w:widowControl/>
              <w:suppressLineNumbers w:val="0"/>
              <w:jc w:val="center"/>
              <w:textAlignment w:val="center"/>
              <w:rPr>
                <w:rFonts w:ascii="宋体" w:hAnsi="宋体" w:cs="宋体"/>
                <w:color w:val="auto"/>
                <w:kern w:val="0"/>
                <w:szCs w:val="21"/>
                <w:highlight w:val="none"/>
              </w:rPr>
            </w:pPr>
            <w:r>
              <w:rPr>
                <w:rFonts w:hint="eastAsia" w:ascii="宋体" w:hAnsi="宋体" w:eastAsia="宋体" w:cs="宋体"/>
                <w:b w:val="0"/>
                <w:bCs w:val="0"/>
                <w:i w:val="0"/>
                <w:iCs w:val="0"/>
                <w:color w:val="auto"/>
                <w:kern w:val="0"/>
                <w:sz w:val="21"/>
                <w:szCs w:val="21"/>
                <w:highlight w:val="none"/>
                <w:u w:val="none"/>
                <w:lang w:val="en-US" w:eastAsia="zh-CN" w:bidi="ar"/>
              </w:rPr>
              <w:t>110千伏福庄站扩建第三台主变工程</w:t>
            </w:r>
          </w:p>
        </w:tc>
        <w:tc>
          <w:tcPr>
            <w:tcW w:w="91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E52E044">
            <w:pPr>
              <w:keepNext w:val="0"/>
              <w:keepLines w:val="0"/>
              <w:widowControl/>
              <w:suppressLineNumbers w:val="0"/>
              <w:jc w:val="center"/>
              <w:textAlignment w:val="center"/>
              <w:rPr>
                <w:rFonts w:hint="default" w:ascii="宋体" w:hAnsi="宋体" w:cs="宋体"/>
                <w:color w:val="auto"/>
                <w:kern w:val="0"/>
                <w:szCs w:val="21"/>
                <w:highlight w:val="none"/>
                <w:lang w:val="en-US"/>
              </w:rPr>
            </w:pPr>
            <w:r>
              <w:rPr>
                <w:rFonts w:hint="eastAsia" w:ascii="宋体" w:hAnsi="宋体" w:cs="宋体"/>
                <w:b w:val="0"/>
                <w:bCs w:val="0"/>
                <w:i w:val="0"/>
                <w:iCs w:val="0"/>
                <w:color w:val="auto"/>
                <w:kern w:val="0"/>
                <w:sz w:val="21"/>
                <w:szCs w:val="21"/>
                <w:highlight w:val="none"/>
                <w:u w:val="none"/>
                <w:lang w:val="en-US" w:eastAsia="zh-CN" w:bidi="ar"/>
              </w:rPr>
              <w:t>281600</w:t>
            </w:r>
          </w:p>
        </w:tc>
        <w:tc>
          <w:tcPr>
            <w:tcW w:w="78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9047713">
            <w:pPr>
              <w:keepNext w:val="0"/>
              <w:keepLines w:val="0"/>
              <w:widowControl/>
              <w:suppressLineNumbers w:val="0"/>
              <w:jc w:val="center"/>
              <w:textAlignment w:val="center"/>
              <w:rPr>
                <w:rFonts w:hint="default" w:ascii="宋体" w:hAnsi="宋体" w:cs="宋体"/>
                <w:color w:val="auto"/>
                <w:kern w:val="0"/>
                <w:szCs w:val="21"/>
                <w:highlight w:val="none"/>
                <w:lang w:val="en-US"/>
              </w:rPr>
            </w:pPr>
            <w:r>
              <w:rPr>
                <w:rFonts w:hint="eastAsia" w:ascii="宋体" w:hAnsi="宋体" w:eastAsia="宋体" w:cs="宋体"/>
                <w:i w:val="0"/>
                <w:iCs w:val="0"/>
                <w:color w:val="000000"/>
                <w:kern w:val="0"/>
                <w:sz w:val="21"/>
                <w:szCs w:val="21"/>
                <w:u w:val="none"/>
                <w:lang w:val="en-US" w:eastAsia="zh-CN" w:bidi="ar"/>
              </w:rPr>
              <w:t>29287</w:t>
            </w:r>
            <w:r>
              <w:rPr>
                <w:rFonts w:hint="eastAsia" w:ascii="宋体" w:hAnsi="宋体" w:cs="宋体"/>
                <w:i w:val="0"/>
                <w:iCs w:val="0"/>
                <w:color w:val="000000"/>
                <w:kern w:val="0"/>
                <w:sz w:val="21"/>
                <w:szCs w:val="21"/>
                <w:u w:val="none"/>
                <w:lang w:val="en-US" w:eastAsia="zh-CN" w:bidi="ar"/>
              </w:rPr>
              <w:t>00</w:t>
            </w:r>
            <w:r>
              <w:rPr>
                <w:rFonts w:hint="eastAsia" w:ascii="宋体" w:hAnsi="宋体" w:eastAsia="宋体" w:cs="宋体"/>
                <w:i w:val="0"/>
                <w:iCs w:val="0"/>
                <w:color w:val="000000"/>
                <w:kern w:val="0"/>
                <w:sz w:val="21"/>
                <w:szCs w:val="21"/>
                <w:u w:val="none"/>
                <w:lang w:val="en-US" w:eastAsia="zh-CN" w:bidi="ar"/>
              </w:rPr>
              <w:t xml:space="preserve"> </w:t>
            </w:r>
          </w:p>
        </w:tc>
        <w:tc>
          <w:tcPr>
            <w:tcW w:w="95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0F882E2">
            <w:pPr>
              <w:keepNext w:val="0"/>
              <w:keepLines w:val="0"/>
              <w:widowControl/>
              <w:suppressLineNumbers w:val="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u w:val="none"/>
                <w:lang w:val="en-US" w:eastAsia="zh-CN" w:bidi="ar"/>
              </w:rPr>
              <w:t>32103</w:t>
            </w:r>
            <w:r>
              <w:rPr>
                <w:rFonts w:hint="eastAsia" w:ascii="宋体" w:hAnsi="宋体" w:cs="宋体"/>
                <w:i w:val="0"/>
                <w:iCs w:val="0"/>
                <w:color w:val="auto"/>
                <w:kern w:val="0"/>
                <w:sz w:val="21"/>
                <w:szCs w:val="21"/>
                <w:u w:val="none"/>
                <w:lang w:val="en-US" w:eastAsia="zh-CN" w:bidi="ar"/>
              </w:rPr>
              <w:t>00</w:t>
            </w:r>
          </w:p>
        </w:tc>
        <w:tc>
          <w:tcPr>
            <w:tcW w:w="678" w:type="dxa"/>
            <w:vMerge w:val="continue"/>
            <w:tcBorders>
              <w:left w:val="single" w:color="auto" w:sz="4" w:space="0"/>
              <w:right w:val="single" w:color="auto" w:sz="4" w:space="0"/>
            </w:tcBorders>
            <w:noWrap w:val="0"/>
            <w:tcMar>
              <w:top w:w="15" w:type="dxa"/>
              <w:left w:w="15" w:type="dxa"/>
              <w:right w:w="15" w:type="dxa"/>
            </w:tcMar>
            <w:vAlign w:val="center"/>
          </w:tcPr>
          <w:p w14:paraId="780EB4DC">
            <w:pPr>
              <w:widowControl/>
              <w:jc w:val="center"/>
              <w:rPr>
                <w:rFonts w:ascii="宋体" w:hAnsi="宋体" w:cs="宋体"/>
                <w:color w:val="auto"/>
                <w:kern w:val="0"/>
                <w:szCs w:val="21"/>
                <w:highlight w:val="none"/>
                <w:lang w:bidi="ar"/>
              </w:rPr>
            </w:pPr>
          </w:p>
        </w:tc>
        <w:tc>
          <w:tcPr>
            <w:tcW w:w="79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top"/>
          </w:tcPr>
          <w:p w14:paraId="360555F0">
            <w:pPr>
              <w:widowControl/>
              <w:jc w:val="center"/>
              <w:rPr>
                <w:rFonts w:ascii="宋体" w:hAnsi="宋体"/>
                <w:color w:val="auto"/>
                <w:highlight w:val="none"/>
              </w:rPr>
            </w:pPr>
          </w:p>
        </w:tc>
        <w:tc>
          <w:tcPr>
            <w:tcW w:w="83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00C3743">
            <w:pPr>
              <w:widowControl/>
              <w:jc w:val="center"/>
              <w:rPr>
                <w:rFonts w:ascii="宋体" w:hAnsi="宋体"/>
                <w:color w:val="auto"/>
                <w:highlight w:val="none"/>
              </w:rPr>
            </w:pPr>
            <w:r>
              <w:rPr>
                <w:rFonts w:hint="eastAsia" w:ascii="宋体" w:hAnsi="宋体" w:cs="宋体"/>
                <w:color w:val="auto"/>
                <w:kern w:val="0"/>
                <w:szCs w:val="21"/>
                <w:highlight w:val="none"/>
                <w:lang w:bidi="ar"/>
              </w:rPr>
              <w:t>　</w:t>
            </w:r>
          </w:p>
        </w:tc>
        <w:tc>
          <w:tcPr>
            <w:tcW w:w="82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5103DCFE">
            <w:pPr>
              <w:widowControl/>
              <w:jc w:val="center"/>
              <w:rPr>
                <w:rFonts w:ascii="宋体" w:hAnsi="宋体"/>
                <w:color w:val="auto"/>
                <w:highlight w:val="none"/>
              </w:rPr>
            </w:pPr>
          </w:p>
        </w:tc>
        <w:tc>
          <w:tcPr>
            <w:tcW w:w="81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89106FB">
            <w:pPr>
              <w:widowControl/>
              <w:jc w:val="center"/>
              <w:rPr>
                <w:rFonts w:ascii="宋体" w:hAnsi="宋体" w:cs="宋体"/>
                <w:color w:val="auto"/>
                <w:kern w:val="0"/>
                <w:szCs w:val="21"/>
                <w:highlight w:val="none"/>
                <w:lang w:bidi="ar"/>
              </w:rPr>
            </w:pPr>
          </w:p>
        </w:tc>
      </w:tr>
      <w:tr w14:paraId="0B4B7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56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20435CDD">
            <w:pPr>
              <w:widowControl/>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bidi="ar"/>
              </w:rPr>
              <w:t>4</w:t>
            </w:r>
          </w:p>
        </w:tc>
        <w:tc>
          <w:tcPr>
            <w:tcW w:w="135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A9A8B8C">
            <w:pPr>
              <w:keepNext w:val="0"/>
              <w:keepLines w:val="0"/>
              <w:widowControl/>
              <w:suppressLineNumbers w:val="0"/>
              <w:jc w:val="center"/>
              <w:textAlignment w:val="center"/>
              <w:rPr>
                <w:rFonts w:ascii="宋体" w:hAnsi="宋体" w:cs="宋体"/>
                <w:color w:val="auto"/>
                <w:kern w:val="0"/>
                <w:szCs w:val="21"/>
                <w:highlight w:val="none"/>
              </w:rPr>
            </w:pPr>
            <w:r>
              <w:rPr>
                <w:rFonts w:hint="eastAsia" w:ascii="宋体" w:hAnsi="宋体" w:eastAsia="宋体" w:cs="宋体"/>
                <w:b w:val="0"/>
                <w:bCs w:val="0"/>
                <w:i w:val="0"/>
                <w:iCs w:val="0"/>
                <w:color w:val="auto"/>
                <w:kern w:val="0"/>
                <w:sz w:val="21"/>
                <w:szCs w:val="21"/>
                <w:highlight w:val="none"/>
                <w:u w:val="none"/>
                <w:lang w:val="en-US" w:eastAsia="zh-CN" w:bidi="ar"/>
              </w:rPr>
              <w:t>110千伏秀水输变电工程</w:t>
            </w:r>
          </w:p>
        </w:tc>
        <w:tc>
          <w:tcPr>
            <w:tcW w:w="91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3A2CB5D">
            <w:pPr>
              <w:keepNext w:val="0"/>
              <w:keepLines w:val="0"/>
              <w:widowControl/>
              <w:suppressLineNumbers w:val="0"/>
              <w:jc w:val="center"/>
              <w:textAlignment w:val="center"/>
              <w:rPr>
                <w:rFonts w:hint="default" w:ascii="宋体" w:hAnsi="宋体" w:cs="宋体"/>
                <w:color w:val="auto"/>
                <w:kern w:val="0"/>
                <w:szCs w:val="21"/>
                <w:highlight w:val="none"/>
                <w:lang w:val="en-US"/>
              </w:rPr>
            </w:pPr>
            <w:r>
              <w:rPr>
                <w:rFonts w:hint="eastAsia" w:ascii="宋体" w:hAnsi="宋体" w:cs="宋体"/>
                <w:b w:val="0"/>
                <w:bCs w:val="0"/>
                <w:i w:val="0"/>
                <w:iCs w:val="0"/>
                <w:color w:val="auto"/>
                <w:kern w:val="0"/>
                <w:sz w:val="21"/>
                <w:szCs w:val="21"/>
                <w:highlight w:val="none"/>
                <w:u w:val="none"/>
                <w:lang w:val="en-US" w:eastAsia="zh-CN" w:bidi="ar"/>
              </w:rPr>
              <w:t>850000</w:t>
            </w:r>
          </w:p>
        </w:tc>
        <w:tc>
          <w:tcPr>
            <w:tcW w:w="78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06823E5">
            <w:pPr>
              <w:keepNext w:val="0"/>
              <w:keepLines w:val="0"/>
              <w:widowControl/>
              <w:suppressLineNumbers w:val="0"/>
              <w:jc w:val="center"/>
              <w:textAlignment w:val="center"/>
              <w:rPr>
                <w:rFonts w:ascii="宋体" w:hAnsi="宋体" w:cs="宋体"/>
                <w:color w:val="auto"/>
                <w:kern w:val="0"/>
                <w:szCs w:val="21"/>
                <w:highlight w:val="none"/>
              </w:rPr>
            </w:pPr>
            <w:r>
              <w:rPr>
                <w:rFonts w:hint="eastAsia" w:ascii="宋体" w:hAnsi="宋体" w:eastAsia="宋体" w:cs="宋体"/>
                <w:i w:val="0"/>
                <w:iCs w:val="0"/>
                <w:color w:val="000000"/>
                <w:kern w:val="0"/>
                <w:sz w:val="21"/>
                <w:szCs w:val="21"/>
                <w:u w:val="none"/>
                <w:lang w:val="en-US" w:eastAsia="zh-CN" w:bidi="ar"/>
              </w:rPr>
              <w:t>24407</w:t>
            </w:r>
            <w:r>
              <w:rPr>
                <w:rFonts w:hint="eastAsia" w:ascii="宋体" w:hAnsi="宋体" w:cs="宋体"/>
                <w:i w:val="0"/>
                <w:iCs w:val="0"/>
                <w:color w:val="000000"/>
                <w:kern w:val="0"/>
                <w:sz w:val="21"/>
                <w:szCs w:val="21"/>
                <w:u w:val="none"/>
                <w:lang w:val="en-US" w:eastAsia="zh-CN" w:bidi="ar"/>
              </w:rPr>
              <w:t>00</w:t>
            </w:r>
            <w:r>
              <w:rPr>
                <w:rFonts w:hint="eastAsia" w:ascii="宋体" w:hAnsi="宋体" w:eastAsia="宋体" w:cs="宋体"/>
                <w:i w:val="0"/>
                <w:iCs w:val="0"/>
                <w:color w:val="000000"/>
                <w:kern w:val="0"/>
                <w:sz w:val="21"/>
                <w:szCs w:val="21"/>
                <w:u w:val="none"/>
                <w:lang w:val="en-US" w:eastAsia="zh-CN" w:bidi="ar"/>
              </w:rPr>
              <w:t xml:space="preserve"> </w:t>
            </w:r>
          </w:p>
        </w:tc>
        <w:tc>
          <w:tcPr>
            <w:tcW w:w="95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BA4365A">
            <w:pPr>
              <w:keepNext w:val="0"/>
              <w:keepLines w:val="0"/>
              <w:widowControl/>
              <w:suppressLineNumbers w:val="0"/>
              <w:jc w:val="center"/>
              <w:textAlignment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u w:val="none"/>
                <w:lang w:val="en-US" w:eastAsia="zh-CN" w:bidi="ar"/>
              </w:rPr>
              <w:t>32907</w:t>
            </w:r>
            <w:r>
              <w:rPr>
                <w:rFonts w:hint="eastAsia" w:ascii="宋体" w:hAnsi="宋体" w:cs="宋体"/>
                <w:i w:val="0"/>
                <w:iCs w:val="0"/>
                <w:color w:val="auto"/>
                <w:kern w:val="0"/>
                <w:sz w:val="21"/>
                <w:szCs w:val="21"/>
                <w:u w:val="none"/>
                <w:lang w:val="en-US" w:eastAsia="zh-CN" w:bidi="ar"/>
              </w:rPr>
              <w:t>00</w:t>
            </w:r>
            <w:r>
              <w:rPr>
                <w:rFonts w:hint="eastAsia" w:ascii="宋体" w:hAnsi="宋体" w:eastAsia="宋体" w:cs="宋体"/>
                <w:i w:val="0"/>
                <w:iCs w:val="0"/>
                <w:color w:val="auto"/>
                <w:kern w:val="0"/>
                <w:sz w:val="21"/>
                <w:szCs w:val="21"/>
                <w:u w:val="none"/>
                <w:lang w:val="en-US" w:eastAsia="zh-CN" w:bidi="ar"/>
              </w:rPr>
              <w:t xml:space="preserve"> </w:t>
            </w:r>
          </w:p>
        </w:tc>
        <w:tc>
          <w:tcPr>
            <w:tcW w:w="678" w:type="dxa"/>
            <w:vMerge w:val="continue"/>
            <w:tcBorders>
              <w:left w:val="single" w:color="auto" w:sz="4" w:space="0"/>
              <w:right w:val="single" w:color="auto" w:sz="4" w:space="0"/>
            </w:tcBorders>
            <w:noWrap w:val="0"/>
            <w:tcMar>
              <w:top w:w="15" w:type="dxa"/>
              <w:left w:w="15" w:type="dxa"/>
              <w:right w:w="15" w:type="dxa"/>
            </w:tcMar>
            <w:vAlign w:val="center"/>
          </w:tcPr>
          <w:p w14:paraId="0E0234D2">
            <w:pPr>
              <w:widowControl/>
              <w:jc w:val="center"/>
              <w:rPr>
                <w:rFonts w:ascii="宋体" w:hAnsi="宋体" w:cs="宋体"/>
                <w:color w:val="auto"/>
                <w:kern w:val="0"/>
                <w:szCs w:val="21"/>
                <w:highlight w:val="none"/>
              </w:rPr>
            </w:pPr>
          </w:p>
        </w:tc>
        <w:tc>
          <w:tcPr>
            <w:tcW w:w="79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top"/>
          </w:tcPr>
          <w:p w14:paraId="4D6FC689">
            <w:pPr>
              <w:widowControl/>
              <w:jc w:val="center"/>
              <w:rPr>
                <w:rFonts w:ascii="宋体" w:hAnsi="宋体"/>
                <w:color w:val="auto"/>
                <w:highlight w:val="none"/>
              </w:rPr>
            </w:pPr>
          </w:p>
        </w:tc>
        <w:tc>
          <w:tcPr>
            <w:tcW w:w="83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DDB8849">
            <w:pPr>
              <w:widowControl/>
              <w:jc w:val="center"/>
              <w:rPr>
                <w:rFonts w:ascii="宋体" w:hAnsi="宋体"/>
                <w:color w:val="auto"/>
                <w:highlight w:val="none"/>
              </w:rPr>
            </w:pPr>
          </w:p>
        </w:tc>
        <w:tc>
          <w:tcPr>
            <w:tcW w:w="82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4FB49F4">
            <w:pPr>
              <w:widowControl/>
              <w:jc w:val="center"/>
              <w:rPr>
                <w:rFonts w:ascii="宋体" w:hAnsi="宋体"/>
                <w:color w:val="auto"/>
                <w:highlight w:val="none"/>
              </w:rPr>
            </w:pPr>
          </w:p>
        </w:tc>
        <w:tc>
          <w:tcPr>
            <w:tcW w:w="81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4B9F922">
            <w:pPr>
              <w:widowControl/>
              <w:jc w:val="center"/>
              <w:rPr>
                <w:rFonts w:ascii="宋体" w:hAnsi="宋体" w:cs="宋体"/>
                <w:color w:val="auto"/>
                <w:kern w:val="0"/>
                <w:szCs w:val="21"/>
                <w:highlight w:val="none"/>
              </w:rPr>
            </w:pPr>
          </w:p>
        </w:tc>
      </w:tr>
      <w:tr w14:paraId="6652B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1911" w:type="dxa"/>
            <w:gridSpan w:val="2"/>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475FCC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lang w:bidi="ar"/>
              </w:rPr>
              <w:t>合计（</w:t>
            </w:r>
            <w:r>
              <w:rPr>
                <w:rFonts w:hint="eastAsia" w:ascii="宋体" w:hAnsi="宋体" w:cs="宋体"/>
                <w:color w:val="auto"/>
                <w:kern w:val="0"/>
                <w:szCs w:val="21"/>
                <w:highlight w:val="none"/>
                <w:u w:val="single"/>
                <w:lang w:val="en-US" w:eastAsia="zh-CN" w:bidi="ar"/>
              </w:rPr>
              <w:t>1</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u w:val="single"/>
                <w:lang w:val="en-US" w:eastAsia="zh-CN" w:bidi="ar"/>
              </w:rPr>
              <w:t>2</w:t>
            </w:r>
            <w:r>
              <w:rPr>
                <w:rFonts w:hint="eastAsia" w:ascii="宋体" w:hAnsi="宋体" w:cs="宋体"/>
                <w:color w:val="auto"/>
                <w:kern w:val="0"/>
                <w:szCs w:val="21"/>
                <w:highlight w:val="none"/>
                <w:u w:val="single"/>
                <w:lang w:bidi="ar"/>
              </w:rPr>
              <w:t>+...+N</w:t>
            </w:r>
            <w:r>
              <w:rPr>
                <w:rFonts w:hint="eastAsia" w:ascii="宋体" w:hAnsi="宋体" w:cs="宋体"/>
                <w:color w:val="auto"/>
                <w:kern w:val="0"/>
                <w:szCs w:val="21"/>
                <w:highlight w:val="none"/>
                <w:lang w:bidi="ar"/>
              </w:rPr>
              <w:t>）</w:t>
            </w:r>
          </w:p>
        </w:tc>
        <w:tc>
          <w:tcPr>
            <w:tcW w:w="91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3C54D1D">
            <w:pPr>
              <w:keepNext w:val="0"/>
              <w:keepLines w:val="0"/>
              <w:widowControl/>
              <w:suppressLineNumbers w:val="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cs="宋体"/>
                <w:b/>
                <w:bCs/>
                <w:color w:val="auto"/>
                <w:kern w:val="0"/>
                <w:sz w:val="21"/>
                <w:szCs w:val="21"/>
                <w:highlight w:val="none"/>
                <w:lang w:val="en-US" w:eastAsia="zh-CN"/>
              </w:rPr>
              <w:t>1613200</w:t>
            </w:r>
          </w:p>
        </w:tc>
        <w:tc>
          <w:tcPr>
            <w:tcW w:w="78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4FCD932">
            <w:pPr>
              <w:keepNext w:val="0"/>
              <w:keepLines w:val="0"/>
              <w:widowControl/>
              <w:suppressLineNumbers w:val="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68126</w:t>
            </w:r>
            <w:r>
              <w:rPr>
                <w:rFonts w:hint="eastAsia" w:ascii="宋体" w:hAnsi="宋体" w:cs="宋体"/>
                <w:b/>
                <w:bCs/>
                <w:i w:val="0"/>
                <w:iCs w:val="0"/>
                <w:color w:val="000000"/>
                <w:kern w:val="0"/>
                <w:sz w:val="21"/>
                <w:szCs w:val="21"/>
                <w:u w:val="none"/>
                <w:lang w:val="en-US" w:eastAsia="zh-CN" w:bidi="ar"/>
              </w:rPr>
              <w:t>00</w:t>
            </w:r>
          </w:p>
        </w:tc>
        <w:tc>
          <w:tcPr>
            <w:tcW w:w="95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68F4732">
            <w:pPr>
              <w:keepNext w:val="0"/>
              <w:keepLines w:val="0"/>
              <w:widowControl/>
              <w:suppressLineNumbers w:val="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u w:val="none"/>
                <w:lang w:val="en-US" w:eastAsia="zh-CN" w:bidi="ar"/>
              </w:rPr>
              <w:t>84258</w:t>
            </w:r>
            <w:r>
              <w:rPr>
                <w:rFonts w:hint="eastAsia" w:ascii="宋体" w:hAnsi="宋体" w:cs="宋体"/>
                <w:b/>
                <w:bCs/>
                <w:i w:val="0"/>
                <w:iCs w:val="0"/>
                <w:color w:val="auto"/>
                <w:kern w:val="0"/>
                <w:sz w:val="21"/>
                <w:szCs w:val="21"/>
                <w:u w:val="none"/>
                <w:lang w:val="en-US" w:eastAsia="zh-CN" w:bidi="ar"/>
              </w:rPr>
              <w:t>00</w:t>
            </w:r>
          </w:p>
        </w:tc>
        <w:tc>
          <w:tcPr>
            <w:tcW w:w="678" w:type="dxa"/>
            <w:tcBorders>
              <w:left w:val="single" w:color="auto" w:sz="4" w:space="0"/>
              <w:bottom w:val="single" w:color="auto" w:sz="4" w:space="0"/>
              <w:right w:val="single" w:color="auto" w:sz="4" w:space="0"/>
              <w:tr2bl w:val="single" w:color="auto" w:sz="4" w:space="0"/>
            </w:tcBorders>
            <w:noWrap w:val="0"/>
            <w:tcMar>
              <w:top w:w="15" w:type="dxa"/>
              <w:left w:w="15" w:type="dxa"/>
              <w:right w:w="15" w:type="dxa"/>
            </w:tcMar>
            <w:vAlign w:val="top"/>
          </w:tcPr>
          <w:p w14:paraId="587E31FD">
            <w:pPr>
              <w:widowControl/>
              <w:jc w:val="left"/>
              <w:rPr>
                <w:rFonts w:ascii="宋体" w:hAnsi="宋体" w:cs="宋体"/>
                <w:color w:val="auto"/>
                <w:kern w:val="0"/>
                <w:szCs w:val="21"/>
                <w:highlight w:val="none"/>
                <w:lang w:bidi="ar"/>
              </w:rPr>
            </w:pPr>
          </w:p>
        </w:tc>
        <w:tc>
          <w:tcPr>
            <w:tcW w:w="79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top"/>
          </w:tcPr>
          <w:p w14:paraId="6EA31CD8">
            <w:pPr>
              <w:widowControl/>
              <w:jc w:val="center"/>
              <w:rPr>
                <w:rFonts w:ascii="宋体" w:hAnsi="宋体"/>
                <w:color w:val="auto"/>
                <w:highlight w:val="none"/>
              </w:rPr>
            </w:pPr>
          </w:p>
        </w:tc>
        <w:tc>
          <w:tcPr>
            <w:tcW w:w="83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2056B11">
            <w:pPr>
              <w:widowControl/>
              <w:jc w:val="center"/>
              <w:rPr>
                <w:rFonts w:ascii="宋体" w:hAnsi="宋体"/>
                <w:color w:val="auto"/>
                <w:highlight w:val="none"/>
              </w:rPr>
            </w:pPr>
            <w:r>
              <w:rPr>
                <w:rFonts w:hint="eastAsia" w:ascii="宋体" w:hAnsi="宋体" w:cs="宋体"/>
                <w:color w:val="auto"/>
                <w:kern w:val="0"/>
                <w:szCs w:val="21"/>
                <w:highlight w:val="none"/>
                <w:lang w:bidi="ar"/>
              </w:rPr>
              <w:t>　</w:t>
            </w:r>
          </w:p>
        </w:tc>
        <w:tc>
          <w:tcPr>
            <w:tcW w:w="82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074649B6">
            <w:pPr>
              <w:widowControl/>
              <w:jc w:val="center"/>
              <w:rPr>
                <w:rFonts w:ascii="宋体" w:hAnsi="宋体"/>
                <w:color w:val="auto"/>
                <w:highlight w:val="none"/>
              </w:rPr>
            </w:pPr>
          </w:p>
        </w:tc>
        <w:tc>
          <w:tcPr>
            <w:tcW w:w="814"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4144B106">
            <w:pPr>
              <w:widowControl/>
              <w:jc w:val="center"/>
              <w:rPr>
                <w:rFonts w:ascii="宋体" w:hAnsi="宋体" w:cs="宋体"/>
                <w:color w:val="auto"/>
                <w:kern w:val="0"/>
                <w:szCs w:val="21"/>
                <w:highlight w:val="none"/>
                <w:lang w:bidi="ar"/>
              </w:rPr>
            </w:pPr>
          </w:p>
        </w:tc>
      </w:tr>
    </w:tbl>
    <w:p w14:paraId="789702E4">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lang w:val="en-US" w:eastAsia="zh-CN"/>
        </w:rPr>
      </w:pPr>
    </w:p>
    <w:p w14:paraId="7FAD7C9E">
      <w:pPr>
        <w:pStyle w:val="6"/>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0E3A93D3">
      <w:pPr>
        <w:pStyle w:val="6"/>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240" w:firstLineChars="100"/>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（1）按下浮率报价（保留两位小数，如8.88%），同时填报投标报价（投标报价=</w:t>
      </w:r>
      <w:r>
        <w:rPr>
          <w:rFonts w:hint="eastAsia" w:ascii="宋体" w:hAnsi="宋体" w:cs="宋体"/>
          <w:color w:val="auto"/>
          <w:kern w:val="2"/>
          <w:sz w:val="24"/>
          <w:szCs w:val="24"/>
          <w:highlight w:val="none"/>
          <w:u w:val="none"/>
          <w:lang w:val="en-US" w:eastAsia="zh-CN" w:bidi="ar-SA"/>
        </w:rPr>
        <w:t>最高投标限价</w:t>
      </w:r>
      <w:r>
        <w:rPr>
          <w:rFonts w:hint="eastAsia" w:ascii="宋体" w:hAnsi="宋体" w:eastAsia="宋体" w:cs="宋体"/>
          <w:color w:val="auto"/>
          <w:kern w:val="2"/>
          <w:sz w:val="24"/>
          <w:szCs w:val="24"/>
          <w:highlight w:val="none"/>
          <w:u w:val="none"/>
          <w:lang w:val="en-US" w:eastAsia="zh-CN" w:bidi="ar-SA"/>
        </w:rPr>
        <w:t>*（1-投标下浮率），四舍五入保留两位小数）。当投标报价与投标下浮率计算结果不一致时，以投标下浮率为准，按上述公式修订投标报价。</w:t>
      </w:r>
    </w:p>
    <w:p w14:paraId="0737304F">
      <w:pPr>
        <w:pStyle w:val="6"/>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240" w:firstLineChars="100"/>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（2）投标下浮率不低于0%为有效报价；当投标下浮率＞</w:t>
      </w:r>
      <w:r>
        <w:rPr>
          <w:rFonts w:hint="eastAsia" w:ascii="宋体" w:hAnsi="宋体" w:cs="宋体"/>
          <w:color w:val="auto"/>
          <w:kern w:val="2"/>
          <w:sz w:val="24"/>
          <w:szCs w:val="24"/>
          <w:highlight w:val="none"/>
          <w:u w:val="none"/>
          <w:lang w:val="en-US" w:eastAsia="zh-CN" w:bidi="ar-SA"/>
        </w:rPr>
        <w:t>20</w:t>
      </w:r>
      <w:r>
        <w:rPr>
          <w:rFonts w:hint="eastAsia" w:ascii="宋体" w:hAnsi="宋体" w:eastAsia="宋体" w:cs="宋体"/>
          <w:color w:val="auto"/>
          <w:kern w:val="2"/>
          <w:sz w:val="24"/>
          <w:szCs w:val="24"/>
          <w:highlight w:val="none"/>
          <w:u w:val="none"/>
          <w:lang w:val="en-US" w:eastAsia="zh-CN" w:bidi="ar-SA"/>
        </w:rPr>
        <w:t>%时应附成本分析报告，充分说明单价和费用的组成、降低成本的合理措施及在其他工程中应用过的经验等，经评审通过后方可视为有效报价。</w:t>
      </w:r>
    </w:p>
    <w:p w14:paraId="1C7CF0EC">
      <w:pPr>
        <w:pStyle w:val="6"/>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240" w:firstLineChars="100"/>
        <w:textAlignment w:val="auto"/>
        <w:rPr>
          <w:rFonts w:hint="eastAsia"/>
          <w:lang w:val="en-US" w:eastAsia="zh-CN"/>
        </w:rPr>
      </w:pPr>
      <w:r>
        <w:rPr>
          <w:rFonts w:hint="eastAsia" w:ascii="宋体" w:hAnsi="宋体" w:eastAsia="宋体" w:cs="宋体"/>
          <w:color w:val="auto"/>
          <w:kern w:val="2"/>
          <w:sz w:val="24"/>
          <w:szCs w:val="24"/>
          <w:highlight w:val="none"/>
          <w:u w:val="none"/>
          <w:lang w:val="en-US" w:eastAsia="zh-CN" w:bidi="ar-SA"/>
        </w:rPr>
        <w:t>（3）价格分计算时，投标人评标价按（100-投标人填写的下浮数值）参与计算。如：下浮率为1.88％时，评标价按（100-1.88）参与计算。</w:t>
      </w:r>
    </w:p>
    <w:p w14:paraId="5A06BFB7">
      <w:pPr>
        <w:pStyle w:val="3"/>
        <w:keepNext w:val="0"/>
        <w:keepLines w:val="0"/>
        <w:pageBreakBefore w:val="0"/>
        <w:widowControl w:val="0"/>
        <w:numPr>
          <w:ilvl w:val="0"/>
          <w:numId w:val="0"/>
        </w:numPr>
        <w:kinsoku/>
        <w:wordWrap/>
        <w:overflowPunct/>
        <w:topLinePunct w:val="0"/>
        <w:bidi w:val="0"/>
        <w:snapToGrid/>
        <w:spacing w:line="480" w:lineRule="auto"/>
        <w:ind w:leftChars="0"/>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697A6A1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default"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选址选线可研</w:t>
      </w:r>
      <w:r>
        <w:rPr>
          <w:rFonts w:hint="eastAsia" w:ascii="宋体" w:hAnsi="宋体" w:cs="宋体"/>
          <w:color w:val="auto"/>
          <w:kern w:val="2"/>
          <w:sz w:val="24"/>
          <w:szCs w:val="24"/>
          <w:highlight w:val="none"/>
          <w:u w:val="single"/>
          <w:lang w:val="en-US" w:eastAsia="zh-CN" w:bidi="ar-SA"/>
        </w:rPr>
        <w:t>：固定总价，选址选线可研费最高投标限价×（1-中标下浮率）进行结算</w:t>
      </w:r>
    </w:p>
    <w:p w14:paraId="662124F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勘察设计费</w:t>
      </w:r>
      <w:r>
        <w:rPr>
          <w:rFonts w:hint="eastAsia" w:ascii="宋体" w:hAnsi="宋体" w:cs="宋体"/>
          <w:color w:val="auto"/>
          <w:kern w:val="2"/>
          <w:sz w:val="24"/>
          <w:szCs w:val="24"/>
          <w:highlight w:val="none"/>
          <w:u w:val="single"/>
          <w:lang w:val="en-US" w:eastAsia="zh-CN" w:bidi="ar-SA"/>
        </w:rPr>
        <w:t>：按实结算，</w:t>
      </w:r>
      <w:r>
        <w:rPr>
          <w:rFonts w:hint="eastAsia" w:ascii="宋体" w:hAnsi="宋体" w:eastAsia="宋体" w:cs="宋体"/>
          <w:color w:val="auto"/>
          <w:kern w:val="2"/>
          <w:sz w:val="24"/>
          <w:szCs w:val="24"/>
          <w:highlight w:val="none"/>
          <w:u w:val="single"/>
          <w:lang w:val="en-US" w:eastAsia="zh-CN" w:bidi="ar-SA"/>
        </w:rPr>
        <w:t>结算时按中标结果、依据审定工作量及按照合同结算条款进行结算。</w:t>
      </w:r>
    </w:p>
    <w:p w14:paraId="29BC15EE">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75652D41">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2444167D">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14:paraId="2FF00AA6">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eastAsia" w:ascii="Wingdings" w:hAnsi="Wingdings" w:cs="Wingdings" w:eastAsiaTheme="minorEastAsia"/>
          <w:b/>
          <w:bCs/>
          <w:i w:val="0"/>
          <w:iCs/>
          <w:color w:val="auto"/>
          <w:kern w:val="2"/>
          <w:sz w:val="24"/>
          <w:szCs w:val="24"/>
          <w:highlight w:val="none"/>
          <w:u w:val="single"/>
          <w:lang w:val="en-US" w:eastAsia="zh-CN" w:bidi="ar-SA"/>
        </w:rPr>
      </w:pPr>
      <w:r>
        <w:rPr>
          <w:rFonts w:hint="eastAsia" w:ascii="Wingdings" w:hAnsi="Wingdings" w:cs="Wingdings" w:eastAsiaTheme="minorEastAsia"/>
          <w:b/>
          <w:bCs/>
          <w:i w:val="0"/>
          <w:iCs/>
          <w:color w:val="auto"/>
          <w:kern w:val="2"/>
          <w:sz w:val="24"/>
          <w:szCs w:val="24"/>
          <w:highlight w:val="none"/>
          <w:u w:val="single"/>
          <w:lang w:val="en-US" w:eastAsia="zh-CN" w:bidi="ar-SA"/>
        </w:rPr>
        <w:t xml:space="preserve">                                       </w:t>
      </w:r>
    </w:p>
    <w:p w14:paraId="46D7C37D">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default"/>
          <w:highlight w:val="none"/>
          <w:lang w:val="en-US" w:eastAsia="zh-CN"/>
        </w:rPr>
        <w:br w:type="page"/>
      </w:r>
    </w:p>
    <w:p w14:paraId="215DBCE0">
      <w:pPr>
        <w:pStyle w:val="9"/>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7F978B90">
      <w:pPr>
        <w:pStyle w:val="3"/>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p>
    <w:p w14:paraId="1773F9F8">
      <w:pPr>
        <w:pStyle w:val="9"/>
        <w:rPr>
          <w:rFonts w:hint="eastAsia" w:asciiTheme="minorEastAsia" w:hAnsiTheme="minorEastAsia" w:eastAsiaTheme="minorEastAsia" w:cstheme="minorEastAsia"/>
          <w:i w:val="0"/>
          <w:iCs/>
          <w:color w:val="auto"/>
          <w:sz w:val="24"/>
          <w:szCs w:val="24"/>
          <w:highlight w:val="none"/>
        </w:rPr>
      </w:pPr>
    </w:p>
    <w:p w14:paraId="0CDAA369">
      <w:pPr>
        <w:pStyle w:val="3"/>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p>
    <w:p w14:paraId="6B5DF287">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47AB0EBF">
      <w:pPr>
        <w:pStyle w:val="3"/>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（二）符合图纸及技术文件的要求（如有，详见招标文件附件）。</w:t>
      </w:r>
    </w:p>
    <w:p w14:paraId="0D876D13">
      <w:pPr>
        <w:pStyle w:val="9"/>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p>
    <w:p w14:paraId="6E3F884D">
      <w:pPr>
        <w:rPr>
          <w:rFonts w:hint="eastAsia" w:ascii="宋体" w:hAnsi="宋体" w:eastAsia="宋体" w:cs="宋体"/>
          <w:color w:val="auto"/>
          <w:sz w:val="24"/>
          <w:szCs w:val="24"/>
          <w:highlight w:val="none"/>
          <w:u w:val="single"/>
          <w:vertAlign w:val="baseline"/>
          <w:lang w:val="en-US" w:eastAsia="zh-CN"/>
        </w:rPr>
      </w:pPr>
    </w:p>
    <w:p w14:paraId="71E09E94">
      <w:pPr>
        <w:pStyle w:val="9"/>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kZmJmZGNhMGNkYjNlNzM4NzQxM2RkNDVhNjE3NWUifQ=="/>
  </w:docVars>
  <w:rsids>
    <w:rsidRoot w:val="24F737D8"/>
    <w:rsid w:val="001270A5"/>
    <w:rsid w:val="007A4AD7"/>
    <w:rsid w:val="028E1C79"/>
    <w:rsid w:val="04A24F71"/>
    <w:rsid w:val="076F3B3B"/>
    <w:rsid w:val="07CA37DF"/>
    <w:rsid w:val="0A5D1AB3"/>
    <w:rsid w:val="0BC07002"/>
    <w:rsid w:val="0D5250B4"/>
    <w:rsid w:val="0E2F4C02"/>
    <w:rsid w:val="0E3616E0"/>
    <w:rsid w:val="0E394169"/>
    <w:rsid w:val="0F81532F"/>
    <w:rsid w:val="107144D2"/>
    <w:rsid w:val="116419AD"/>
    <w:rsid w:val="11DF6CFE"/>
    <w:rsid w:val="13383335"/>
    <w:rsid w:val="14440D4B"/>
    <w:rsid w:val="14781EB9"/>
    <w:rsid w:val="14B666F3"/>
    <w:rsid w:val="15056A61"/>
    <w:rsid w:val="17722603"/>
    <w:rsid w:val="18E57496"/>
    <w:rsid w:val="19A11ED6"/>
    <w:rsid w:val="1A0B045B"/>
    <w:rsid w:val="1A386933"/>
    <w:rsid w:val="1A4F176B"/>
    <w:rsid w:val="1B663F82"/>
    <w:rsid w:val="1C2D4629"/>
    <w:rsid w:val="1C43636C"/>
    <w:rsid w:val="1C8618B6"/>
    <w:rsid w:val="1D904223"/>
    <w:rsid w:val="1F653C49"/>
    <w:rsid w:val="1FF914D4"/>
    <w:rsid w:val="20735046"/>
    <w:rsid w:val="216F4D5B"/>
    <w:rsid w:val="21C11DC8"/>
    <w:rsid w:val="23B738BA"/>
    <w:rsid w:val="24E67795"/>
    <w:rsid w:val="24F737D8"/>
    <w:rsid w:val="2525523D"/>
    <w:rsid w:val="26EB3B6A"/>
    <w:rsid w:val="291D5E51"/>
    <w:rsid w:val="2BE07E0A"/>
    <w:rsid w:val="2CA17C08"/>
    <w:rsid w:val="2DDF66E3"/>
    <w:rsid w:val="2FF65FF8"/>
    <w:rsid w:val="300D195C"/>
    <w:rsid w:val="30BF37B5"/>
    <w:rsid w:val="313B0851"/>
    <w:rsid w:val="31C955A9"/>
    <w:rsid w:val="33B200AF"/>
    <w:rsid w:val="33C75702"/>
    <w:rsid w:val="33E61BE2"/>
    <w:rsid w:val="361736AD"/>
    <w:rsid w:val="36D200CF"/>
    <w:rsid w:val="379951F8"/>
    <w:rsid w:val="38382DC3"/>
    <w:rsid w:val="38DE045C"/>
    <w:rsid w:val="3987396D"/>
    <w:rsid w:val="3B595AEE"/>
    <w:rsid w:val="3BF24D81"/>
    <w:rsid w:val="3BFE7BEA"/>
    <w:rsid w:val="3C4750A3"/>
    <w:rsid w:val="3C4A35F1"/>
    <w:rsid w:val="3DF65180"/>
    <w:rsid w:val="420455E6"/>
    <w:rsid w:val="42E73C50"/>
    <w:rsid w:val="44982260"/>
    <w:rsid w:val="44D414C9"/>
    <w:rsid w:val="46472D5E"/>
    <w:rsid w:val="48E47173"/>
    <w:rsid w:val="496A657E"/>
    <w:rsid w:val="49843C09"/>
    <w:rsid w:val="4B3A1BDA"/>
    <w:rsid w:val="4BF83760"/>
    <w:rsid w:val="4C5B4768"/>
    <w:rsid w:val="4C8349B8"/>
    <w:rsid w:val="4C871C75"/>
    <w:rsid w:val="504766FD"/>
    <w:rsid w:val="552A0C96"/>
    <w:rsid w:val="55BB16B6"/>
    <w:rsid w:val="55C3156A"/>
    <w:rsid w:val="560A4CB8"/>
    <w:rsid w:val="5782183A"/>
    <w:rsid w:val="57BD355E"/>
    <w:rsid w:val="58D21C48"/>
    <w:rsid w:val="5B0320E2"/>
    <w:rsid w:val="5B8B11A7"/>
    <w:rsid w:val="5B9E2EC4"/>
    <w:rsid w:val="5CD10D7E"/>
    <w:rsid w:val="5D6928F0"/>
    <w:rsid w:val="60002310"/>
    <w:rsid w:val="608606DE"/>
    <w:rsid w:val="610E324A"/>
    <w:rsid w:val="61F31EFD"/>
    <w:rsid w:val="63066BC7"/>
    <w:rsid w:val="63D0487B"/>
    <w:rsid w:val="64672037"/>
    <w:rsid w:val="64911DA0"/>
    <w:rsid w:val="65945D8D"/>
    <w:rsid w:val="66C35559"/>
    <w:rsid w:val="67D57489"/>
    <w:rsid w:val="68570F93"/>
    <w:rsid w:val="6A287B5E"/>
    <w:rsid w:val="6B303A1A"/>
    <w:rsid w:val="6C704794"/>
    <w:rsid w:val="6DAA2FDF"/>
    <w:rsid w:val="6DF95579"/>
    <w:rsid w:val="6E121228"/>
    <w:rsid w:val="6E3307D4"/>
    <w:rsid w:val="70B00A3E"/>
    <w:rsid w:val="70D1495F"/>
    <w:rsid w:val="70ED510D"/>
    <w:rsid w:val="7101664B"/>
    <w:rsid w:val="712F63C0"/>
    <w:rsid w:val="72717CD1"/>
    <w:rsid w:val="743E1546"/>
    <w:rsid w:val="74614F7E"/>
    <w:rsid w:val="74695E39"/>
    <w:rsid w:val="754C6F3B"/>
    <w:rsid w:val="75B11AFF"/>
    <w:rsid w:val="75D32619"/>
    <w:rsid w:val="768D126A"/>
    <w:rsid w:val="780B6A75"/>
    <w:rsid w:val="79F83E18"/>
    <w:rsid w:val="7BEE41B9"/>
    <w:rsid w:val="7CED7DC5"/>
    <w:rsid w:val="7D0F76D8"/>
    <w:rsid w:val="7E3420E0"/>
    <w:rsid w:val="7F1B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3">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cs="Times New Roman"/>
      <w:kern w:val="0"/>
      <w:sz w:val="20"/>
      <w:szCs w:val="20"/>
    </w:rPr>
  </w:style>
  <w:style w:type="paragraph" w:styleId="5">
    <w:name w:val="annotation text"/>
    <w:basedOn w:val="1"/>
    <w:qFormat/>
    <w:uiPriority w:val="0"/>
    <w:pPr>
      <w:jc w:val="left"/>
    </w:pPr>
  </w:style>
  <w:style w:type="paragraph" w:styleId="6">
    <w:name w:val="Body Text"/>
    <w:basedOn w:val="1"/>
    <w:next w:val="7"/>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7">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Body Text Indent"/>
    <w:basedOn w:val="1"/>
    <w:qFormat/>
    <w:uiPriority w:val="0"/>
    <w:pPr>
      <w:spacing w:after="120"/>
      <w:ind w:left="420" w:leftChars="200"/>
    </w:p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Body Text First Indent"/>
    <w:basedOn w:val="6"/>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 w:type="character" w:customStyle="1" w:styleId="16">
    <w:name w:val="font11"/>
    <w:basedOn w:val="1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1714</Words>
  <Characters>1918</Characters>
  <Lines>0</Lines>
  <Paragraphs>0</Paragraphs>
  <TotalTime>21</TotalTime>
  <ScaleCrop>false</ScaleCrop>
  <LinksUpToDate>false</LinksUpToDate>
  <CharactersWithSpaces>1932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2025-12-17T02:09:04Z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EDF1AA3B88D44F0F8FEC517A4732750F</vt:lpwstr>
  </property>
  <property fmtid="{D5CDD505-2E9C-101B-9397-08002B2CF9AE}" pid="4" name="KSOTemplateDocerSaveRecord">
    <vt:lpwstr>eyJoZGlkIjoiYzBhNDRiMWEyNzgyMzNiNGQ2YWM5MGU3Mjg0NWEwNzIiLCJ1c2VySWQiOiI3MDM5OTYzMzMifQ==</vt:lpwstr>
  </property>
</Properties>
</file>