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D80B5">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广州供电局2026-2028年小型基建工程全过程工程咨询（项目管理）服务框架招标</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14:paraId="1F9C2E46">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14:paraId="312877D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14:paraId="62E49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top"/>
          </w:tcPr>
          <w:p w14:paraId="3B816ACA">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top"/>
          </w:tcPr>
          <w:p w14:paraId="36AE851A">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top"/>
          </w:tcPr>
          <w:p w14:paraId="46CB3EE4">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14:paraId="62D7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exact"/>
          <w:jc w:val="center"/>
        </w:trPr>
        <w:tc>
          <w:tcPr>
            <w:tcW w:w="776" w:type="dxa"/>
            <w:noWrap w:val="0"/>
            <w:vAlign w:val="center"/>
          </w:tcPr>
          <w:p w14:paraId="41671ED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14:paraId="759DBACC">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项目立项(可研批复)文号</w:t>
            </w:r>
          </w:p>
        </w:tc>
        <w:tc>
          <w:tcPr>
            <w:tcW w:w="5250" w:type="dxa"/>
            <w:noWrap w:val="0"/>
            <w:vAlign w:val="center"/>
          </w:tcPr>
          <w:p w14:paraId="17663532">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纳入本框架范围内的各小型基建工程对应的立项批复文件。</w:t>
            </w:r>
          </w:p>
        </w:tc>
      </w:tr>
      <w:tr w14:paraId="14076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9" w:hRule="exact"/>
          <w:jc w:val="center"/>
        </w:trPr>
        <w:tc>
          <w:tcPr>
            <w:tcW w:w="776" w:type="dxa"/>
            <w:noWrap w:val="0"/>
            <w:vAlign w:val="center"/>
          </w:tcPr>
          <w:p w14:paraId="58DDEF4B">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14:paraId="6E86C7DA">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资金落实情况</w:t>
            </w:r>
          </w:p>
        </w:tc>
        <w:tc>
          <w:tcPr>
            <w:tcW w:w="5250" w:type="dxa"/>
            <w:noWrap w:val="0"/>
            <w:vAlign w:val="center"/>
          </w:tcPr>
          <w:p w14:paraId="600481A4">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资金已落实。资金来源为纳入本框架范围内的各小型基建工程对应本框架年度的固定资产投资计划。</w:t>
            </w:r>
          </w:p>
        </w:tc>
      </w:tr>
      <w:tr w14:paraId="0227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2FCA57BA">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14:paraId="656349D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14:paraId="3C963287">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14:paraId="1753D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1F7B637C">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14:paraId="2778898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14:paraId="12735ED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p>
        </w:tc>
      </w:tr>
      <w:tr w14:paraId="1F0DD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exact"/>
          <w:jc w:val="center"/>
        </w:trPr>
        <w:tc>
          <w:tcPr>
            <w:tcW w:w="776" w:type="dxa"/>
            <w:noWrap w:val="0"/>
            <w:vAlign w:val="center"/>
          </w:tcPr>
          <w:p w14:paraId="794795C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14:paraId="5B71904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框架有效期</w:t>
            </w:r>
          </w:p>
        </w:tc>
        <w:tc>
          <w:tcPr>
            <w:tcW w:w="5250" w:type="dxa"/>
            <w:noWrap w:val="0"/>
            <w:vAlign w:val="center"/>
          </w:tcPr>
          <w:p w14:paraId="3D773B6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框架有效期：</w:t>
            </w: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合同签订之日起至2028年12月31日。</w:t>
            </w:r>
          </w:p>
          <w:p w14:paraId="6A8559D6">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default"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pPr>
            <w:r>
              <w:rPr>
                <w:rFonts w:hint="default"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服务期：实际服务期以委托函上载明的时间为准。</w:t>
            </w:r>
          </w:p>
        </w:tc>
      </w:tr>
    </w:tbl>
    <w:p w14:paraId="6027ACD5">
      <w:pPr>
        <w:keepNext w:val="0"/>
        <w:keepLines w:val="0"/>
        <w:pageBreakBefore w:val="0"/>
        <w:widowControl w:val="0"/>
        <w:numPr>
          <w:ilvl w:val="0"/>
          <w:numId w:val="0"/>
        </w:numPr>
        <w:kinsoku/>
        <w:wordWrap/>
        <w:overflowPunct/>
        <w:topLinePunct w:val="0"/>
        <w:bidi w:val="0"/>
        <w:snapToGrid/>
        <w:spacing w:line="480" w:lineRule="exact"/>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14:paraId="239DEBEB">
      <w:pPr>
        <w:keepNext w:val="0"/>
        <w:keepLines w:val="0"/>
        <w:pageBreakBefore w:val="0"/>
        <w:widowControl w:val="0"/>
        <w:shd w:val="clear" w:color="auto" w:fill="auto"/>
        <w:kinsoku/>
        <w:wordWrap/>
        <w:overflowPunct/>
        <w:topLinePunct w:val="0"/>
        <w:bidi w:val="0"/>
        <w:snapToGrid/>
        <w:spacing w:line="480" w:lineRule="exact"/>
        <w:ind w:firstLine="480" w:firstLineChars="200"/>
        <w:textAlignment w:val="auto"/>
        <w:rPr>
          <w:rFonts w:hint="eastAsia" w:ascii="宋体" w:hAnsi="宋体" w:eastAsia="宋体" w:cs="宋体"/>
          <w:b w:val="0"/>
          <w:bCs w:val="0"/>
          <w:i w:val="0"/>
          <w:iCs/>
          <w:color w:val="auto"/>
          <w:kern w:val="2"/>
          <w:sz w:val="24"/>
          <w:szCs w:val="24"/>
          <w:highlight w:val="none"/>
          <w:u w:val="single"/>
          <w:lang w:val="en-US" w:eastAsia="zh-CN" w:bidi="ar-SA"/>
        </w:rPr>
      </w:pPr>
      <w:r>
        <w:rPr>
          <w:rFonts w:hint="eastAsia" w:ascii="宋体" w:hAnsi="宋体" w:eastAsia="宋体" w:cs="宋体"/>
          <w:b w:val="0"/>
          <w:bCs w:val="0"/>
          <w:i w:val="0"/>
          <w:iCs/>
          <w:color w:val="auto"/>
          <w:kern w:val="2"/>
          <w:sz w:val="24"/>
          <w:szCs w:val="24"/>
          <w:highlight w:val="none"/>
          <w:u w:val="single"/>
          <w:lang w:val="en-US" w:eastAsia="zh-CN" w:bidi="ar-SA"/>
        </w:rPr>
        <w:t>本次招标为广州供电局202</w:t>
      </w:r>
      <w:r>
        <w:rPr>
          <w:rFonts w:hint="eastAsia" w:ascii="宋体" w:hAnsi="宋体" w:cs="宋体"/>
          <w:b w:val="0"/>
          <w:bCs w:val="0"/>
          <w:i w:val="0"/>
          <w:iCs/>
          <w:color w:val="auto"/>
          <w:kern w:val="2"/>
          <w:sz w:val="24"/>
          <w:szCs w:val="24"/>
          <w:highlight w:val="none"/>
          <w:u w:val="single"/>
          <w:lang w:val="en-US" w:eastAsia="zh-CN" w:bidi="ar-SA"/>
        </w:rPr>
        <w:t>6</w:t>
      </w:r>
      <w:r>
        <w:rPr>
          <w:rFonts w:hint="eastAsia" w:ascii="宋体" w:hAnsi="宋体" w:eastAsia="宋体" w:cs="宋体"/>
          <w:b w:val="0"/>
          <w:bCs w:val="0"/>
          <w:i w:val="0"/>
          <w:iCs/>
          <w:color w:val="auto"/>
          <w:kern w:val="2"/>
          <w:sz w:val="24"/>
          <w:szCs w:val="24"/>
          <w:highlight w:val="none"/>
          <w:u w:val="single"/>
          <w:lang w:val="en-US" w:eastAsia="zh-CN" w:bidi="ar-SA"/>
        </w:rPr>
        <w:t>-202</w:t>
      </w:r>
      <w:r>
        <w:rPr>
          <w:rFonts w:hint="eastAsia" w:ascii="宋体" w:hAnsi="宋体" w:cs="宋体"/>
          <w:b w:val="0"/>
          <w:bCs w:val="0"/>
          <w:i w:val="0"/>
          <w:iCs/>
          <w:color w:val="auto"/>
          <w:kern w:val="2"/>
          <w:sz w:val="24"/>
          <w:szCs w:val="24"/>
          <w:highlight w:val="none"/>
          <w:u w:val="single"/>
          <w:lang w:val="en-US" w:eastAsia="zh-CN" w:bidi="ar-SA"/>
        </w:rPr>
        <w:t>8</w:t>
      </w:r>
      <w:r>
        <w:rPr>
          <w:rFonts w:hint="eastAsia" w:ascii="宋体" w:hAnsi="宋体" w:eastAsia="宋体" w:cs="宋体"/>
          <w:b w:val="0"/>
          <w:bCs w:val="0"/>
          <w:i w:val="0"/>
          <w:iCs/>
          <w:color w:val="auto"/>
          <w:kern w:val="2"/>
          <w:sz w:val="24"/>
          <w:szCs w:val="24"/>
          <w:highlight w:val="none"/>
          <w:u w:val="single"/>
          <w:lang w:val="en-US" w:eastAsia="zh-CN" w:bidi="ar-SA"/>
        </w:rPr>
        <w:t>年小型基建工程的全过程工程咨询（项目管理）服务</w:t>
      </w:r>
      <w:r>
        <w:rPr>
          <w:rFonts w:hint="eastAsia" w:ascii="宋体" w:hAnsi="宋体" w:cs="宋体"/>
          <w:b w:val="0"/>
          <w:bCs w:val="0"/>
          <w:i w:val="0"/>
          <w:iCs/>
          <w:color w:val="auto"/>
          <w:kern w:val="2"/>
          <w:sz w:val="24"/>
          <w:szCs w:val="24"/>
          <w:highlight w:val="none"/>
          <w:u w:val="single"/>
          <w:lang w:val="en-US" w:eastAsia="zh-CN" w:bidi="ar-SA"/>
        </w:rPr>
        <w:t>框架</w:t>
      </w:r>
      <w:r>
        <w:rPr>
          <w:rFonts w:hint="eastAsia" w:ascii="宋体" w:hAnsi="宋体" w:eastAsia="宋体" w:cs="宋体"/>
          <w:b w:val="0"/>
          <w:bCs w:val="0"/>
          <w:i w:val="0"/>
          <w:iCs/>
          <w:color w:val="auto"/>
          <w:kern w:val="2"/>
          <w:sz w:val="24"/>
          <w:szCs w:val="24"/>
          <w:highlight w:val="none"/>
          <w:u w:val="single"/>
          <w:lang w:val="en-US" w:eastAsia="zh-CN" w:bidi="ar-SA"/>
        </w:rPr>
        <w:t>，预计全过程咨询服务费</w:t>
      </w:r>
      <w:r>
        <w:rPr>
          <w:rFonts w:hint="eastAsia" w:ascii="宋体" w:hAnsi="宋体" w:cs="宋体"/>
          <w:b w:val="0"/>
          <w:bCs w:val="0"/>
          <w:i w:val="0"/>
          <w:iCs/>
          <w:color w:val="auto"/>
          <w:kern w:val="2"/>
          <w:sz w:val="24"/>
          <w:szCs w:val="24"/>
          <w:highlight w:val="none"/>
          <w:u w:val="single"/>
          <w:lang w:val="en-US" w:eastAsia="zh-CN" w:bidi="ar-SA"/>
        </w:rPr>
        <w:t>1350</w:t>
      </w:r>
      <w:r>
        <w:rPr>
          <w:rFonts w:hint="eastAsia" w:ascii="宋体" w:hAnsi="宋体" w:eastAsia="宋体" w:cs="宋体"/>
          <w:b w:val="0"/>
          <w:bCs w:val="0"/>
          <w:i w:val="0"/>
          <w:iCs/>
          <w:color w:val="auto"/>
          <w:kern w:val="2"/>
          <w:sz w:val="24"/>
          <w:szCs w:val="24"/>
          <w:highlight w:val="none"/>
          <w:u w:val="single"/>
          <w:lang w:val="en-US" w:eastAsia="zh-CN" w:bidi="ar-SA"/>
        </w:rPr>
        <w:t>.</w:t>
      </w:r>
      <w:r>
        <w:rPr>
          <w:rFonts w:hint="eastAsia" w:ascii="宋体" w:hAnsi="宋体" w:cs="宋体"/>
          <w:b w:val="0"/>
          <w:bCs w:val="0"/>
          <w:i w:val="0"/>
          <w:iCs/>
          <w:color w:val="auto"/>
          <w:kern w:val="2"/>
          <w:sz w:val="24"/>
          <w:szCs w:val="24"/>
          <w:highlight w:val="none"/>
          <w:u w:val="single"/>
          <w:lang w:val="en-US" w:eastAsia="zh-CN" w:bidi="ar-SA"/>
        </w:rPr>
        <w:t>00</w:t>
      </w:r>
      <w:r>
        <w:rPr>
          <w:rFonts w:hint="eastAsia" w:ascii="宋体" w:hAnsi="宋体" w:eastAsia="宋体" w:cs="宋体"/>
          <w:b w:val="0"/>
          <w:bCs w:val="0"/>
          <w:i w:val="0"/>
          <w:iCs/>
          <w:color w:val="auto"/>
          <w:kern w:val="2"/>
          <w:sz w:val="24"/>
          <w:szCs w:val="24"/>
          <w:highlight w:val="none"/>
          <w:u w:val="single"/>
          <w:lang w:val="en-US" w:eastAsia="zh-CN" w:bidi="ar-SA"/>
        </w:rPr>
        <w:t>万元。</w:t>
      </w:r>
    </w:p>
    <w:p w14:paraId="629B2B6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二、采购范围</w:t>
      </w:r>
    </w:p>
    <w:p w14:paraId="2C2200BD">
      <w:pPr>
        <w:keepNext w:val="0"/>
        <w:keepLines w:val="0"/>
        <w:pageBreakBefore w:val="0"/>
        <w:widowControl w:val="0"/>
        <w:shd w:val="clear" w:color="auto" w:fill="auto"/>
        <w:kinsoku/>
        <w:wordWrap/>
        <w:overflowPunct/>
        <w:topLinePunct w:val="0"/>
        <w:bidi w:val="0"/>
        <w:snapToGrid/>
        <w:spacing w:line="480" w:lineRule="exact"/>
        <w:ind w:firstLine="480" w:firstLineChars="200"/>
        <w:textAlignment w:val="auto"/>
        <w:rPr>
          <w:rFonts w:hint="eastAsia" w:ascii="宋体" w:hAnsi="宋体" w:eastAsia="宋体" w:cs="宋体"/>
          <w:b w:val="0"/>
          <w:bCs w:val="0"/>
          <w:i w:val="0"/>
          <w:iCs/>
          <w:color w:val="auto"/>
          <w:kern w:val="2"/>
          <w:sz w:val="24"/>
          <w:szCs w:val="24"/>
          <w:highlight w:val="none"/>
          <w:u w:val="single"/>
          <w:lang w:val="en-US" w:eastAsia="zh-CN" w:bidi="ar-SA"/>
        </w:rPr>
      </w:pPr>
      <w:r>
        <w:rPr>
          <w:rFonts w:hint="eastAsia" w:ascii="宋体" w:hAnsi="宋体" w:eastAsia="宋体" w:cs="宋体"/>
          <w:b w:val="0"/>
          <w:bCs w:val="0"/>
          <w:i w:val="0"/>
          <w:iCs/>
          <w:color w:val="auto"/>
          <w:kern w:val="2"/>
          <w:sz w:val="24"/>
          <w:szCs w:val="24"/>
          <w:highlight w:val="none"/>
          <w:u w:val="single"/>
          <w:lang w:val="en-US" w:eastAsia="zh-CN" w:bidi="ar-SA"/>
        </w:rPr>
        <w:t>本次招标为广州供电局202</w:t>
      </w:r>
      <w:r>
        <w:rPr>
          <w:rFonts w:hint="eastAsia" w:ascii="宋体" w:hAnsi="宋体" w:cs="宋体"/>
          <w:b w:val="0"/>
          <w:bCs w:val="0"/>
          <w:i w:val="0"/>
          <w:iCs/>
          <w:color w:val="auto"/>
          <w:kern w:val="2"/>
          <w:sz w:val="24"/>
          <w:szCs w:val="24"/>
          <w:highlight w:val="none"/>
          <w:u w:val="single"/>
          <w:lang w:val="en-US" w:eastAsia="zh-CN" w:bidi="ar-SA"/>
        </w:rPr>
        <w:t>6</w:t>
      </w:r>
      <w:r>
        <w:rPr>
          <w:rFonts w:hint="eastAsia" w:ascii="宋体" w:hAnsi="宋体" w:eastAsia="宋体" w:cs="宋体"/>
          <w:b w:val="0"/>
          <w:bCs w:val="0"/>
          <w:i w:val="0"/>
          <w:iCs/>
          <w:color w:val="auto"/>
          <w:kern w:val="2"/>
          <w:sz w:val="24"/>
          <w:szCs w:val="24"/>
          <w:highlight w:val="none"/>
          <w:u w:val="single"/>
          <w:lang w:val="en-US" w:eastAsia="zh-CN" w:bidi="ar-SA"/>
        </w:rPr>
        <w:t>-202</w:t>
      </w:r>
      <w:r>
        <w:rPr>
          <w:rFonts w:hint="eastAsia" w:ascii="宋体" w:hAnsi="宋体" w:cs="宋体"/>
          <w:b w:val="0"/>
          <w:bCs w:val="0"/>
          <w:i w:val="0"/>
          <w:iCs/>
          <w:color w:val="auto"/>
          <w:kern w:val="2"/>
          <w:sz w:val="24"/>
          <w:szCs w:val="24"/>
          <w:highlight w:val="none"/>
          <w:u w:val="single"/>
          <w:lang w:val="en-US" w:eastAsia="zh-CN" w:bidi="ar-SA"/>
        </w:rPr>
        <w:t>8</w:t>
      </w:r>
      <w:r>
        <w:rPr>
          <w:rFonts w:hint="eastAsia" w:ascii="宋体" w:hAnsi="宋体" w:eastAsia="宋体" w:cs="宋体"/>
          <w:b w:val="0"/>
          <w:bCs w:val="0"/>
          <w:i w:val="0"/>
          <w:iCs/>
          <w:color w:val="auto"/>
          <w:kern w:val="2"/>
          <w:sz w:val="24"/>
          <w:szCs w:val="24"/>
          <w:highlight w:val="none"/>
          <w:u w:val="single"/>
          <w:lang w:val="en-US" w:eastAsia="zh-CN" w:bidi="ar-SA"/>
        </w:rPr>
        <w:t>年小型基建工程的全过程工程咨询（项目管理）服务，服务内容包括在项目立项前期阶段、设计阶段、建设准备阶段、建设实施阶段、启动验收和投产移交阶段和项目收尾阶段，按委托人委托进行项目策划管理、报建报批、勘察管理、设计管理、协助发包人开展施工组织管理、参建单位管理、验收管理以及质量、计划、安全、信息、沟通、风险等管理与协调工作，配合发包人办理结（决）算审核、项目建设阶段全过程的综合协调等工作，负责对项目质量、安全、进度、环境保护和文明施工等进行全面协助发包人管理（以具体项目《委托函》中确定的内容为准）。</w:t>
      </w:r>
    </w:p>
    <w:p w14:paraId="717A5BB5">
      <w:pPr>
        <w:pStyle w:val="4"/>
        <w:keepNext w:val="0"/>
        <w:keepLines w:val="0"/>
        <w:pageBreakBefore w:val="0"/>
        <w:numPr>
          <w:ilvl w:val="0"/>
          <w:numId w:val="2"/>
        </w:numPr>
        <w:kinsoku/>
        <w:wordWrap/>
        <w:overflowPunct/>
        <w:topLinePunct w:val="0"/>
        <w:bidi w:val="0"/>
        <w:snapToGrid/>
        <w:spacing w:beforeLines="0" w:afterLines="0" w:line="480" w:lineRule="exact"/>
        <w:textAlignment w:val="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报价表及报价要求</w:t>
      </w:r>
    </w:p>
    <w:tbl>
      <w:tblPr>
        <w:tblStyle w:val="12"/>
        <w:tblW w:w="995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2328"/>
        <w:gridCol w:w="2082"/>
        <w:gridCol w:w="1312"/>
        <w:gridCol w:w="1616"/>
        <w:gridCol w:w="1965"/>
      </w:tblGrid>
      <w:tr w14:paraId="4BD24A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51" w:type="dxa"/>
            <w:tcBorders>
              <w:right w:val="single" w:color="000000" w:sz="4" w:space="0"/>
            </w:tcBorders>
            <w:shd w:val="clear" w:color="auto" w:fill="auto"/>
            <w:noWrap/>
            <w:vAlign w:val="center"/>
          </w:tcPr>
          <w:p w14:paraId="05D222BE">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bookmarkStart w:id="1" w:name="_GoBack" w:colFirst="0" w:colLast="5"/>
            <w:r>
              <w:rPr>
                <w:rFonts w:hint="eastAsia"/>
                <w:color w:val="auto"/>
                <w:highlight w:val="none"/>
                <w:lang w:val="en-US" w:eastAsia="zh-CN"/>
              </w:rPr>
              <w:t>序号</w:t>
            </w:r>
          </w:p>
        </w:tc>
        <w:tc>
          <w:tcPr>
            <w:tcW w:w="2328" w:type="dxa"/>
            <w:tcBorders>
              <w:left w:val="single" w:color="000000" w:sz="4" w:space="0"/>
              <w:right w:val="single" w:color="000000" w:sz="4" w:space="0"/>
            </w:tcBorders>
            <w:shd w:val="clear" w:color="auto" w:fill="auto"/>
            <w:noWrap/>
            <w:vAlign w:val="center"/>
          </w:tcPr>
          <w:p w14:paraId="258BF377">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color w:val="auto"/>
                <w:highlight w:val="none"/>
                <w:lang w:val="en-US" w:eastAsia="zh-CN"/>
              </w:rPr>
              <w:t>工程或费用名称</w:t>
            </w:r>
          </w:p>
        </w:tc>
        <w:tc>
          <w:tcPr>
            <w:tcW w:w="2082" w:type="dxa"/>
            <w:tcBorders>
              <w:left w:val="single" w:color="000000" w:sz="4" w:space="0"/>
              <w:right w:val="single" w:color="000000" w:sz="4" w:space="0"/>
            </w:tcBorders>
            <w:shd w:val="clear" w:color="auto" w:fill="auto"/>
            <w:noWrap/>
            <w:vAlign w:val="center"/>
          </w:tcPr>
          <w:p w14:paraId="6BB8A7D6">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color w:val="auto"/>
                <w:highlight w:val="none"/>
                <w:lang w:val="en-US" w:eastAsia="zh-CN"/>
              </w:rPr>
              <w:t>预计发包金额（元）</w:t>
            </w:r>
          </w:p>
        </w:tc>
        <w:tc>
          <w:tcPr>
            <w:tcW w:w="1312" w:type="dxa"/>
            <w:tcBorders>
              <w:left w:val="single" w:color="000000" w:sz="4" w:space="0"/>
              <w:right w:val="single" w:color="000000" w:sz="4" w:space="0"/>
            </w:tcBorders>
            <w:shd w:val="clear" w:color="auto" w:fill="auto"/>
            <w:vAlign w:val="center"/>
          </w:tcPr>
          <w:p w14:paraId="2E475631">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color w:val="auto"/>
                <w:highlight w:val="none"/>
                <w:lang w:val="en-US" w:eastAsia="zh-CN"/>
              </w:rPr>
              <w:t>投标下浮率</w:t>
            </w:r>
          </w:p>
        </w:tc>
        <w:tc>
          <w:tcPr>
            <w:tcW w:w="1616" w:type="dxa"/>
            <w:tcBorders>
              <w:left w:val="single" w:color="auto" w:sz="4" w:space="0"/>
            </w:tcBorders>
            <w:shd w:val="clear" w:color="auto" w:fill="auto"/>
            <w:noWrap/>
            <w:vAlign w:val="center"/>
          </w:tcPr>
          <w:p w14:paraId="25E3852B">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eastAsia="宋体"/>
                <w:color w:val="auto"/>
                <w:highlight w:val="none"/>
                <w:lang w:val="en-US" w:eastAsia="zh-CN"/>
              </w:rPr>
              <w:t>投标报价（元）</w:t>
            </w:r>
          </w:p>
        </w:tc>
        <w:tc>
          <w:tcPr>
            <w:tcW w:w="1965" w:type="dxa"/>
            <w:tcBorders>
              <w:left w:val="single" w:color="auto" w:sz="4" w:space="0"/>
            </w:tcBorders>
            <w:shd w:val="clear" w:color="auto" w:fill="auto"/>
            <w:noWrap/>
            <w:vAlign w:val="center"/>
          </w:tcPr>
          <w:p w14:paraId="5393CED7">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color w:val="auto"/>
                <w:highlight w:val="none"/>
                <w:lang w:val="en-US" w:eastAsia="zh-CN"/>
              </w:rPr>
              <w:t>备  注</w:t>
            </w:r>
          </w:p>
        </w:tc>
      </w:tr>
      <w:bookmarkEnd w:id="1"/>
      <w:tr w14:paraId="28E73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51" w:type="dxa"/>
            <w:tcBorders>
              <w:top w:val="single" w:color="000000" w:sz="4" w:space="0"/>
              <w:bottom w:val="single" w:color="000000" w:sz="4" w:space="0"/>
              <w:right w:val="single" w:color="000000" w:sz="4" w:space="0"/>
            </w:tcBorders>
            <w:shd w:val="clear" w:color="auto" w:fill="auto"/>
            <w:noWrap/>
            <w:vAlign w:val="center"/>
          </w:tcPr>
          <w:p w14:paraId="0D354D92">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color w:val="auto"/>
                <w:highlight w:val="none"/>
                <w:lang w:val="en-US" w:eastAsia="zh-CN"/>
              </w:rPr>
              <w:t>1</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21FA0">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spacing w:line="480" w:lineRule="exact"/>
              <w:ind w:left="0" w:leftChars="0" w:firstLine="0" w:firstLineChars="0"/>
              <w:jc w:val="center"/>
              <w:textAlignment w:val="auto"/>
              <w:rPr>
                <w:rFonts w:hint="default"/>
                <w:color w:val="auto"/>
                <w:highlight w:val="none"/>
                <w:lang w:val="en-US" w:eastAsia="zh-CN"/>
              </w:rPr>
            </w:pPr>
            <w:r>
              <w:rPr>
                <w:rFonts w:hint="eastAsia"/>
                <w:color w:val="auto"/>
                <w:highlight w:val="none"/>
                <w:lang w:val="en-US" w:eastAsia="zh-CN"/>
              </w:rPr>
              <w:t>广州供电局2026-2028年小型基建工程全过程工程咨询（项目管理）服务框架招标</w:t>
            </w:r>
          </w:p>
        </w:tc>
        <w:tc>
          <w:tcPr>
            <w:tcW w:w="2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07117">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napToGrid/>
              <w:spacing w:line="480" w:lineRule="exact"/>
              <w:ind w:left="0" w:leftChars="0" w:firstLine="0" w:firstLineChars="0"/>
              <w:jc w:val="center"/>
              <w:textAlignment w:val="auto"/>
              <w:rPr>
                <w:rFonts w:hint="default"/>
                <w:color w:val="auto"/>
                <w:highlight w:val="none"/>
                <w:lang w:val="en-US" w:eastAsia="zh-CN"/>
              </w:rPr>
            </w:pPr>
            <w:r>
              <w:rPr>
                <w:rFonts w:hint="eastAsia"/>
                <w:color w:val="auto"/>
                <w:highlight w:val="none"/>
                <w:lang w:val="en-US" w:eastAsia="zh-CN"/>
              </w:rPr>
              <w:t>13500000.00</w:t>
            </w:r>
          </w:p>
        </w:tc>
        <w:tc>
          <w:tcPr>
            <w:tcW w:w="1312" w:type="dxa"/>
            <w:tcBorders>
              <w:top w:val="single" w:color="000000" w:sz="4" w:space="0"/>
              <w:left w:val="single" w:color="000000" w:sz="4" w:space="0"/>
              <w:right w:val="single" w:color="000000" w:sz="4" w:space="0"/>
            </w:tcBorders>
            <w:shd w:val="clear" w:color="auto" w:fill="auto"/>
            <w:vAlign w:val="center"/>
          </w:tcPr>
          <w:p w14:paraId="26902EF0">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color w:val="auto"/>
                <w:highlight w:val="none"/>
                <w:u w:val="single"/>
                <w:lang w:val="en-US" w:eastAsia="zh-CN"/>
              </w:rPr>
              <w:t xml:space="preserve">    </w:t>
            </w:r>
            <w:r>
              <w:rPr>
                <w:rFonts w:hint="eastAsia"/>
                <w:color w:val="auto"/>
                <w:highlight w:val="none"/>
                <w:lang w:val="en-US" w:eastAsia="zh-CN"/>
              </w:rPr>
              <w:t>%</w:t>
            </w:r>
          </w:p>
        </w:tc>
        <w:tc>
          <w:tcPr>
            <w:tcW w:w="1616" w:type="dxa"/>
            <w:tcBorders>
              <w:top w:val="single" w:color="000000" w:sz="4" w:space="0"/>
              <w:left w:val="single" w:color="000000" w:sz="4" w:space="0"/>
              <w:bottom w:val="single" w:color="000000" w:sz="4" w:space="0"/>
            </w:tcBorders>
            <w:shd w:val="clear" w:color="auto" w:fill="auto"/>
            <w:noWrap/>
            <w:vAlign w:val="center"/>
          </w:tcPr>
          <w:p w14:paraId="064BF318">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p>
        </w:tc>
        <w:tc>
          <w:tcPr>
            <w:tcW w:w="1965" w:type="dxa"/>
            <w:tcBorders>
              <w:top w:val="single" w:color="000000" w:sz="4" w:space="0"/>
              <w:left w:val="single" w:color="000000" w:sz="4" w:space="0"/>
              <w:bottom w:val="single" w:color="000000" w:sz="4" w:space="0"/>
            </w:tcBorders>
            <w:shd w:val="clear" w:color="auto" w:fill="auto"/>
            <w:noWrap/>
            <w:vAlign w:val="center"/>
          </w:tcPr>
          <w:p w14:paraId="336A87A8">
            <w:pPr>
              <w:keepNext w:val="0"/>
              <w:keepLines w:val="0"/>
              <w:pageBreakBefore w:val="0"/>
              <w:kinsoku/>
              <w:wordWrap/>
              <w:overflowPunct/>
              <w:topLinePunct w:val="0"/>
              <w:bidi w:val="0"/>
              <w:snapToGrid/>
              <w:spacing w:line="480" w:lineRule="exact"/>
              <w:jc w:val="center"/>
              <w:textAlignment w:val="auto"/>
              <w:rPr>
                <w:rFonts w:hint="eastAsia"/>
                <w:color w:val="auto"/>
                <w:highlight w:val="none"/>
                <w:lang w:val="en-US" w:eastAsia="zh-CN"/>
              </w:rPr>
            </w:pPr>
            <w:r>
              <w:rPr>
                <w:rFonts w:hint="eastAsia"/>
                <w:color w:val="auto"/>
                <w:highlight w:val="none"/>
                <w:lang w:val="en-US" w:eastAsia="zh-CN"/>
              </w:rPr>
              <w:t>按费用标准文件报下浮率。</w:t>
            </w:r>
          </w:p>
        </w:tc>
      </w:tr>
    </w:tbl>
    <w:p w14:paraId="7A154777">
      <w:pPr>
        <w:pStyle w:val="7"/>
        <w:keepNext w:val="0"/>
        <w:keepLines w:val="0"/>
        <w:pageBreakBefore w:val="0"/>
        <w:kinsoku/>
        <w:wordWrap/>
        <w:overflowPunct/>
        <w:topLinePunct w:val="0"/>
        <w:bidi w:val="0"/>
        <w:snapToGrid/>
        <w:spacing w:before="0" w:after="0" w:line="480" w:lineRule="exact"/>
        <w:ind w:firstLine="241" w:firstLineChars="100"/>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14:paraId="40CF091E">
      <w:pPr>
        <w:pStyle w:val="8"/>
        <w:keepNext w:val="0"/>
        <w:keepLines w:val="0"/>
        <w:pageBreakBefore w:val="0"/>
        <w:kinsoku/>
        <w:wordWrap/>
        <w:overflowPunct/>
        <w:topLinePunct w:val="0"/>
        <w:bidi w:val="0"/>
        <w:snapToGrid/>
        <w:spacing w:before="0" w:after="0" w:line="480" w:lineRule="exact"/>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1.按下浮率报价（保留两位小数，如8.88%），同时填报投标报价（投标报价=最高限价金额×（1-投标下浮率），四舍五入保留两位小数）。当投标报价与投标下浮率计算结果不一致时，以投标下浮率为准，按上述公式修正投标报价。</w:t>
      </w:r>
    </w:p>
    <w:p w14:paraId="09F2D6A8">
      <w:pPr>
        <w:pStyle w:val="8"/>
        <w:keepNext w:val="0"/>
        <w:keepLines w:val="0"/>
        <w:pageBreakBefore w:val="0"/>
        <w:kinsoku/>
        <w:wordWrap/>
        <w:overflowPunct/>
        <w:topLinePunct w:val="0"/>
        <w:bidi w:val="0"/>
        <w:snapToGrid/>
        <w:spacing w:before="0" w:after="0" w:line="480" w:lineRule="exact"/>
        <w:jc w:val="left"/>
        <w:textAlignment w:val="auto"/>
        <w:rPr>
          <w:rFonts w:hint="eastAsia" w:ascii="宋体" w:hAnsi="宋体" w:eastAsia="宋体" w:cs="宋体"/>
          <w:b w:val="0"/>
          <w:bCs w:val="0"/>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2.成本警示价：投标下浮率不低于0%为有效报价；当投标下浮率＞15%时应附成本分析报告，充分说明单价和费用的组成、降低成本的合理措施及在其他工程中应用过的经验等，经评审通过后方可视为有效报价。</w:t>
      </w:r>
    </w:p>
    <w:p w14:paraId="1117F147">
      <w:pPr>
        <w:pStyle w:val="8"/>
        <w:keepNext w:val="0"/>
        <w:keepLines w:val="0"/>
        <w:pageBreakBefore w:val="0"/>
        <w:kinsoku/>
        <w:wordWrap/>
        <w:overflowPunct/>
        <w:topLinePunct w:val="0"/>
        <w:bidi w:val="0"/>
        <w:snapToGrid/>
        <w:spacing w:before="0" w:after="0" w:line="480" w:lineRule="exact"/>
        <w:jc w:val="left"/>
        <w:textAlignment w:val="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3、价格分计算时，投标人评标价按（100-投标人填写的下浮数值）参与计算。如：下浮率为1.88％时，评标价按（100-1.88）参与计算。</w:t>
      </w:r>
      <w:r>
        <w:rPr>
          <w:rFonts w:hint="eastAsia" w:ascii="宋体" w:hAnsi="宋体" w:eastAsia="宋体" w:cs="宋体"/>
          <w:color w:val="auto"/>
          <w:kern w:val="2"/>
          <w:sz w:val="24"/>
          <w:szCs w:val="24"/>
          <w:highlight w:val="none"/>
          <w:u w:val="single"/>
          <w:lang w:val="en-US" w:eastAsia="zh-CN" w:bidi="ar-SA"/>
        </w:rPr>
        <w:t xml:space="preserve">                            </w:t>
      </w:r>
    </w:p>
    <w:p w14:paraId="29329756">
      <w:pPr>
        <w:keepNext w:val="0"/>
        <w:keepLines w:val="0"/>
        <w:pageBreakBefore w:val="0"/>
        <w:numPr>
          <w:ilvl w:val="0"/>
          <w:numId w:val="0"/>
        </w:numPr>
        <w:kinsoku/>
        <w:wordWrap/>
        <w:overflowPunct/>
        <w:topLinePunct w:val="0"/>
        <w:bidi w:val="0"/>
        <w:snapToGrid/>
        <w:spacing w:line="480" w:lineRule="exact"/>
        <w:ind w:left="240" w:leftChars="0"/>
        <w:textAlignment w:val="auto"/>
        <w:rPr>
          <w:rFonts w:hint="default"/>
          <w:color w:val="auto"/>
          <w:highlight w:val="none"/>
          <w:lang w:val="en-US" w:eastAsia="zh-CN"/>
        </w:rPr>
      </w:pPr>
    </w:p>
    <w:p w14:paraId="650A6A05">
      <w:pPr>
        <w:keepNext w:val="0"/>
        <w:keepLines w:val="0"/>
        <w:pageBreakBefore w:val="0"/>
        <w:kinsoku/>
        <w:wordWrap/>
        <w:overflowPunct/>
        <w:topLinePunct w:val="0"/>
        <w:bidi w:val="0"/>
        <w:snapToGrid/>
        <w:spacing w:line="480" w:lineRule="exact"/>
        <w:textAlignment w:val="auto"/>
        <w:rPr>
          <w:rFonts w:hint="eastAsia"/>
          <w:color w:val="auto"/>
          <w:highlight w:val="none"/>
          <w:lang w:val="en-US" w:eastAsia="zh-CN"/>
        </w:rPr>
      </w:pPr>
    </w:p>
    <w:p w14:paraId="54FE4602">
      <w:pPr>
        <w:pStyle w:val="4"/>
        <w:keepNext w:val="0"/>
        <w:keepLines w:val="0"/>
        <w:pageBreakBefore w:val="0"/>
        <w:numPr>
          <w:ilvl w:val="0"/>
          <w:numId w:val="0"/>
        </w:numPr>
        <w:kinsoku/>
        <w:wordWrap/>
        <w:overflowPunct/>
        <w:topLinePunct w:val="0"/>
        <w:bidi w:val="0"/>
        <w:snapToGrid/>
        <w:spacing w:beforeLines="0" w:afterLines="0" w:line="480" w:lineRule="exact"/>
        <w:ind w:leftChars="0"/>
        <w:textAlignment w:val="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14:paraId="6AA7B49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全过程工程咨询（项目管理）服务费取费依据《基本建设项目建设成本管理规定》（财建〔2016〕504号）、《广东电网有限责任公司基建项目全过程工程咨询管理手册》（广电办建〔2024〕14号附件）；全过程工程咨询（项目管理）服务最终合同结算价为：与合同范围对应的审定初步设计概算建设单位管理费×80%×（1-投标下浮率）±合同内约定且实际发生的相关奖罚费用+招标代理费。</w:t>
      </w:r>
    </w:p>
    <w:p w14:paraId="4E066297">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14:paraId="734574A5">
      <w:pPr>
        <w:pStyle w:val="11"/>
        <w:keepNext w:val="0"/>
        <w:keepLines w:val="0"/>
        <w:pageBreakBefore w:val="0"/>
        <w:numPr>
          <w:ilvl w:val="0"/>
          <w:numId w:val="0"/>
        </w:numPr>
        <w:kinsoku/>
        <w:wordWrap/>
        <w:overflowPunct/>
        <w:topLinePunct w:val="0"/>
        <w:bidi w:val="0"/>
        <w:snapToGrid/>
        <w:spacing w:before="0" w:beforeLines="0" w:after="0" w:afterLines="0" w:line="480" w:lineRule="exact"/>
        <w:textAlignment w:val="auto"/>
        <w:rPr>
          <w:rFonts w:hint="eastAsia"/>
          <w:color w:val="auto"/>
          <w:sz w:val="24"/>
          <w:szCs w:val="24"/>
          <w:highlight w:val="none"/>
          <w:lang w:eastAsia="zh-CN"/>
        </w:rPr>
      </w:pPr>
      <w:r>
        <w:rPr>
          <w:rFonts w:hint="default" w:ascii="Wingdings" w:hAnsi="Wingdings" w:cs="Wingdings"/>
          <w:color w:val="auto"/>
          <w:sz w:val="24"/>
          <w:szCs w:val="24"/>
          <w:highlight w:val="none"/>
        </w:rPr>
        <w:sym w:font="Wingdings" w:char="00FE"/>
      </w:r>
      <w:r>
        <w:rPr>
          <w:rFonts w:hint="eastAsia"/>
          <w:color w:val="auto"/>
          <w:sz w:val="24"/>
          <w:szCs w:val="24"/>
          <w:highlight w:val="none"/>
          <w:lang w:eastAsia="zh-CN"/>
        </w:rPr>
        <w:t>不允许分包</w:t>
      </w:r>
    </w:p>
    <w:p w14:paraId="0E3D47F9">
      <w:pPr>
        <w:pStyle w:val="11"/>
        <w:keepNext w:val="0"/>
        <w:keepLines w:val="0"/>
        <w:pageBreakBefore w:val="0"/>
        <w:numPr>
          <w:ilvl w:val="0"/>
          <w:numId w:val="0"/>
        </w:numPr>
        <w:kinsoku/>
        <w:wordWrap/>
        <w:overflowPunct/>
        <w:topLinePunct w:val="0"/>
        <w:bidi w:val="0"/>
        <w:snapToGrid/>
        <w:spacing w:before="0" w:beforeLines="0" w:after="0" w:afterLines="0" w:line="480" w:lineRule="exact"/>
        <w:textAlignment w:val="auto"/>
        <w:rPr>
          <w:rFonts w:hint="eastAsia"/>
          <w:color w:val="auto"/>
          <w:sz w:val="24"/>
          <w:szCs w:val="24"/>
          <w:highlight w:val="none"/>
          <w:lang w:eastAsia="zh-CN"/>
        </w:rPr>
      </w:pPr>
      <w:r>
        <w:rPr>
          <w:rFonts w:hint="default" w:ascii="Wingdings" w:hAnsi="Wingdings" w:cs="Wingdings"/>
          <w:color w:val="auto"/>
          <w:sz w:val="24"/>
          <w:szCs w:val="24"/>
          <w:highlight w:val="none"/>
          <w:lang w:eastAsia="zh-CN"/>
        </w:rPr>
        <w:sym w:font="Wingdings" w:char="00A8"/>
      </w:r>
      <w:r>
        <w:rPr>
          <w:rFonts w:hint="eastAsia"/>
          <w:color w:val="auto"/>
          <w:sz w:val="24"/>
          <w:szCs w:val="24"/>
          <w:highlight w:val="none"/>
          <w:lang w:eastAsia="zh-CN"/>
        </w:rPr>
        <w:t>允许分包，但必须符合以下要求：</w:t>
      </w:r>
    </w:p>
    <w:p w14:paraId="12DE9800">
      <w:pPr>
        <w:keepNext w:val="0"/>
        <w:keepLines w:val="0"/>
        <w:pageBreakBefore w:val="0"/>
        <w:widowControl w:val="0"/>
        <w:kinsoku/>
        <w:wordWrap/>
        <w:overflowPunct/>
        <w:topLinePunct w:val="0"/>
        <w:bidi w:val="0"/>
        <w:snapToGrid/>
        <w:spacing w:line="480" w:lineRule="exact"/>
        <w:textAlignment w:val="auto"/>
        <w:rPr>
          <w:rFonts w:hint="eastAsia" w:ascii="Wingdings" w:hAnsi="Wingdings" w:cs="Wingdings" w:eastAsiaTheme="minorEastAsia"/>
          <w:b/>
          <w:bCs/>
          <w:i w:val="0"/>
          <w:iCs/>
          <w:color w:val="auto"/>
          <w:kern w:val="2"/>
          <w:sz w:val="24"/>
          <w:szCs w:val="24"/>
          <w:highlight w:val="none"/>
          <w:u w:val="single"/>
          <w:lang w:val="en-US" w:eastAsia="zh-CN" w:bidi="ar-SA"/>
        </w:rPr>
      </w:pPr>
      <w:r>
        <w:rPr>
          <w:rFonts w:hint="eastAsia" w:ascii="Wingdings" w:hAnsi="Wingdings" w:cs="Wingdings" w:eastAsiaTheme="minorEastAsia"/>
          <w:b/>
          <w:bCs/>
          <w:i w:val="0"/>
          <w:iCs/>
          <w:color w:val="auto"/>
          <w:kern w:val="2"/>
          <w:sz w:val="24"/>
          <w:szCs w:val="24"/>
          <w:highlight w:val="none"/>
          <w:u w:val="single"/>
          <w:lang w:val="en-US" w:eastAsia="zh-CN" w:bidi="ar-SA"/>
        </w:rPr>
        <w:t xml:space="preserve">                                       </w:t>
      </w:r>
    </w:p>
    <w:p w14:paraId="0C9CDD6B">
      <w:pPr>
        <w:rPr>
          <w:rFonts w:hint="eastAsia" w:ascii="Wingdings" w:hAnsi="Wingdings" w:cs="Wingdings" w:eastAsiaTheme="minorEastAsia"/>
          <w:b/>
          <w:bCs/>
          <w:i w:val="0"/>
          <w:iCs/>
          <w:color w:val="auto"/>
          <w:kern w:val="2"/>
          <w:sz w:val="24"/>
          <w:szCs w:val="24"/>
          <w:highlight w:val="none"/>
          <w:u w:val="single"/>
          <w:lang w:val="en-US" w:eastAsia="zh-CN" w:bidi="ar-SA"/>
        </w:rPr>
      </w:pPr>
      <w:r>
        <w:rPr>
          <w:rFonts w:hint="eastAsia" w:ascii="Wingdings" w:hAnsi="Wingdings" w:cs="Wingdings" w:eastAsiaTheme="minorEastAsia"/>
          <w:b/>
          <w:bCs/>
          <w:i w:val="0"/>
          <w:iCs/>
          <w:color w:val="auto"/>
          <w:kern w:val="2"/>
          <w:sz w:val="24"/>
          <w:szCs w:val="24"/>
          <w:highlight w:val="none"/>
          <w:u w:val="single"/>
          <w:lang w:val="en-US" w:eastAsia="zh-CN" w:bidi="ar-SA"/>
        </w:rPr>
        <w:br w:type="page"/>
      </w:r>
    </w:p>
    <w:p w14:paraId="1BEB7760">
      <w:pPr>
        <w:pStyle w:val="2"/>
        <w:rPr>
          <w:rFonts w:hint="eastAsia"/>
          <w:color w:val="auto"/>
          <w:highlight w:val="none"/>
          <w:lang w:val="en-US" w:eastAsia="zh-CN"/>
        </w:rPr>
      </w:pPr>
    </w:p>
    <w:p w14:paraId="3BF4C90F">
      <w:pPr>
        <w:pStyle w:val="2"/>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14:paraId="5EC325FD">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p>
    <w:p w14:paraId="0CBD755D">
      <w:pPr>
        <w:pStyle w:val="2"/>
        <w:rPr>
          <w:rFonts w:hint="eastAsia" w:asciiTheme="minorEastAsia" w:hAnsiTheme="minorEastAsia" w:eastAsiaTheme="minorEastAsia" w:cstheme="minorEastAsia"/>
          <w:i w:val="0"/>
          <w:iCs/>
          <w:color w:val="auto"/>
          <w:sz w:val="24"/>
          <w:szCs w:val="24"/>
          <w:highlight w:val="none"/>
        </w:rPr>
      </w:pPr>
    </w:p>
    <w:p w14:paraId="0AE86CCB">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p>
    <w:p w14:paraId="664200C8">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（一）满足南方电网公司基建管理制度、建设单位的质量、环境和职业健康安全管理体系文件、其他有关制度和规定。</w:t>
      </w:r>
    </w:p>
    <w:p w14:paraId="12EA60EE">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（二）符合图纸及技术文件的要求（如有，详见招标文件附件）。</w:t>
      </w:r>
    </w:p>
    <w:p w14:paraId="365B6B79">
      <w:pPr>
        <w:keepNext w:val="0"/>
        <w:keepLines w:val="0"/>
        <w:pageBreakBefore w:val="0"/>
        <w:widowControl w:val="0"/>
        <w:shd w:val="clear" w:color="auto" w:fill="auto"/>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en-US" w:eastAsia="zh-CN"/>
        </w:rPr>
      </w:pPr>
      <w:r>
        <w:rPr>
          <w:rFonts w:hint="eastAsia" w:asciiTheme="minorEastAsia" w:hAnsiTheme="minorEastAsia" w:eastAsiaTheme="minorEastAsia" w:cstheme="minorEastAsia"/>
          <w:i w:val="0"/>
          <w:iCs/>
          <w:color w:val="auto"/>
          <w:kern w:val="0"/>
          <w:sz w:val="24"/>
          <w:szCs w:val="24"/>
          <w:highlight w:val="none"/>
          <w:lang w:val="zh-CN" w:eastAsia="zh-CN"/>
        </w:rPr>
        <w:t>（</w:t>
      </w:r>
      <w:r>
        <w:rPr>
          <w:rFonts w:hint="eastAsia" w:asciiTheme="minorEastAsia" w:hAnsiTheme="minorEastAsia" w:eastAsiaTheme="minorEastAsia" w:cstheme="minorEastAsia"/>
          <w:i w:val="0"/>
          <w:iCs/>
          <w:color w:val="auto"/>
          <w:kern w:val="0"/>
          <w:sz w:val="24"/>
          <w:szCs w:val="24"/>
          <w:highlight w:val="none"/>
          <w:lang w:val="en-US" w:eastAsia="zh-CN"/>
        </w:rPr>
        <w:t>三）按《广东电网有限责任公司基建项目全过程工程咨询管理手册》（广电办建〔2024〕14号附件）要求开展具体工作。</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6993E1"/>
    <w:multiLevelType w:val="singleLevel"/>
    <w:tmpl w:val="EA6993E1"/>
    <w:lvl w:ilvl="0" w:tentative="0">
      <w:start w:val="3"/>
      <w:numFmt w:val="chineseCounting"/>
      <w:suff w:val="nothing"/>
      <w:lvlText w:val="%1、"/>
      <w:lvlJc w:val="left"/>
      <w:rPr>
        <w:rFonts w:hint="eastAsia"/>
      </w:rPr>
    </w:lvl>
  </w:abstractNum>
  <w:abstractNum w:abstractNumId="1">
    <w:nsid w:val="EAEE20F8"/>
    <w:multiLevelType w:val="singleLevel"/>
    <w:tmpl w:val="EAEE20F8"/>
    <w:lvl w:ilvl="0" w:tentative="0">
      <w:start w:val="2"/>
      <w:numFmt w:val="chineseCounting"/>
      <w:suff w:val="nothing"/>
      <w:lvlText w:val="第%1部分."/>
      <w:lvlJc w:val="left"/>
      <w:rPr>
        <w:rFonts w:hint="eastAsia"/>
      </w:rPr>
    </w:lvl>
  </w:abstractNum>
  <w:abstractNum w:abstractNumId="2">
    <w:nsid w:val="0D7920FF"/>
    <w:multiLevelType w:val="singleLevel"/>
    <w:tmpl w:val="0D7920FF"/>
    <w:lvl w:ilvl="0" w:tentative="0">
      <w:start w:val="1"/>
      <w:numFmt w:val="chineseCounting"/>
      <w:suff w:val="nothing"/>
      <w:lvlText w:val="第%1部分."/>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wYmZhMmQzZDQwYTAxYTA4MzhmYWVjM2Y4YTNjNDAifQ=="/>
  </w:docVars>
  <w:rsids>
    <w:rsidRoot w:val="24F737D8"/>
    <w:rsid w:val="001270A5"/>
    <w:rsid w:val="007A4AD7"/>
    <w:rsid w:val="00D6591F"/>
    <w:rsid w:val="02521EB3"/>
    <w:rsid w:val="046046C1"/>
    <w:rsid w:val="049525BD"/>
    <w:rsid w:val="04A24F71"/>
    <w:rsid w:val="076F3B3B"/>
    <w:rsid w:val="07CA37DF"/>
    <w:rsid w:val="084C5BEA"/>
    <w:rsid w:val="08F83980"/>
    <w:rsid w:val="0956333A"/>
    <w:rsid w:val="0A08581D"/>
    <w:rsid w:val="0B4A6210"/>
    <w:rsid w:val="0B630D8D"/>
    <w:rsid w:val="0BC07002"/>
    <w:rsid w:val="0E2F4C02"/>
    <w:rsid w:val="0E3616E0"/>
    <w:rsid w:val="0E394169"/>
    <w:rsid w:val="0F81532F"/>
    <w:rsid w:val="107144D2"/>
    <w:rsid w:val="109B55E3"/>
    <w:rsid w:val="10B3072A"/>
    <w:rsid w:val="116419AD"/>
    <w:rsid w:val="11DF6CFE"/>
    <w:rsid w:val="11E91682"/>
    <w:rsid w:val="128C3B76"/>
    <w:rsid w:val="12F15453"/>
    <w:rsid w:val="13383335"/>
    <w:rsid w:val="139D7B6B"/>
    <w:rsid w:val="14440D4B"/>
    <w:rsid w:val="14781EB9"/>
    <w:rsid w:val="14A5251E"/>
    <w:rsid w:val="14B666F3"/>
    <w:rsid w:val="14F16DD9"/>
    <w:rsid w:val="15056A61"/>
    <w:rsid w:val="15A84A0F"/>
    <w:rsid w:val="16491459"/>
    <w:rsid w:val="17722603"/>
    <w:rsid w:val="18550589"/>
    <w:rsid w:val="18E57496"/>
    <w:rsid w:val="1A386933"/>
    <w:rsid w:val="1A4F176B"/>
    <w:rsid w:val="1B663F82"/>
    <w:rsid w:val="1C2D4629"/>
    <w:rsid w:val="1C43636C"/>
    <w:rsid w:val="1C8618B6"/>
    <w:rsid w:val="1D904223"/>
    <w:rsid w:val="1EA91258"/>
    <w:rsid w:val="1F34517D"/>
    <w:rsid w:val="1F653C49"/>
    <w:rsid w:val="1FD528C2"/>
    <w:rsid w:val="1FF914D4"/>
    <w:rsid w:val="20375F0C"/>
    <w:rsid w:val="20735046"/>
    <w:rsid w:val="216F4D5B"/>
    <w:rsid w:val="21C11DC8"/>
    <w:rsid w:val="22B440FE"/>
    <w:rsid w:val="23B738BA"/>
    <w:rsid w:val="24642703"/>
    <w:rsid w:val="24E67795"/>
    <w:rsid w:val="24F737D8"/>
    <w:rsid w:val="2525523D"/>
    <w:rsid w:val="26EB3B6A"/>
    <w:rsid w:val="291D5E51"/>
    <w:rsid w:val="2AB70C30"/>
    <w:rsid w:val="2AF43C32"/>
    <w:rsid w:val="2BE07E0A"/>
    <w:rsid w:val="2CA17C08"/>
    <w:rsid w:val="2DDF66E3"/>
    <w:rsid w:val="2EB93623"/>
    <w:rsid w:val="2F032695"/>
    <w:rsid w:val="2FF65FF8"/>
    <w:rsid w:val="300D195C"/>
    <w:rsid w:val="30A25EDE"/>
    <w:rsid w:val="30BF37B5"/>
    <w:rsid w:val="313B0851"/>
    <w:rsid w:val="31A1649A"/>
    <w:rsid w:val="31C955A9"/>
    <w:rsid w:val="32AB72CC"/>
    <w:rsid w:val="33B200AF"/>
    <w:rsid w:val="33C75702"/>
    <w:rsid w:val="33E61BE2"/>
    <w:rsid w:val="34781430"/>
    <w:rsid w:val="34825DD1"/>
    <w:rsid w:val="361736AD"/>
    <w:rsid w:val="36C21B71"/>
    <w:rsid w:val="36D200CF"/>
    <w:rsid w:val="36FD34CA"/>
    <w:rsid w:val="37085134"/>
    <w:rsid w:val="379951F8"/>
    <w:rsid w:val="38382DC3"/>
    <w:rsid w:val="38DE045C"/>
    <w:rsid w:val="395123E3"/>
    <w:rsid w:val="3987396D"/>
    <w:rsid w:val="3B595AEE"/>
    <w:rsid w:val="3BF24D81"/>
    <w:rsid w:val="3BFE7BEA"/>
    <w:rsid w:val="3C4750A3"/>
    <w:rsid w:val="3C4A35F1"/>
    <w:rsid w:val="3D110F9F"/>
    <w:rsid w:val="3E432E4E"/>
    <w:rsid w:val="3EA01CAF"/>
    <w:rsid w:val="3FD359FA"/>
    <w:rsid w:val="420455E6"/>
    <w:rsid w:val="42614180"/>
    <w:rsid w:val="42E73C50"/>
    <w:rsid w:val="43A43045"/>
    <w:rsid w:val="44982260"/>
    <w:rsid w:val="44A44263"/>
    <w:rsid w:val="44D414C9"/>
    <w:rsid w:val="44D8532E"/>
    <w:rsid w:val="46472D5E"/>
    <w:rsid w:val="468C5C3B"/>
    <w:rsid w:val="476B0980"/>
    <w:rsid w:val="485D3F87"/>
    <w:rsid w:val="493279A7"/>
    <w:rsid w:val="496A657E"/>
    <w:rsid w:val="49843C09"/>
    <w:rsid w:val="4B1B4AC8"/>
    <w:rsid w:val="4B3A1BDA"/>
    <w:rsid w:val="4BCD16F8"/>
    <w:rsid w:val="4BF83760"/>
    <w:rsid w:val="4C5B4768"/>
    <w:rsid w:val="4C8349B8"/>
    <w:rsid w:val="4DA93FB0"/>
    <w:rsid w:val="4E3441C2"/>
    <w:rsid w:val="504766FD"/>
    <w:rsid w:val="5093712D"/>
    <w:rsid w:val="537A5DF5"/>
    <w:rsid w:val="53F00CFA"/>
    <w:rsid w:val="552A0C96"/>
    <w:rsid w:val="55BB16B6"/>
    <w:rsid w:val="55C3156A"/>
    <w:rsid w:val="56063820"/>
    <w:rsid w:val="560A4CB8"/>
    <w:rsid w:val="56297652"/>
    <w:rsid w:val="57743881"/>
    <w:rsid w:val="5782183A"/>
    <w:rsid w:val="57BD355E"/>
    <w:rsid w:val="58D21C48"/>
    <w:rsid w:val="5B0320E2"/>
    <w:rsid w:val="5B8B11A7"/>
    <w:rsid w:val="5B9E2EC4"/>
    <w:rsid w:val="5BA41E30"/>
    <w:rsid w:val="5CD10D7E"/>
    <w:rsid w:val="60002310"/>
    <w:rsid w:val="608606DE"/>
    <w:rsid w:val="610E324A"/>
    <w:rsid w:val="6159588A"/>
    <w:rsid w:val="61F31EFD"/>
    <w:rsid w:val="63066BC7"/>
    <w:rsid w:val="63976D92"/>
    <w:rsid w:val="63D0487B"/>
    <w:rsid w:val="64672037"/>
    <w:rsid w:val="64911DA0"/>
    <w:rsid w:val="65901886"/>
    <w:rsid w:val="65945D8D"/>
    <w:rsid w:val="65E73470"/>
    <w:rsid w:val="66C35559"/>
    <w:rsid w:val="67D57489"/>
    <w:rsid w:val="68570F93"/>
    <w:rsid w:val="6A287B5E"/>
    <w:rsid w:val="6B303A1A"/>
    <w:rsid w:val="6C704794"/>
    <w:rsid w:val="6D83255E"/>
    <w:rsid w:val="6DAA2FDF"/>
    <w:rsid w:val="6DE143EE"/>
    <w:rsid w:val="6DF95579"/>
    <w:rsid w:val="6E121228"/>
    <w:rsid w:val="6E2F5DFC"/>
    <w:rsid w:val="6F8447F5"/>
    <w:rsid w:val="6F8F1F87"/>
    <w:rsid w:val="6FD7553C"/>
    <w:rsid w:val="6FE70789"/>
    <w:rsid w:val="701D27D9"/>
    <w:rsid w:val="70D1495F"/>
    <w:rsid w:val="70ED510D"/>
    <w:rsid w:val="712F63C0"/>
    <w:rsid w:val="72717CD1"/>
    <w:rsid w:val="738B6214"/>
    <w:rsid w:val="73B2537D"/>
    <w:rsid w:val="743E1546"/>
    <w:rsid w:val="74614F7E"/>
    <w:rsid w:val="74695E39"/>
    <w:rsid w:val="754C6F3B"/>
    <w:rsid w:val="75B11AFF"/>
    <w:rsid w:val="75D32619"/>
    <w:rsid w:val="75FA2D4B"/>
    <w:rsid w:val="76307412"/>
    <w:rsid w:val="768D126A"/>
    <w:rsid w:val="77B533CE"/>
    <w:rsid w:val="780B6A75"/>
    <w:rsid w:val="79572781"/>
    <w:rsid w:val="79F83E18"/>
    <w:rsid w:val="7CCA3477"/>
    <w:rsid w:val="7CED7DC5"/>
    <w:rsid w:val="7D0F76D8"/>
    <w:rsid w:val="7D4551F4"/>
    <w:rsid w:val="7D96066F"/>
    <w:rsid w:val="7E1B1918"/>
    <w:rsid w:val="7E3420E0"/>
    <w:rsid w:val="7F1B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8"/>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Normal (Web)"/>
    <w:basedOn w:val="1"/>
    <w:qFormat/>
    <w:uiPriority w:val="0"/>
    <w:rPr>
      <w:sz w:val="24"/>
    </w:rPr>
  </w:style>
  <w:style w:type="paragraph" w:styleId="11">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paragraph" w:customStyle="1" w:styleId="16">
    <w:name w:val="正文首行缩进1"/>
    <w:basedOn w:val="1"/>
    <w:qFormat/>
    <w:uiPriority w:val="0"/>
    <w:pPr>
      <w:spacing w:line="360" w:lineRule="auto"/>
      <w:ind w:firstLine="200" w:firstLineChars="200"/>
    </w:pPr>
    <w:rPr>
      <w:kern w:val="2"/>
      <w:sz w:val="24"/>
      <w:szCs w:val="24"/>
    </w:rPr>
  </w:style>
  <w:style w:type="character" w:customStyle="1" w:styleId="17">
    <w:name w:val="font11"/>
    <w:basedOn w:val="1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1291</Words>
  <Characters>1412</Characters>
  <Lines>0</Lines>
  <Paragraphs>0</Paragraphs>
  <TotalTime>0</TotalTime>
  <ScaleCrop>false</ScaleCrop>
  <LinksUpToDate>false</LinksUpToDate>
  <CharactersWithSpaces>1608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cp:lastPrinted>2025-12-08T09:56:00Z</cp:lastPrinted>
  <dcterms:modified xsi:type="dcterms:W3CDTF">2026-01-09T07:39:07Z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6C2C756956C243AFBC505389AC31B1F6_13</vt:lpwstr>
  </property>
  <property fmtid="{D5CDD505-2E9C-101B-9397-08002B2CF9AE}" pid="4" name="KSOTemplateDocerSaveRecord">
    <vt:lpwstr>eyJoZGlkIjoiOTc3M2Y5NzIzMDFlZjAyY2Q4Njk5ODkyYjFjNzBiNTQiLCJ1c2VySWQiOiI0MDQxMjI2MTkifQ==</vt:lpwstr>
  </property>
</Properties>
</file>