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Spec="center" w:tblpY="252"/>
        <w:tblOverlap w:val="never"/>
        <w:tblW w:w="52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998"/>
        <w:gridCol w:w="1339"/>
        <w:gridCol w:w="1643"/>
        <w:gridCol w:w="856"/>
        <w:gridCol w:w="856"/>
        <w:gridCol w:w="1051"/>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37" w:type="pct"/>
            <w:vAlign w:val="center"/>
          </w:tcPr>
          <w:p>
            <w:pPr>
              <w:snapToGrid w:val="0"/>
              <w:spacing w:line="240"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554"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标的</w:t>
            </w:r>
          </w:p>
        </w:tc>
        <w:tc>
          <w:tcPr>
            <w:tcW w:w="743"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标包名称</w:t>
            </w:r>
          </w:p>
        </w:tc>
        <w:tc>
          <w:tcPr>
            <w:tcW w:w="912" w:type="pct"/>
            <w:vAlign w:val="center"/>
          </w:tcPr>
          <w:p>
            <w:pPr>
              <w:snapToGrid w:val="0"/>
              <w:spacing w:line="240" w:lineRule="auto"/>
              <w:jc w:val="center"/>
              <w:rPr>
                <w:rFonts w:ascii="宋体" w:hAnsi="宋体" w:eastAsia="宋体" w:cs="宋体"/>
                <w:b/>
                <w:color w:val="auto"/>
                <w:szCs w:val="21"/>
                <w:highlight w:val="none"/>
              </w:rPr>
            </w:pPr>
            <w:r>
              <w:rPr>
                <w:rFonts w:hint="eastAsia" w:ascii="宋体" w:hAnsi="宋体" w:cs="宋体"/>
                <w:b/>
                <w:color w:val="auto"/>
                <w:szCs w:val="21"/>
                <w:highlight w:val="none"/>
              </w:rPr>
              <w:t>服务内容</w:t>
            </w:r>
          </w:p>
        </w:tc>
        <w:tc>
          <w:tcPr>
            <w:tcW w:w="475"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单项报价</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万元</w:t>
            </w:r>
            <w:r>
              <w:rPr>
                <w:rFonts w:hint="eastAsia" w:ascii="宋体" w:hAnsi="宋体" w:eastAsia="宋体" w:cs="宋体"/>
                <w:b/>
                <w:color w:val="auto"/>
                <w:szCs w:val="21"/>
                <w:highlight w:val="none"/>
                <w:lang w:eastAsia="zh-CN"/>
              </w:rPr>
              <w:t>）</w:t>
            </w:r>
          </w:p>
        </w:tc>
        <w:tc>
          <w:tcPr>
            <w:tcW w:w="475"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服务费用</w:t>
            </w:r>
            <w:r>
              <w:rPr>
                <w:rFonts w:hint="eastAsia" w:ascii="宋体" w:hAnsi="宋体" w:eastAsia="宋体" w:cs="宋体"/>
                <w:b/>
                <w:color w:val="auto"/>
                <w:szCs w:val="21"/>
                <w:highlight w:val="none"/>
                <w:lang w:val="en-US" w:eastAsia="zh-CN"/>
              </w:rPr>
              <w:t>单项</w:t>
            </w:r>
            <w:r>
              <w:rPr>
                <w:rFonts w:hint="eastAsia" w:ascii="宋体" w:hAnsi="宋体" w:eastAsia="宋体" w:cs="宋体"/>
                <w:b/>
                <w:color w:val="auto"/>
                <w:szCs w:val="21"/>
                <w:highlight w:val="none"/>
              </w:rPr>
              <w:t>最高限价</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万元</w:t>
            </w:r>
            <w:r>
              <w:rPr>
                <w:rFonts w:hint="eastAsia" w:ascii="宋体" w:hAnsi="宋体" w:eastAsia="宋体" w:cs="宋体"/>
                <w:b/>
                <w:color w:val="auto"/>
                <w:szCs w:val="21"/>
                <w:highlight w:val="none"/>
                <w:lang w:eastAsia="zh-CN"/>
              </w:rPr>
              <w:t>）</w:t>
            </w:r>
          </w:p>
        </w:tc>
        <w:tc>
          <w:tcPr>
            <w:tcW w:w="583"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价格比重</w:t>
            </w:r>
          </w:p>
        </w:tc>
        <w:tc>
          <w:tcPr>
            <w:tcW w:w="1017" w:type="pct"/>
            <w:vAlign w:val="center"/>
          </w:tcPr>
          <w:p>
            <w:pPr>
              <w:snapToGrid w:val="0"/>
              <w:spacing w:line="240"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237" w:type="pct"/>
            <w:vAlign w:val="center"/>
          </w:tcPr>
          <w:p>
            <w:pPr>
              <w:snapToGrid w:val="0"/>
              <w:spacing w:line="240"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1</w:t>
            </w:r>
          </w:p>
        </w:tc>
        <w:tc>
          <w:tcPr>
            <w:tcW w:w="554" w:type="pct"/>
            <w:vAlign w:val="center"/>
          </w:tcPr>
          <w:p>
            <w:pPr>
              <w:snapToGrid w:val="0"/>
              <w:spacing w:line="240" w:lineRule="auto"/>
              <w:jc w:val="left"/>
              <w:rPr>
                <w:rFonts w:hint="eastAsia" w:ascii="宋体" w:hAnsi="宋体" w:cs="宋体" w:eastAsiaTheme="minorEastAsia"/>
                <w:b/>
                <w:bCs w:val="0"/>
                <w:color w:val="auto"/>
                <w:szCs w:val="21"/>
                <w:highlight w:val="none"/>
                <w:lang w:eastAsia="zh-CN"/>
              </w:rPr>
            </w:pPr>
            <w:r>
              <w:t>南方电网产业发展集团有限责任公司股权投资项目独立第三方技术分析服务项目</w:t>
            </w:r>
          </w:p>
        </w:tc>
        <w:tc>
          <w:tcPr>
            <w:tcW w:w="743" w:type="pct"/>
            <w:vAlign w:val="center"/>
          </w:tcPr>
          <w:p>
            <w:pPr>
              <w:snapToGrid w:val="0"/>
              <w:spacing w:line="240" w:lineRule="auto"/>
              <w:jc w:val="left"/>
              <w:rPr>
                <w:rFonts w:hint="eastAsia" w:eastAsiaTheme="minorEastAsia"/>
                <w:b/>
                <w:bCs w:val="0"/>
                <w:color w:val="auto"/>
                <w:lang w:eastAsia="zh-CN"/>
              </w:rPr>
            </w:pPr>
            <w:r>
              <w:t>南方电网产业发展集团有限责任公司股权投资项目独立第三方技术分析服务项目1</w:t>
            </w:r>
            <w:r>
              <w:rPr>
                <w:rFonts w:hint="eastAsia"/>
                <w:lang w:eastAsia="zh-CN"/>
              </w:rPr>
              <w:t>，</w:t>
            </w:r>
            <w:r>
              <w:t>南方电网产业发展集团有限责任公司股权投资项目独立第三方技术分析服务项目</w:t>
            </w:r>
            <w:r>
              <w:rPr>
                <w:rFonts w:hint="eastAsia"/>
                <w:lang w:val="en-US" w:eastAsia="zh-CN"/>
              </w:rPr>
              <w:t>2</w:t>
            </w:r>
          </w:p>
        </w:tc>
        <w:tc>
          <w:tcPr>
            <w:tcW w:w="912" w:type="pct"/>
            <w:vAlign w:val="center"/>
          </w:tcPr>
          <w:p>
            <w:pPr>
              <w:snapToGrid w:val="0"/>
              <w:spacing w:line="240" w:lineRule="auto"/>
              <w:jc w:val="left"/>
              <w:rPr>
                <w:rFonts w:hint="default" w:ascii="宋体" w:hAnsi="宋体" w:cs="宋体" w:eastAsiaTheme="minorEastAsia"/>
                <w:bCs/>
                <w:color w:val="auto"/>
                <w:szCs w:val="21"/>
                <w:highlight w:val="none"/>
                <w:lang w:val="en-US" w:eastAsia="zh-CN"/>
              </w:rPr>
            </w:pPr>
            <w:r>
              <w:rPr>
                <w:rFonts w:hint="eastAsia" w:ascii="宋体" w:hAnsi="宋体" w:cs="宋体"/>
                <w:bCs/>
                <w:color w:val="auto"/>
                <w:szCs w:val="21"/>
                <w:highlight w:val="none"/>
                <w:lang w:val="en-US" w:eastAsia="zh-CN"/>
              </w:rPr>
              <w:t>单个标的公司的技术分析报告</w:t>
            </w:r>
          </w:p>
        </w:tc>
        <w:tc>
          <w:tcPr>
            <w:tcW w:w="475" w:type="pct"/>
            <w:vAlign w:val="center"/>
          </w:tcPr>
          <w:p>
            <w:pPr>
              <w:snapToGrid w:val="0"/>
              <w:spacing w:line="240" w:lineRule="auto"/>
              <w:jc w:val="center"/>
              <w:rPr>
                <w:rFonts w:hint="default" w:ascii="宋体" w:hAnsi="宋体" w:eastAsia="宋体" w:cs="宋体"/>
                <w:bCs/>
                <w:color w:val="auto"/>
                <w:szCs w:val="21"/>
                <w:highlight w:val="none"/>
                <w:lang w:val="en-US" w:eastAsia="zh-CN"/>
              </w:rPr>
            </w:pPr>
          </w:p>
        </w:tc>
        <w:tc>
          <w:tcPr>
            <w:tcW w:w="475" w:type="pct"/>
            <w:vAlign w:val="center"/>
          </w:tcPr>
          <w:p>
            <w:pPr>
              <w:snapToGrid w:val="0"/>
              <w:spacing w:line="240"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5</w:t>
            </w:r>
          </w:p>
        </w:tc>
        <w:tc>
          <w:tcPr>
            <w:tcW w:w="583" w:type="pct"/>
            <w:vAlign w:val="center"/>
          </w:tcPr>
          <w:p>
            <w:pPr>
              <w:snapToGrid w:val="0"/>
              <w:spacing w:line="240"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p>
        </w:tc>
        <w:tc>
          <w:tcPr>
            <w:tcW w:w="1017" w:type="pct"/>
            <w:vAlign w:val="center"/>
          </w:tcPr>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单个标的的独立第三方技术分析报告，内容包括但不限于：</w:t>
            </w:r>
          </w:p>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1.提供标的公司产品的技术先进性分析（包括产品性能参数、技术成熟度、研发实力、技术壁垒等），分析标的公司技术在行业内的先进性、成熟度、技术路线的可靠性，前瞻研判技术可持续性和未来发展。</w:t>
            </w:r>
          </w:p>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2.提供标的公司所处赛道的技术先进性分析，包括但不限于技术发展趋势、技术竞争格局与壁垒评估、技术颠覆性与替代性风险等。</w:t>
            </w:r>
          </w:p>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3.根据项目需求，提供标的项目技术咨询服务。</w:t>
            </w:r>
          </w:p>
          <w:p>
            <w:pPr>
              <w:spacing w:line="240" w:lineRule="auto"/>
              <w:rPr>
                <w:rFonts w:hint="eastAsia" w:ascii="宋体" w:hAnsi="宋体" w:cs="宋体" w:eastAsiaTheme="minorEastAsia"/>
                <w:bCs/>
                <w:color w:val="auto"/>
                <w:szCs w:val="21"/>
                <w:highlight w:val="none"/>
                <w:lang w:val="en-US" w:eastAsia="zh-CN"/>
              </w:rPr>
            </w:pP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102C00"/>
    <w:rsid w:val="19102C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2026-03-25T07:59:00Z</dcterms:created>
  <dc:creator>建议</dc:creator>
  <cp:lastModifiedBy>建议</cp:lastModifiedBy>
  <dcterms:modified xsi:type="dcterms:W3CDTF">2026-03-25T08:00:10Z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4487D73EC58D46ADB9493B181C272B2E</vt:lpwstr>
  </property>
</Properties>
</file>