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42" w:firstLineChars="100"/>
        <w:jc w:val="center"/>
        <w:rPr>
          <w:rFonts w:hint="eastAsia" w:asciiTheme="minorEastAsia" w:hAnsiTheme="minorEastAsia" w:eastAsiaTheme="minorEastAsia" w:cstheme="minorEastAsia"/>
          <w:b/>
          <w:bCs/>
          <w:color w:val="auto"/>
          <w:sz w:val="44"/>
          <w:szCs w:val="21"/>
          <w:highlight w:val="none"/>
          <w:lang w:val="en-US" w:eastAsia="zh-CN"/>
        </w:rPr>
      </w:pPr>
      <w:bookmarkStart w:id="0" w:name="_Toc183578143"/>
      <w:bookmarkStart w:id="1" w:name="_Toc131134327"/>
      <w:bookmarkStart w:id="2" w:name="_Toc131133981"/>
      <w:bookmarkStart w:id="3" w:name="_Toc131168595"/>
      <w:bookmarkStart w:id="4" w:name="_Toc131134226"/>
      <w:bookmarkStart w:id="5" w:name="_Toc114028927"/>
      <w:r>
        <w:rPr>
          <w:rFonts w:hint="eastAsia" w:asciiTheme="minorEastAsia" w:hAnsiTheme="minorEastAsia" w:eastAsiaTheme="minorEastAsia" w:cstheme="minorEastAsia"/>
          <w:b/>
          <w:bCs/>
          <w:color w:val="auto"/>
          <w:sz w:val="44"/>
          <w:szCs w:val="21"/>
          <w:highlight w:val="none"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-1257935</wp:posOffset>
            </wp:positionH>
            <wp:positionV relativeFrom="paragraph">
              <wp:posOffset>-907415</wp:posOffset>
            </wp:positionV>
            <wp:extent cx="7534910" cy="2708910"/>
            <wp:effectExtent l="0" t="0" r="8890" b="8890"/>
            <wp:wrapTight wrapText="bothSides">
              <wp:wrapPolygon>
                <wp:start x="0" y="0"/>
                <wp:lineTo x="0" y="21468"/>
                <wp:lineTo x="21553" y="21468"/>
                <wp:lineTo x="21553" y="0"/>
                <wp:lineTo x="0" y="0"/>
              </wp:wrapPolygon>
            </wp:wrapTight>
            <wp:docPr id="2" name="图片 3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rcRect l="561" t="1021" r="469"/>
                    <a:stretch>
                      <a:fillRect/>
                    </a:stretch>
                  </pic:blipFill>
                  <pic:spPr>
                    <a:xfrm>
                      <a:off x="0" y="0"/>
                      <a:ext cx="7534910" cy="270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42" w:firstLineChars="100"/>
        <w:jc w:val="center"/>
        <w:rPr>
          <w:rFonts w:hint="eastAsia" w:asciiTheme="minorEastAsia" w:hAnsiTheme="minorEastAsia" w:eastAsiaTheme="minorEastAsia" w:cstheme="minorEastAsia"/>
          <w:b/>
          <w:bCs/>
          <w:color w:val="auto"/>
          <w:sz w:val="44"/>
          <w:szCs w:val="21"/>
          <w:highlight w:val="none"/>
          <w:lang w:val="en-US" w:eastAsia="zh-CN"/>
        </w:rPr>
      </w:pPr>
    </w:p>
    <w:p>
      <w:pPr>
        <w:pStyle w:val="2"/>
        <w:rPr>
          <w:rFonts w:hint="eastAsia" w:asciiTheme="minorEastAsia" w:hAnsiTheme="minorEastAsia" w:eastAsiaTheme="minorEastAsia" w:cstheme="minorEastAsia"/>
          <w:b/>
          <w:bCs/>
          <w:color w:val="auto"/>
          <w:sz w:val="44"/>
          <w:szCs w:val="21"/>
          <w:highlight w:val="none"/>
          <w:lang w:val="en-US" w:eastAsia="zh-CN"/>
        </w:rPr>
      </w:pPr>
    </w:p>
    <w:p>
      <w:pPr>
        <w:rPr>
          <w:rFonts w:hint="eastAsia"/>
          <w:highlight w:val="none"/>
          <w:lang w:val="en-US" w:eastAsia="zh-CN"/>
        </w:rPr>
      </w:pPr>
    </w:p>
    <w:p>
      <w:pPr>
        <w:ind w:firstLine="442" w:firstLineChars="100"/>
        <w:jc w:val="center"/>
        <w:rPr>
          <w:rFonts w:hint="eastAsia" w:asciiTheme="minorEastAsia" w:hAnsiTheme="minorEastAsia" w:eastAsiaTheme="minorEastAsia" w:cstheme="minorEastAsia"/>
          <w:b/>
          <w:bCs/>
          <w:color w:val="auto"/>
          <w:sz w:val="44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/>
          <w:color w:val="auto"/>
          <w:sz w:val="20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44"/>
          <w:szCs w:val="21"/>
          <w:highlight w:val="none"/>
          <w:lang w:val="en-US" w:eastAsia="zh-CN"/>
        </w:rPr>
        <w:t>海蓄电站厂站设备接入海南中调新一代OCS系统联调接入技术服务项目</w:t>
      </w:r>
    </w:p>
    <w:p>
      <w:pPr>
        <w:rPr>
          <w:rFonts w:hint="eastAsia" w:asciiTheme="minorEastAsia" w:hAnsiTheme="minorEastAsia" w:eastAsiaTheme="minorEastAsia" w:cstheme="minorEastAsia"/>
          <w:b/>
          <w:color w:val="auto"/>
          <w:sz w:val="20"/>
          <w:szCs w:val="21"/>
          <w:highlight w:val="none"/>
        </w:rPr>
      </w:pPr>
    </w:p>
    <w:p>
      <w:pPr>
        <w:pStyle w:val="2"/>
        <w:rPr>
          <w:rFonts w:hint="eastAsia" w:asciiTheme="minorEastAsia" w:hAnsiTheme="minorEastAsia" w:eastAsiaTheme="minorEastAsia" w:cstheme="minorEastAsia"/>
          <w:b/>
          <w:color w:val="auto"/>
          <w:sz w:val="20"/>
          <w:szCs w:val="21"/>
          <w:highlight w:val="none"/>
        </w:rPr>
      </w:pPr>
    </w:p>
    <w:p>
      <w:pPr>
        <w:rPr>
          <w:rFonts w:hint="eastAsia" w:asciiTheme="minorEastAsia" w:hAnsiTheme="minorEastAsia" w:eastAsiaTheme="minorEastAsia" w:cstheme="minorEastAsia"/>
          <w:b/>
          <w:color w:val="auto"/>
          <w:sz w:val="20"/>
          <w:szCs w:val="21"/>
          <w:highlight w:val="none"/>
        </w:rPr>
      </w:pPr>
    </w:p>
    <w:p>
      <w:pPr>
        <w:pStyle w:val="2"/>
        <w:rPr>
          <w:rFonts w:hint="eastAsia" w:asciiTheme="minorEastAsia" w:hAnsiTheme="minorEastAsia" w:eastAsiaTheme="minorEastAsia" w:cstheme="minorEastAsia"/>
          <w:b/>
          <w:color w:val="auto"/>
          <w:sz w:val="20"/>
          <w:szCs w:val="21"/>
          <w:highlight w:val="none"/>
        </w:rPr>
      </w:pPr>
    </w:p>
    <w:p>
      <w:pPr>
        <w:rPr>
          <w:rFonts w:hint="eastAsia" w:asciiTheme="minorEastAsia" w:hAnsiTheme="minorEastAsia" w:eastAsiaTheme="minorEastAsia" w:cstheme="minorEastAsia"/>
          <w:b/>
          <w:color w:val="auto"/>
          <w:sz w:val="20"/>
          <w:szCs w:val="21"/>
          <w:highlight w:val="none"/>
        </w:rPr>
      </w:pPr>
    </w:p>
    <w:p>
      <w:pPr>
        <w:pStyle w:val="2"/>
        <w:rPr>
          <w:rFonts w:hint="eastAsia" w:asciiTheme="minorEastAsia" w:hAnsiTheme="minorEastAsia" w:eastAsiaTheme="minorEastAsia" w:cstheme="minorEastAsia"/>
          <w:b/>
          <w:color w:val="auto"/>
          <w:sz w:val="20"/>
          <w:szCs w:val="21"/>
          <w:highlight w:val="none"/>
        </w:rPr>
      </w:pPr>
    </w:p>
    <w:p>
      <w:pPr>
        <w:rPr>
          <w:rFonts w:hint="eastAsia" w:asciiTheme="minorEastAsia" w:hAnsiTheme="minorEastAsia" w:eastAsiaTheme="minorEastAsia" w:cstheme="minorEastAsia"/>
          <w:b/>
          <w:color w:val="auto"/>
          <w:sz w:val="20"/>
          <w:szCs w:val="21"/>
          <w:highlight w:val="none"/>
        </w:rPr>
      </w:pPr>
    </w:p>
    <w:p>
      <w:pPr>
        <w:pStyle w:val="2"/>
        <w:rPr>
          <w:rFonts w:hint="eastAsia" w:asciiTheme="minorEastAsia" w:hAnsiTheme="minorEastAsia" w:eastAsiaTheme="minorEastAsia" w:cstheme="minorEastAsia"/>
          <w:b/>
          <w:color w:val="auto"/>
          <w:sz w:val="20"/>
          <w:szCs w:val="21"/>
          <w:highlight w:val="none"/>
        </w:rPr>
      </w:pPr>
    </w:p>
    <w:p>
      <w:pPr>
        <w:pStyle w:val="2"/>
        <w:rPr>
          <w:rFonts w:hint="eastAsia" w:asciiTheme="minorEastAsia" w:hAnsiTheme="minorEastAsia" w:eastAsiaTheme="minorEastAsia" w:cstheme="minorEastAsia"/>
          <w:color w:val="auto"/>
          <w:highlight w:val="none"/>
        </w:rPr>
      </w:pPr>
    </w:p>
    <w:p>
      <w:pPr>
        <w:rPr>
          <w:rFonts w:hint="eastAsia" w:asciiTheme="minorEastAsia" w:hAnsiTheme="minorEastAsia" w:eastAsiaTheme="minorEastAsia" w:cstheme="minorEastAsia"/>
          <w:color w:val="auto"/>
          <w:highlight w:val="none"/>
        </w:rPr>
      </w:pPr>
    </w:p>
    <w:p>
      <w:pPr>
        <w:pStyle w:val="2"/>
        <w:rPr>
          <w:rFonts w:hint="eastAsia"/>
          <w:highlight w:val="none"/>
        </w:rPr>
      </w:pPr>
    </w:p>
    <w:p>
      <w:pPr>
        <w:rPr>
          <w:rFonts w:hint="eastAsia" w:asciiTheme="minorEastAsia" w:hAnsiTheme="minorEastAsia" w:eastAsiaTheme="minorEastAsia" w:cstheme="minorEastAsia"/>
          <w:color w:val="auto"/>
          <w:highlight w:val="none"/>
        </w:rPr>
      </w:pPr>
    </w:p>
    <w:p>
      <w:pPr>
        <w:pStyle w:val="2"/>
        <w:rPr>
          <w:rFonts w:hint="eastAsia" w:asciiTheme="minorEastAsia" w:hAnsiTheme="minorEastAsia" w:eastAsiaTheme="minorEastAsia" w:cstheme="minorEastAsia"/>
          <w:color w:val="auto"/>
          <w:highlight w:val="none"/>
        </w:rPr>
      </w:pPr>
    </w:p>
    <w:p>
      <w:pPr>
        <w:spacing w:before="624" w:beforeLines="200"/>
        <w:jc w:val="center"/>
        <w:rPr>
          <w:rFonts w:hint="eastAsia" w:asciiTheme="minorEastAsia" w:hAnsiTheme="minorEastAsia" w:eastAsiaTheme="minorEastAsia" w:cstheme="minorEastAsia"/>
          <w:b/>
          <w:color w:val="auto"/>
          <w:sz w:val="36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color w:val="auto"/>
          <w:sz w:val="36"/>
          <w:szCs w:val="21"/>
          <w:highlight w:val="none"/>
          <w:lang w:val="en-US" w:eastAsia="zh-CN"/>
        </w:rPr>
        <w:t>海南蓄能发电有限</w:t>
      </w:r>
      <w:r>
        <w:rPr>
          <w:rFonts w:hint="eastAsia" w:asciiTheme="minorEastAsia" w:hAnsiTheme="minorEastAsia" w:eastAsiaTheme="minorEastAsia" w:cstheme="minorEastAsia"/>
          <w:b/>
          <w:color w:val="auto"/>
          <w:sz w:val="36"/>
          <w:szCs w:val="21"/>
          <w:highlight w:val="none"/>
        </w:rPr>
        <w:t>公司</w:t>
      </w:r>
    </w:p>
    <w:p>
      <w:pPr>
        <w:widowControl/>
        <w:spacing w:before="156" w:beforeLines="50" w:after="156" w:afterLines="50" w:line="560" w:lineRule="atLeast"/>
        <w:jc w:val="center"/>
        <w:rPr>
          <w:rFonts w:hint="eastAsia" w:asciiTheme="minorEastAsia" w:hAnsiTheme="minorEastAsia" w:eastAsiaTheme="minorEastAsia" w:cstheme="minorEastAsia"/>
          <w:b w:val="0"/>
          <w:bCs/>
          <w:color w:val="auto"/>
          <w:position w:val="16"/>
          <w:sz w:val="48"/>
          <w:szCs w:val="52"/>
          <w:highlight w:val="none"/>
        </w:rPr>
        <w:sectPr>
          <w:footerReference r:id="rId3" w:type="first"/>
          <w:pgSz w:w="11906" w:h="16838"/>
          <w:pgMar w:top="1440" w:right="1588" w:bottom="1247" w:left="1985" w:header="851" w:footer="992" w:gutter="0"/>
          <w:cols w:space="425" w:num="1"/>
          <w:docGrid w:linePitch="285" w:charSpace="0"/>
        </w:sect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36"/>
          <w:szCs w:val="21"/>
          <w:highlight w:val="none"/>
        </w:rPr>
        <w:t>20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36"/>
          <w:szCs w:val="21"/>
          <w:highlight w:val="none"/>
          <w:lang w:val="en-US" w:eastAsia="zh-CN"/>
        </w:rPr>
        <w:t>26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36"/>
          <w:szCs w:val="21"/>
          <w:highlight w:val="none"/>
        </w:rPr>
        <w:t>年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36"/>
          <w:szCs w:val="21"/>
          <w:highlight w:val="none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36"/>
          <w:szCs w:val="21"/>
          <w:highlight w:val="none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Cs w:val="21"/>
          <w:highlight w:val="none"/>
        </w:rPr>
        <w:br w:type="page"/>
      </w:r>
      <w:bookmarkEnd w:id="0"/>
      <w:bookmarkEnd w:id="1"/>
      <w:bookmarkEnd w:id="2"/>
      <w:bookmarkEnd w:id="3"/>
      <w:bookmarkEnd w:id="4"/>
      <w:bookmarkEnd w:id="5"/>
    </w:p>
    <w:p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ind w:leftChars="0"/>
        <w:textAlignment w:val="auto"/>
        <w:rPr>
          <w:rFonts w:hint="default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bookmarkStart w:id="6" w:name="_Toc423621466"/>
      <w:bookmarkStart w:id="7" w:name="_Toc405368410"/>
      <w:bookmarkStart w:id="8" w:name="_Toc32366"/>
      <w:bookmarkStart w:id="9" w:name="_Toc292025341"/>
      <w:r>
        <w:rPr>
          <w:rFonts w:hint="eastAsia" w:asciiTheme="minorEastAsia" w:hAnsiTheme="minorEastAsia" w:eastAsiaTheme="minorEastAsia" w:cstheme="minorEastAsia"/>
          <w:b/>
          <w:color w:val="auto"/>
          <w:sz w:val="24"/>
          <w:szCs w:val="24"/>
          <w:highlight w:val="none"/>
          <w:lang w:val="en-US" w:eastAsia="zh-CN"/>
        </w:rPr>
        <w:t>一、</w:t>
      </w:r>
      <w:bookmarkEnd w:id="6"/>
      <w:bookmarkEnd w:id="7"/>
      <w:bookmarkEnd w:id="8"/>
      <w:bookmarkEnd w:id="9"/>
      <w:r>
        <w:rPr>
          <w:rFonts w:hint="eastAsia" w:asciiTheme="minorEastAsia" w:hAnsiTheme="minorEastAsia" w:eastAsiaTheme="minorEastAsia" w:cstheme="minorEastAsia"/>
          <w:b/>
          <w:color w:val="auto"/>
          <w:sz w:val="24"/>
          <w:szCs w:val="24"/>
          <w:highlight w:val="none"/>
          <w:lang w:val="en-US" w:eastAsia="zh-CN"/>
        </w:rPr>
        <w:t>项目概况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1"/>
          <w:szCs w:val="21"/>
          <w:highlight w:val="none"/>
          <w:lang w:val="en-US" w:eastAsia="zh-CN"/>
        </w:rPr>
        <w:t>海蓄电站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1"/>
          <w:szCs w:val="21"/>
          <w:highlight w:val="none"/>
        </w:rPr>
        <w:t>需完成厂站侧远动装置、PMU装置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1"/>
          <w:szCs w:val="21"/>
          <w:highlight w:val="none"/>
          <w:lang w:val="en-US" w:eastAsia="zh-CN"/>
        </w:rPr>
        <w:t>接入海南中调新一代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1"/>
          <w:szCs w:val="21"/>
          <w:highlight w:val="none"/>
        </w:rPr>
        <w:t>OCS系统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1"/>
          <w:szCs w:val="21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1"/>
          <w:szCs w:val="21"/>
          <w:highlight w:val="none"/>
        </w:rPr>
        <w:t>接入工作，包括远动业务、PMU业务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1"/>
          <w:szCs w:val="21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1"/>
          <w:szCs w:val="21"/>
          <w:highlight w:val="none"/>
        </w:rPr>
        <w:t>调度数据网A/B平面、2M专线通道接入调试。</w:t>
      </w:r>
    </w:p>
    <w:p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/>
        <w:textAlignment w:val="auto"/>
        <w:rPr>
          <w:rFonts w:hint="default" w:asciiTheme="minorEastAsia" w:hAnsiTheme="minorEastAsia" w:eastAsiaTheme="minorEastAsia" w:cstheme="minorEastAsia"/>
          <w:b/>
          <w:color w:val="auto"/>
          <w:sz w:val="24"/>
          <w:szCs w:val="24"/>
          <w:highlight w:val="none"/>
          <w:lang w:val="en-US"/>
        </w:rPr>
      </w:pPr>
      <w:bookmarkStart w:id="10" w:name="_Toc3012"/>
      <w:r>
        <w:rPr>
          <w:rFonts w:hint="eastAsia" w:asciiTheme="minorEastAsia" w:hAnsiTheme="minorEastAsia" w:eastAsiaTheme="minorEastAsia" w:cstheme="minorEastAsia"/>
          <w:b/>
          <w:color w:val="auto"/>
          <w:sz w:val="24"/>
          <w:szCs w:val="24"/>
          <w:highlight w:val="none"/>
          <w:lang w:val="en-US" w:eastAsia="zh-CN"/>
        </w:rPr>
        <w:t>二、</w:t>
      </w:r>
      <w:bookmarkEnd w:id="10"/>
      <w:r>
        <w:rPr>
          <w:rFonts w:hint="eastAsia" w:asciiTheme="minorEastAsia" w:hAnsiTheme="minorEastAsia" w:eastAsiaTheme="minorEastAsia" w:cstheme="minorEastAsia"/>
          <w:b/>
          <w:color w:val="auto"/>
          <w:sz w:val="24"/>
          <w:szCs w:val="24"/>
          <w:highlight w:val="none"/>
          <w:lang w:val="en-US" w:eastAsia="zh-CN"/>
        </w:rPr>
        <w:t>服务内容</w:t>
      </w:r>
    </w:p>
    <w:p>
      <w:pPr>
        <w:pStyle w:val="4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Chars="0"/>
        <w:textAlignment w:val="auto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1" w:name="_Toc496193427"/>
      <w:bookmarkEnd w:id="11"/>
      <w:bookmarkStart w:id="12" w:name="_Toc6099"/>
      <w:bookmarkEnd w:id="12"/>
      <w:bookmarkStart w:id="13" w:name="_Toc495327709"/>
      <w:bookmarkEnd w:id="13"/>
      <w:bookmarkStart w:id="14" w:name="_Toc25723"/>
      <w:bookmarkEnd w:id="14"/>
      <w:bookmarkStart w:id="15" w:name="_Toc29781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2.1</w:t>
      </w:r>
      <w:bookmarkEnd w:id="15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网络调试服务</w:t>
      </w:r>
    </w:p>
    <w:p>
      <w:pPr>
        <w:pageBreakBefore w:val="0"/>
        <w:widowControl w:val="0"/>
        <w:numPr>
          <w:ilvl w:val="0"/>
          <w:numId w:val="1"/>
        </w:numPr>
        <w:tabs>
          <w:tab w:val="left" w:pos="6510"/>
        </w:tabs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="0" w:firstLine="42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完成远动装置#1接入海南中调新一代OCS调度数据网A/B平面网络配置及测试。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="0" w:firstLine="42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完成远动装置#1、远动装置#2接入海南中调新一代OCS 2M专线通道网络配置及测试。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完成PMU装置接入海南中调新一代OCS调度数据网A/B平面、2M专线通道网络配置及测试。</w:t>
      </w:r>
    </w:p>
    <w:p>
      <w:pPr>
        <w:pStyle w:val="4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eastAsia="zh-CN"/>
        </w:rPr>
      </w:pPr>
      <w:bookmarkStart w:id="16" w:name="_Toc15385"/>
      <w:bookmarkStart w:id="17" w:name="_Toc423621469"/>
      <w:bookmarkStart w:id="18" w:name="_Toc292025344"/>
      <w:bookmarkStart w:id="19" w:name="_Toc405368413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2.2</w:t>
      </w:r>
      <w:bookmarkEnd w:id="16"/>
      <w:bookmarkEnd w:id="17"/>
      <w:bookmarkEnd w:id="18"/>
      <w:bookmarkEnd w:id="19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业务调试服务</w:t>
      </w:r>
    </w:p>
    <w:p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="0" w:firstLine="42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20" w:name="_Toc292025345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完成远动装置#1接入海南中调新一代OCS调度数据网A/B平面业务调试。</w:t>
      </w:r>
    </w:p>
    <w:p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="0" w:firstLine="42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完成远动装置#1、远动装置#2接入海南中调新一代OCS 2M专线通道业务调试。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完成PMU装置接入海南中调新一代OCS调度数据网A/B平面、2M专线通道业务调试。</w:t>
      </w:r>
    </w:p>
    <w:bookmarkEnd w:id="20"/>
    <w:p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eastAsia" w:asciiTheme="minorEastAsia" w:hAnsiTheme="minorEastAsia" w:eastAsiaTheme="minorEastAsia" w:cstheme="minorEastAsia"/>
          <w:b/>
          <w:color w:val="auto"/>
          <w:sz w:val="24"/>
          <w:szCs w:val="24"/>
          <w:highlight w:val="none"/>
          <w:lang w:eastAsia="zh-CN"/>
        </w:rPr>
      </w:pPr>
      <w:bookmarkStart w:id="21" w:name="_Toc423621471"/>
      <w:bookmarkStart w:id="22" w:name="_Toc1751"/>
      <w:bookmarkStart w:id="23" w:name="_Toc15004"/>
      <w:bookmarkStart w:id="24" w:name="_Toc12524"/>
      <w:bookmarkStart w:id="25" w:name="_Toc279769035"/>
      <w:r>
        <w:rPr>
          <w:rFonts w:hint="eastAsia" w:asciiTheme="minorEastAsia" w:hAnsiTheme="minorEastAsia" w:eastAsiaTheme="minorEastAsia" w:cstheme="minorEastAsia"/>
          <w:b/>
          <w:color w:val="auto"/>
          <w:sz w:val="24"/>
          <w:szCs w:val="24"/>
          <w:highlight w:val="none"/>
          <w:lang w:val="en-US" w:eastAsia="zh-CN"/>
        </w:rPr>
        <w:t>三、</w:t>
      </w:r>
      <w:r>
        <w:rPr>
          <w:rFonts w:hint="eastAsia" w:asciiTheme="minorEastAsia" w:hAnsiTheme="minorEastAsia" w:eastAsiaTheme="minorEastAsia" w:cstheme="minorEastAsia"/>
          <w:b/>
          <w:color w:val="auto"/>
          <w:sz w:val="24"/>
          <w:szCs w:val="24"/>
          <w:highlight w:val="none"/>
          <w:lang w:eastAsia="zh-CN"/>
        </w:rPr>
        <w:t>应遵循的主要标准</w:t>
      </w:r>
      <w:bookmarkEnd w:id="21"/>
      <w:bookmarkEnd w:id="22"/>
    </w:p>
    <w:bookmarkEnd w:id="23"/>
    <w:bookmarkEnd w:id="24"/>
    <w:p>
      <w:pPr>
        <w:adjustRightInd w:val="0"/>
        <w:spacing w:line="360" w:lineRule="auto"/>
        <w:ind w:firstLine="420" w:firstLineChars="200"/>
        <w:rPr>
          <w:rFonts w:hint="eastAsia" w:asciiTheme="minorEastAsia" w:hAnsiTheme="minorEastAsia" w:eastAsiaTheme="minorEastAsia" w:cstheme="minorEastAsia"/>
          <w:color w:val="auto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highlight w:val="none"/>
        </w:rPr>
        <w:t>除本技术规范特殊规定外，投标方所提供的</w:t>
      </w:r>
      <w:r>
        <w:rPr>
          <w:rFonts w:hint="eastAsia" w:asciiTheme="minorEastAsia" w:hAnsiTheme="minorEastAsia" w:eastAsiaTheme="minorEastAsia" w:cstheme="minorEastAsia"/>
          <w:color w:val="auto"/>
          <w:highlight w:val="none"/>
          <w:lang w:val="en-US" w:eastAsia="zh-CN"/>
        </w:rPr>
        <w:t>技术服务</w:t>
      </w:r>
      <w:r>
        <w:rPr>
          <w:rFonts w:hint="eastAsia" w:asciiTheme="minorEastAsia" w:hAnsiTheme="minorEastAsia" w:eastAsiaTheme="minorEastAsia" w:cstheme="minorEastAsia"/>
          <w:color w:val="auto"/>
          <w:highlight w:val="none"/>
        </w:rPr>
        <w:t>均按规定的标准和规程的最新版本进行。如果这些标准内容有矛盾时，应按技术要求最高的条款执行或按双方商定的标准执行。如果投标方选用本技术规范规定以外的标准时，则需提交这种替换标准供审查和分析。仅在投标方已证明替换标准相当或优于技术规范规定的标准，并从招标方处获得书面的认可才能使用。提交供审查的标准应为中文版本。</w:t>
      </w:r>
    </w:p>
    <w:p>
      <w:pPr>
        <w:adjustRightInd w:val="0"/>
        <w:spacing w:line="360" w:lineRule="auto"/>
        <w:ind w:firstLine="420" w:firstLineChars="200"/>
        <w:rPr>
          <w:rFonts w:hint="eastAsia" w:asciiTheme="minorEastAsia" w:hAnsiTheme="minorEastAsia" w:eastAsiaTheme="minorEastAsia" w:cstheme="minorEastAsia"/>
          <w:color w:val="auto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highlight w:val="none"/>
        </w:rPr>
        <w:t>下列文件对于本技术规范书的应用是必不可少。凡是注日期的引用文件，仅注日期的版本适用于本技术规范书。凡是不注日期的引用文件，其最新版本</w:t>
      </w:r>
      <w:r>
        <w:rPr>
          <w:rFonts w:hint="eastAsia" w:ascii="楷体" w:hAnsi="楷体" w:eastAsia="楷体" w:cs="楷体"/>
          <w:color w:val="auto"/>
          <w:highlight w:val="none"/>
        </w:rPr>
        <w:t>（包括所有的修改单）</w:t>
      </w:r>
      <w:r>
        <w:rPr>
          <w:rFonts w:hint="eastAsia" w:asciiTheme="minorEastAsia" w:hAnsiTheme="minorEastAsia" w:eastAsiaTheme="minorEastAsia" w:cstheme="minorEastAsia"/>
          <w:color w:val="auto"/>
          <w:highlight w:val="none"/>
        </w:rPr>
        <w:t>适用于本技术规范书：</w:t>
      </w:r>
    </w:p>
    <w:p>
      <w:pPr>
        <w:pStyle w:val="2"/>
        <w:ind w:left="0" w:leftChars="0" w:firstLine="420" w:firstLineChars="200"/>
        <w:rPr>
          <w:rFonts w:hint="eastAsia"/>
        </w:rPr>
      </w:pPr>
      <w:r>
        <w:rPr>
          <w:rFonts w:hint="eastAsia"/>
        </w:rPr>
        <w:t>《中华人民共和国网络安全法》（主席令（2016年）第53号）</w:t>
      </w:r>
    </w:p>
    <w:p>
      <w:pPr>
        <w:pStyle w:val="2"/>
        <w:ind w:left="0" w:leftChars="0" w:firstLine="420" w:firstLineChars="200"/>
        <w:rPr>
          <w:rFonts w:hint="eastAsia"/>
        </w:rPr>
      </w:pPr>
      <w:r>
        <w:rPr>
          <w:rFonts w:hint="eastAsia"/>
        </w:rPr>
        <w:t>《电力监控系统安全防护规定》（国家发展和改革委员会令2014年第14号）</w:t>
      </w:r>
    </w:p>
    <w:p>
      <w:pPr>
        <w:pStyle w:val="2"/>
        <w:ind w:left="0" w:leftChars="0" w:firstLine="420" w:firstLineChars="200"/>
        <w:rPr>
          <w:rFonts w:hint="eastAsia"/>
        </w:rPr>
      </w:pPr>
      <w:r>
        <w:rPr>
          <w:rFonts w:hint="eastAsia"/>
        </w:rPr>
        <w:t>《工业控制系统信息安全防护指南》（工信部信软[2016]338号）</w:t>
      </w:r>
    </w:p>
    <w:p>
      <w:pPr>
        <w:pStyle w:val="5"/>
        <w:spacing w:line="360" w:lineRule="auto"/>
        <w:ind w:firstLine="400" w:firstLineChars="200"/>
        <w:rPr>
          <w:rFonts w:hint="eastAsia" w:asciiTheme="minorEastAsia" w:hAnsiTheme="minorEastAsia" w:eastAsiaTheme="minorEastAsia" w:cstheme="minorEastAsia"/>
          <w:color w:val="auto"/>
          <w:kern w:val="2"/>
          <w:sz w:val="21"/>
          <w:szCs w:val="22"/>
          <w:highlight w:val="none"/>
          <w:lang w:eastAsia="zh-CN"/>
        </w:rPr>
      </w:pPr>
      <w:r>
        <w:rPr>
          <w:rFonts w:hint="eastAsia"/>
          <w:highlight w:val="none"/>
        </w:rPr>
        <w:t>《中国南方电网有限责任公司保密工作管理办法》</w:t>
      </w:r>
      <w:r>
        <w:rPr>
          <w:rFonts w:hint="eastAsia" w:asciiTheme="minorEastAsia" w:hAnsiTheme="minorEastAsia" w:eastAsiaTheme="minorEastAsia" w:cstheme="minorEastAsia"/>
          <w:color w:val="auto"/>
          <w:kern w:val="2"/>
          <w:sz w:val="21"/>
          <w:szCs w:val="22"/>
          <w:highlight w:val="none"/>
          <w:lang w:eastAsia="zh-CN"/>
        </w:rPr>
        <w:t>（Q/CSG 221008</w:t>
      </w:r>
      <w:r>
        <w:rPr>
          <w:rFonts w:hint="eastAsia" w:asciiTheme="minorEastAsia" w:hAnsiTheme="minorEastAsia" w:eastAsiaTheme="minorEastAsia" w:cstheme="minorEastAsia"/>
          <w:color w:val="auto"/>
          <w:kern w:val="2"/>
          <w:sz w:val="21"/>
          <w:szCs w:val="22"/>
          <w:highlight w:val="none"/>
          <w:lang w:val="en-US" w:eastAsia="zh-CN"/>
        </w:rPr>
        <w:t>-2014</w:t>
      </w:r>
      <w:r>
        <w:rPr>
          <w:rFonts w:hint="eastAsia" w:asciiTheme="minorEastAsia" w:hAnsiTheme="minorEastAsia" w:eastAsiaTheme="minorEastAsia" w:cstheme="minorEastAsia"/>
          <w:color w:val="auto"/>
          <w:kern w:val="2"/>
          <w:sz w:val="21"/>
          <w:szCs w:val="22"/>
          <w:highlight w:val="none"/>
          <w:lang w:eastAsia="zh-CN"/>
        </w:rPr>
        <w:t>）</w:t>
      </w:r>
    </w:p>
    <w:p>
      <w:pPr>
        <w:pStyle w:val="5"/>
        <w:spacing w:line="360" w:lineRule="auto"/>
        <w:ind w:firstLine="420" w:firstLineChars="200"/>
        <w:rPr>
          <w:rFonts w:hint="eastAsia" w:asciiTheme="minorEastAsia" w:hAnsiTheme="minorEastAsia" w:eastAsiaTheme="minorEastAsia" w:cstheme="minorEastAsia"/>
          <w:color w:val="auto"/>
          <w:kern w:val="2"/>
          <w:sz w:val="21"/>
          <w:szCs w:val="22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kern w:val="2"/>
          <w:sz w:val="21"/>
          <w:szCs w:val="22"/>
          <w:highlight w:val="none"/>
          <w:lang w:eastAsia="zh-CN"/>
        </w:rPr>
        <w:t>《中国南方电网电力监控系统安全防护技术规范》（Q/CSG1204009</w:t>
      </w:r>
      <w:r>
        <w:rPr>
          <w:rFonts w:hint="eastAsia" w:asciiTheme="minorEastAsia" w:hAnsiTheme="minorEastAsia" w:eastAsiaTheme="minorEastAsia" w:cstheme="minorEastAsia"/>
          <w:color w:val="auto"/>
          <w:kern w:val="2"/>
          <w:sz w:val="21"/>
          <w:szCs w:val="22"/>
          <w:highlight w:val="none"/>
          <w:lang w:val="en-US" w:eastAsia="zh-CN"/>
        </w:rPr>
        <w:t>-2015</w:t>
      </w:r>
      <w:r>
        <w:rPr>
          <w:rFonts w:hint="eastAsia" w:asciiTheme="minorEastAsia" w:hAnsiTheme="minorEastAsia" w:eastAsiaTheme="minorEastAsia" w:cstheme="minorEastAsia"/>
          <w:color w:val="auto"/>
          <w:kern w:val="2"/>
          <w:sz w:val="21"/>
          <w:szCs w:val="22"/>
          <w:highlight w:val="none"/>
          <w:lang w:eastAsia="zh-CN"/>
        </w:rPr>
        <w:t>）</w:t>
      </w:r>
    </w:p>
    <w:p>
      <w:pPr>
        <w:pStyle w:val="5"/>
        <w:spacing w:line="360" w:lineRule="auto"/>
        <w:ind w:firstLine="420" w:firstLineChars="200"/>
        <w:rPr>
          <w:rFonts w:hint="eastAsia" w:asciiTheme="minorEastAsia" w:hAnsiTheme="minorEastAsia" w:eastAsiaTheme="minorEastAsia" w:cstheme="minorEastAsia"/>
          <w:color w:val="auto"/>
          <w:kern w:val="2"/>
          <w:sz w:val="21"/>
          <w:szCs w:val="22"/>
          <w:highlight w:val="none"/>
          <w:lang w:eastAsia="zh-CN"/>
        </w:rPr>
      </w:pPr>
    </w:p>
    <w:bookmarkEnd w:id="25"/>
    <w:p>
      <w:pPr>
        <w:pStyle w:val="3"/>
        <w:keepNext/>
        <w:keepLines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Theme="minorEastAsia" w:hAnsiTheme="minorEastAsia" w:eastAsiaTheme="minorEastAsia" w:cstheme="minorEastAsia"/>
          <w:b/>
          <w:color w:val="auto"/>
          <w:sz w:val="24"/>
          <w:szCs w:val="24"/>
          <w:highlight w:val="none"/>
        </w:rPr>
      </w:pPr>
      <w:bookmarkStart w:id="26" w:name="_Toc8313"/>
      <w:r>
        <w:rPr>
          <w:rFonts w:hint="eastAsia" w:asciiTheme="minorEastAsia" w:hAnsiTheme="minorEastAsia" w:eastAsiaTheme="minorEastAsia" w:cstheme="minorEastAsia"/>
          <w:b/>
          <w:color w:val="auto"/>
          <w:sz w:val="24"/>
          <w:szCs w:val="24"/>
          <w:highlight w:val="none"/>
          <w:lang w:val="en-US" w:eastAsia="zh-CN"/>
        </w:rPr>
        <w:t>技术人员资质</w:t>
      </w:r>
      <w:r>
        <w:rPr>
          <w:rFonts w:hint="eastAsia" w:asciiTheme="minorEastAsia" w:hAnsiTheme="minorEastAsia" w:eastAsiaTheme="minorEastAsia" w:cstheme="minorEastAsia"/>
          <w:b/>
          <w:color w:val="auto"/>
          <w:sz w:val="24"/>
          <w:szCs w:val="24"/>
          <w:highlight w:val="none"/>
        </w:rPr>
        <w:t>要求</w:t>
      </w:r>
      <w:bookmarkEnd w:id="26"/>
    </w:p>
    <w:p>
      <w:pPr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="0" w:firstLine="42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具备电力系统（远动业务、PMU业务）调度数据网、2M专线调试经验。（需提供近3年同类项目合同复印件）</w:t>
      </w:r>
    </w:p>
    <w:p>
      <w:pPr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="0" w:firstLine="42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项目团队需包含网络工程师、自动化调试工程师，主要技术人员需具</w:t>
      </w:r>
      <w:bookmarkStart w:id="44" w:name="_GoBack"/>
      <w:bookmarkEnd w:id="44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备3年以上同类项目经验。（需提供主要技术人员3年以上同类项目工作经验证明材料）</w:t>
      </w:r>
    </w:p>
    <w:p>
      <w:pPr>
        <w:pStyle w:val="3"/>
        <w:numPr>
          <w:ilvl w:val="0"/>
          <w:numId w:val="0"/>
        </w:numPr>
        <w:ind w:leftChars="0"/>
        <w:rPr>
          <w:rFonts w:hint="default" w:ascii="Times New Roman" w:hAnsi="Times New Roman" w:eastAsia="黑体" w:cs="Times New Roman"/>
          <w:b/>
          <w:sz w:val="24"/>
          <w:szCs w:val="24"/>
          <w:highlight w:val="none"/>
          <w:lang w:val="en-US" w:eastAsia="zh-CN"/>
        </w:rPr>
      </w:pPr>
      <w:bookmarkStart w:id="27" w:name="_Toc495327716"/>
      <w:bookmarkEnd w:id="27"/>
      <w:bookmarkStart w:id="28" w:name="_Toc496193431"/>
      <w:bookmarkEnd w:id="28"/>
      <w:bookmarkStart w:id="29" w:name="_Toc7419"/>
      <w:bookmarkEnd w:id="29"/>
      <w:bookmarkStart w:id="30" w:name="_Toc14346"/>
      <w:bookmarkStart w:id="31" w:name="_Toc29010"/>
      <w:bookmarkStart w:id="32" w:name="_Toc9337"/>
      <w:r>
        <w:rPr>
          <w:rFonts w:hint="eastAsia" w:eastAsia="黑体" w:cs="Times New Roman"/>
          <w:b/>
          <w:sz w:val="24"/>
          <w:szCs w:val="24"/>
          <w:highlight w:val="none"/>
          <w:lang w:val="en-US" w:eastAsia="zh-CN"/>
        </w:rPr>
        <w:t>五</w:t>
      </w:r>
      <w:r>
        <w:rPr>
          <w:rFonts w:hint="eastAsia" w:ascii="Times New Roman" w:hAnsi="Times New Roman" w:eastAsia="黑体" w:cs="Times New Roman"/>
          <w:b/>
          <w:sz w:val="24"/>
          <w:szCs w:val="24"/>
          <w:highlight w:val="none"/>
          <w:lang w:val="en-US" w:eastAsia="zh-CN"/>
        </w:rPr>
        <w:t>、</w:t>
      </w:r>
      <w:bookmarkEnd w:id="30"/>
      <w:bookmarkEnd w:id="31"/>
      <w:bookmarkEnd w:id="32"/>
      <w:r>
        <w:rPr>
          <w:rFonts w:hint="eastAsia" w:eastAsia="黑体" w:cs="Times New Roman"/>
          <w:b/>
          <w:sz w:val="24"/>
          <w:szCs w:val="24"/>
          <w:highlight w:val="none"/>
          <w:lang w:val="en-US" w:eastAsia="zh-CN"/>
        </w:rPr>
        <w:t>服务要求</w:t>
      </w:r>
    </w:p>
    <w:p>
      <w:pPr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="0" w:firstLine="42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33" w:name="_Toc8626"/>
      <w:bookmarkStart w:id="34" w:name="_Toc305941561"/>
      <w:bookmarkStart w:id="35" w:name="_Toc285718339"/>
      <w:bookmarkStart w:id="36" w:name="_Toc417246376"/>
      <w:bookmarkStart w:id="37" w:name="_Toc285706675"/>
      <w:bookmarkStart w:id="38" w:name="_Toc285715832"/>
      <w:bookmarkStart w:id="39" w:name="_Toc5143"/>
      <w:bookmarkStart w:id="40" w:name="_Toc12344"/>
      <w:bookmarkStart w:id="41" w:name="_Toc305941277"/>
      <w:bookmarkStart w:id="42" w:name="_Toc417907979"/>
      <w:bookmarkStart w:id="43" w:name="_Toc423621497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工期要求：自中标通知书发出之日起10天内完成现场调试方案编制后，20天内完成现场调试。</w:t>
      </w:r>
    </w:p>
    <w:p>
      <w:pPr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="0" w:firstLine="42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t>服务响应</w:t>
      </w:r>
      <w:r>
        <w:rPr>
          <w:rFonts w:hint="eastAsia"/>
          <w:lang w:eastAsia="zh-CN"/>
        </w:rPr>
        <w:t>：</w:t>
      </w:r>
      <w:r>
        <w:t>7×24小时</w:t>
      </w:r>
      <w:r>
        <w:rPr>
          <w:rFonts w:hint="eastAsia"/>
          <w:lang w:val="en-US" w:eastAsia="zh-CN"/>
        </w:rPr>
        <w:t>远程</w:t>
      </w:r>
      <w:r>
        <w:t>技术支持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24小时现场技术支持。</w:t>
      </w:r>
    </w:p>
    <w:p>
      <w:pPr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="0" w:firstLine="42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验收标准：</w:t>
      </w:r>
      <w:r>
        <w:t>所有业务通道正常</w:t>
      </w:r>
      <w:r>
        <w:rPr>
          <w:rFonts w:hint="eastAsia"/>
          <w:lang w:val="en-US" w:eastAsia="zh-CN"/>
        </w:rPr>
        <w:t>通信</w:t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3"/>
        <w:numPr>
          <w:ilvl w:val="0"/>
          <w:numId w:val="0"/>
        </w:numPr>
        <w:ind w:leftChars="0"/>
        <w:rPr>
          <w:rFonts w:hint="default" w:ascii="Times New Roman" w:hAnsi="Times New Roman" w:eastAsia="黑体" w:cs="Times New Roman"/>
          <w:b/>
          <w:sz w:val="24"/>
          <w:szCs w:val="24"/>
          <w:highlight w:val="none"/>
          <w:lang w:eastAsia="zh-CN"/>
        </w:rPr>
      </w:pPr>
      <w:r>
        <w:rPr>
          <w:rFonts w:hint="eastAsia" w:eastAsia="黑体" w:cs="Times New Roman"/>
          <w:b/>
          <w:sz w:val="24"/>
          <w:szCs w:val="24"/>
          <w:highlight w:val="none"/>
          <w:lang w:val="en-US" w:eastAsia="zh-CN"/>
        </w:rPr>
        <w:t>六</w:t>
      </w:r>
      <w:r>
        <w:rPr>
          <w:rFonts w:hint="eastAsia" w:ascii="Times New Roman" w:hAnsi="Times New Roman" w:eastAsia="黑体" w:cs="Times New Roman"/>
          <w:b/>
          <w:sz w:val="24"/>
          <w:szCs w:val="24"/>
          <w:highlight w:val="none"/>
          <w:lang w:val="en-US" w:eastAsia="zh-CN"/>
        </w:rPr>
        <w:t>、</w:t>
      </w:r>
      <w:r>
        <w:rPr>
          <w:rFonts w:hint="default" w:ascii="Times New Roman" w:hAnsi="Times New Roman" w:eastAsia="黑体" w:cs="Times New Roman"/>
          <w:b/>
          <w:sz w:val="24"/>
          <w:szCs w:val="24"/>
          <w:highlight w:val="none"/>
          <w:lang w:eastAsia="zh-CN"/>
        </w:rPr>
        <w:t>附录</w:t>
      </w:r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after="0" w:line="360" w:lineRule="auto"/>
        <w:ind w:firstLine="420" w:firstLineChars="200"/>
        <w:textAlignment w:val="auto"/>
        <w:rPr>
          <w:rFonts w:hint="eastAsia" w:asciiTheme="minorEastAsia" w:hAnsiTheme="minorEastAsia" w:eastAsiaTheme="minorEastAsia" w:cstheme="minorEastAsia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val="en-US" w:eastAsia="zh-CN"/>
        </w:rPr>
        <w:t>附件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 xml:space="preserve">1   </w:t>
      </w:r>
      <w:r>
        <w:rPr>
          <w:rFonts w:hint="eastAsia" w:asciiTheme="minorEastAsia" w:hAnsiTheme="minorEastAsia" w:eastAsiaTheme="minorEastAsia" w:cstheme="minorEastAsia"/>
          <w:color w:val="auto"/>
          <w:szCs w:val="22"/>
          <w:highlight w:val="none"/>
          <w:lang w:val="en-US" w:eastAsia="zh-CN"/>
        </w:rPr>
        <w:t>海蓄电站厂站设备接入海南中调新一代OCS系统联调接入技术服务项目报价明细表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（投标方填写）</w:t>
      </w:r>
    </w:p>
    <w:p/>
    <w:sectPr>
      <w:pgSz w:w="11906" w:h="16838"/>
      <w:pgMar w:top="1440" w:right="1800" w:bottom="1440" w:left="1800" w:header="851" w:footer="992" w:gutter="0"/>
      <w:cols w:space="425" w:num="1"/>
      <w:docGrid w:linePitch="28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tabs>
        <w:tab w:val="left" w:pos="1465"/>
        <w:tab w:val="clear" w:pos="4153"/>
        <w:tab w:val="clear" w:pos="8306"/>
      </w:tabs>
    </w:pPr>
    <w:r>
      <w:tab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926A2A"/>
    <w:multiLevelType w:val="singleLevel"/>
    <w:tmpl w:val="DC926A2A"/>
    <w:lvl w:ilvl="0" w:tentative="0">
      <w:start w:val="1"/>
      <w:numFmt w:val="decimal"/>
      <w:suff w:val="nothing"/>
      <w:lvlText w:val="%1）"/>
      <w:lvlJc w:val="left"/>
    </w:lvl>
  </w:abstractNum>
  <w:abstractNum w:abstractNumId="1">
    <w:nsid w:val="0C2797F2"/>
    <w:multiLevelType w:val="singleLevel"/>
    <w:tmpl w:val="0C2797F2"/>
    <w:lvl w:ilvl="0" w:tentative="0">
      <w:start w:val="1"/>
      <w:numFmt w:val="decimal"/>
      <w:suff w:val="nothing"/>
      <w:lvlText w:val="%1）"/>
      <w:lvlJc w:val="left"/>
    </w:lvl>
  </w:abstractNum>
  <w:abstractNum w:abstractNumId="2">
    <w:nsid w:val="193083F8"/>
    <w:multiLevelType w:val="singleLevel"/>
    <w:tmpl w:val="193083F8"/>
    <w:lvl w:ilvl="0" w:tentative="0">
      <w:start w:val="1"/>
      <w:numFmt w:val="decimal"/>
      <w:suff w:val="nothing"/>
      <w:lvlText w:val="%1）"/>
      <w:lvlJc w:val="left"/>
    </w:lvl>
  </w:abstractNum>
  <w:abstractNum w:abstractNumId="3">
    <w:nsid w:val="389FE9B9"/>
    <w:multiLevelType w:val="singleLevel"/>
    <w:tmpl w:val="389FE9B9"/>
    <w:lvl w:ilvl="0" w:tentative="0">
      <w:start w:val="1"/>
      <w:numFmt w:val="decimal"/>
      <w:suff w:val="nothing"/>
      <w:lvlText w:val="%1）"/>
      <w:lvlJc w:val="left"/>
    </w:lvl>
  </w:abstractNum>
  <w:abstractNum w:abstractNumId="4">
    <w:nsid w:val="7CD50F46"/>
    <w:multiLevelType w:val="singleLevel"/>
    <w:tmpl w:val="7CD50F46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2B2500"/>
    <w:rsid w:val="13236B52"/>
    <w:rsid w:val="1C454316"/>
    <w:rsid w:val="1ED8781E"/>
    <w:rsid w:val="298974EE"/>
    <w:rsid w:val="2EB2611B"/>
    <w:rsid w:val="4C2B2500"/>
    <w:rsid w:val="633F3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line="360" w:lineRule="auto"/>
      <w:outlineLvl w:val="0"/>
    </w:pPr>
    <w:rPr>
      <w:bCs/>
      <w:kern w:val="44"/>
      <w:sz w:val="32"/>
      <w:szCs w:val="44"/>
    </w:rPr>
  </w:style>
  <w:style w:type="paragraph" w:styleId="4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 w:afterLines="0" w:afterAutospacing="0"/>
    </w:pPr>
  </w:style>
  <w:style w:type="paragraph" w:styleId="5">
    <w:name w:val="Plain Text"/>
    <w:basedOn w:val="1"/>
    <w:qFormat/>
    <w:uiPriority w:val="0"/>
    <w:rPr>
      <w:rFonts w:ascii="宋体" w:hAnsi="Courier New"/>
      <w:kern w:val="0"/>
      <w:sz w:val="20"/>
      <w:szCs w:val="20"/>
    </w:rPr>
  </w:style>
  <w:style w:type="paragraph" w:styleId="6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9">
    <w:name w:val="首行缩进"/>
    <w:basedOn w:val="1"/>
    <w:qFormat/>
    <w:uiPriority w:val="99"/>
    <w:pPr>
      <w:spacing w:line="300" w:lineRule="auto"/>
      <w:ind w:firstLine="420" w:firstLineChars="200"/>
    </w:pPr>
    <w:rPr>
      <w:rFonts w:eastAsia="方正书宋简体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2026-03-16T08:46:00Z</dcterms:created>
  <dc:creator>tanying.hn</dc:creator>
  <cp:lastModifiedBy>tanying.hn</cp:lastModifiedBy>
  <dcterms:modified xsi:type="dcterms:W3CDTF">2026-03-19T08:38:49Z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52F50B9902024565B4CB2B46870B339E</vt:lpwstr>
  </property>
</Properties>
</file>