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8057B3">
      <w:pPr>
        <w:rPr>
          <w:rFonts w:hint="eastAsia" w:ascii="微软雅黑" w:hAnsi="微软雅黑" w:eastAsia="微软雅黑"/>
        </w:rPr>
      </w:pPr>
      <w:bookmarkStart w:id="0" w:name="_GoBack"/>
      <w:bookmarkEnd w:id="0"/>
    </w:p>
    <w:p w14:paraId="287BAA61">
      <w:pPr>
        <w:ind w:firstLine="420" w:firstLineChars="200"/>
        <w:rPr>
          <w:rFonts w:hint="eastAsia" w:ascii="微软雅黑" w:hAnsi="微软雅黑" w:eastAsia="微软雅黑"/>
        </w:rPr>
      </w:pPr>
      <w:r>
        <w:rPr>
          <w:rFonts w:ascii="微软雅黑" w:hAnsi="微软雅黑" w:eastAsia="微软雅黑"/>
        </w:rPr>
        <w:t>广东电网有限责任公司东莞供电局2025年“大容量电池储能安全管控与高效运行关键技术研究”等3项创新项目技术服务公开招标</w:t>
      </w:r>
      <w:r>
        <w:rPr>
          <w:rFonts w:hint="eastAsia" w:ascii="微软雅黑" w:hAnsi="微软雅黑" w:eastAsia="微软雅黑"/>
        </w:rPr>
        <w:t>，标的1“</w:t>
      </w:r>
      <w:r>
        <w:rPr>
          <w:rFonts w:ascii="微软雅黑" w:hAnsi="微软雅黑" w:eastAsia="微软雅黑"/>
        </w:rPr>
        <w:t>大容量电池储能安全管控与高效运行关键技术研究科技项目设备试制服务采购</w:t>
      </w:r>
      <w:r>
        <w:rPr>
          <w:rFonts w:hint="eastAsia" w:ascii="微软雅黑" w:hAnsi="微软雅黑" w:eastAsia="微软雅黑"/>
        </w:rPr>
        <w:t>”的澄清内容：</w:t>
      </w:r>
    </w:p>
    <w:p w14:paraId="77C5953C">
      <w:pPr>
        <w:pStyle w:val="34"/>
        <w:numPr>
          <w:ilvl w:val="0"/>
          <w:numId w:val="1"/>
        </w:numPr>
        <w:rPr>
          <w:rFonts w:hint="eastAsia" w:ascii="微软雅黑" w:hAnsi="微软雅黑" w:eastAsia="微软雅黑"/>
        </w:rPr>
      </w:pPr>
      <w:r>
        <w:rPr>
          <w:rFonts w:hint="eastAsia" w:ascii="微软雅黑" w:hAnsi="微软雅黑" w:eastAsia="微软雅黑"/>
        </w:rPr>
        <w:t>技术规范书第3章主要技术指标要求3.1.1通用要求，新增条款：</w:t>
      </w:r>
    </w:p>
    <w:p w14:paraId="2411C8AB">
      <w:pPr>
        <w:pStyle w:val="34"/>
        <w:ind w:left="0"/>
        <w:rPr>
          <w:rFonts w:hint="eastAsia" w:ascii="微软雅黑" w:hAnsi="微软雅黑" w:eastAsia="微软雅黑"/>
        </w:rPr>
      </w:pPr>
      <w:r>
        <w:rPr>
          <w:rFonts w:hint="eastAsia" w:ascii="微软雅黑" w:hAnsi="微软雅黑" w:eastAsia="微软雅黑"/>
        </w:rPr>
        <w:t>3.1.1 通用要求</w:t>
      </w:r>
    </w:p>
    <w:p w14:paraId="2FD6E016">
      <w:pPr>
        <w:ind w:firstLine="480"/>
        <w:rPr>
          <w:rFonts w:hint="eastAsia" w:ascii="微软雅黑" w:hAnsi="微软雅黑" w:eastAsia="微软雅黑"/>
        </w:rPr>
      </w:pPr>
      <w:r>
        <w:rPr>
          <w:rFonts w:ascii="微软雅黑" w:hAnsi="微软雅黑" w:eastAsia="微软雅黑"/>
        </w:rPr>
        <w:t>12</w:t>
      </w:r>
      <w:r>
        <w:rPr>
          <w:rFonts w:hint="eastAsia" w:ascii="微软雅黑" w:hAnsi="微软雅黑" w:eastAsia="微软雅黑"/>
        </w:rPr>
        <w:t>）电池管理系统需要具备电压控制功能、簇电量均衡功能、电池模组级全电流均衡功能、簇独立切除保护功能、堆电压控制功能。</w:t>
      </w:r>
    </w:p>
    <w:p w14:paraId="50B45EBF">
      <w:pPr>
        <w:rPr>
          <w:rFonts w:hint="eastAsia" w:ascii="微软雅黑" w:hAnsi="微软雅黑" w:eastAsia="微软雅黑"/>
        </w:rPr>
      </w:pPr>
      <w:r>
        <w:rPr>
          <w:rFonts w:hint="eastAsia" w:ascii="微软雅黑" w:hAnsi="微软雅黑" w:eastAsia="微软雅黑"/>
        </w:rPr>
        <w:t>2、技术规范书第3章主要技术指标要求3.4.1电池管理功能要求，新增条款：</w:t>
      </w:r>
    </w:p>
    <w:p w14:paraId="3AEC6FCE">
      <w:pPr>
        <w:rPr>
          <w:rFonts w:hint="eastAsia" w:ascii="微软雅黑" w:hAnsi="微软雅黑" w:eastAsia="微软雅黑"/>
        </w:rPr>
      </w:pPr>
      <w:r>
        <w:rPr>
          <w:rFonts w:hint="eastAsia" w:ascii="微软雅黑" w:hAnsi="微软雅黑" w:eastAsia="微软雅黑"/>
        </w:rPr>
        <w:t>3.4.1 电池管理功能要求</w:t>
      </w:r>
    </w:p>
    <w:p w14:paraId="18C1894F">
      <w:pPr>
        <w:ind w:firstLine="480"/>
        <w:rPr>
          <w:rFonts w:hint="eastAsia" w:ascii="微软雅黑" w:hAnsi="微软雅黑" w:eastAsia="微软雅黑"/>
        </w:rPr>
      </w:pPr>
      <w:r>
        <w:rPr>
          <w:rFonts w:hint="eastAsia" w:ascii="微软雅黑" w:hAnsi="微软雅黑" w:eastAsia="微软雅黑"/>
        </w:rPr>
        <w:t>19）簇电量均衡功能：电池管理系统应能够主动发现簇间电量状态差异，自动均衡簇间电量，保证电量一致性。</w:t>
      </w:r>
    </w:p>
    <w:p w14:paraId="53BD5000">
      <w:pPr>
        <w:ind w:firstLine="480"/>
        <w:rPr>
          <w:rFonts w:hint="eastAsia" w:ascii="微软雅黑" w:hAnsi="微软雅黑" w:eastAsia="微软雅黑"/>
        </w:rPr>
      </w:pPr>
      <w:r>
        <w:rPr>
          <w:rFonts w:hint="eastAsia" w:ascii="微软雅黑" w:hAnsi="微软雅黑" w:eastAsia="微软雅黑"/>
        </w:rPr>
        <w:t>20）电池模组级全电流均衡功能：电池管理系统应能够主动发现电池模块间电量状态差异，自动均衡簇间电量，保证电量一致性。</w:t>
      </w:r>
    </w:p>
    <w:p w14:paraId="20B2E199">
      <w:pPr>
        <w:ind w:firstLine="480"/>
        <w:rPr>
          <w:rFonts w:hint="eastAsia" w:ascii="微软雅黑" w:hAnsi="微软雅黑" w:eastAsia="微软雅黑"/>
        </w:rPr>
      </w:pPr>
      <w:r>
        <w:rPr>
          <w:rFonts w:hint="eastAsia" w:ascii="微软雅黑" w:hAnsi="微软雅黑" w:eastAsia="微软雅黑"/>
        </w:rPr>
        <w:t>21）簇独立切除保护功能：电池管理系统应能够主动识别电池簇的状态，自动切除故障电池簇，当电池簇恢复正常后，自动重启投入应用。</w:t>
      </w:r>
    </w:p>
    <w:p w14:paraId="7C22B7D7">
      <w:pPr>
        <w:ind w:firstLine="480"/>
        <w:rPr>
          <w:rFonts w:hint="eastAsia" w:ascii="微软雅黑" w:hAnsi="微软雅黑" w:eastAsia="微软雅黑"/>
        </w:rPr>
      </w:pPr>
      <w:r>
        <w:rPr>
          <w:rFonts w:hint="eastAsia" w:ascii="微软雅黑" w:hAnsi="微软雅黑" w:eastAsia="微软雅黑"/>
        </w:rPr>
        <w:t>22）堆电压控制功能：电池管理系统应能控制整堆电压，保证直流侧电压的稳定。</w:t>
      </w:r>
    </w:p>
    <w:p w14:paraId="57508DBA">
      <w:pPr>
        <w:rPr>
          <w:rFonts w:hint="eastAsia" w:ascii="微软雅黑" w:hAnsi="微软雅黑" w:eastAsia="微软雅黑"/>
        </w:rPr>
      </w:pPr>
      <w:r>
        <w:rPr>
          <w:rFonts w:hint="eastAsia" w:ascii="微软雅黑" w:hAnsi="微软雅黑" w:eastAsia="微软雅黑"/>
        </w:rPr>
        <w:t>3、技术规范书第3章主要技术指标要求新增3.11产品移动技术要求，新增条款：</w:t>
      </w:r>
    </w:p>
    <w:p w14:paraId="6BAC098E">
      <w:pPr>
        <w:autoSpaceDE w:val="0"/>
        <w:autoSpaceDN w:val="0"/>
        <w:adjustRightInd w:val="0"/>
        <w:spacing w:before="48"/>
        <w:ind w:right="-20"/>
        <w:jc w:val="left"/>
        <w:rPr>
          <w:rFonts w:hint="eastAsia" w:ascii="微软雅黑" w:hAnsi="微软雅黑" w:eastAsia="微软雅黑"/>
        </w:rPr>
      </w:pPr>
      <w:r>
        <w:rPr>
          <w:rFonts w:hint="eastAsia" w:ascii="微软雅黑" w:hAnsi="微软雅黑" w:eastAsia="微软雅黑"/>
        </w:rPr>
        <w:t>3.11.1 样机</w:t>
      </w:r>
      <w:r>
        <w:rPr>
          <w:rFonts w:hint="eastAsia" w:ascii="微软雅黑" w:hAnsi="微软雅黑" w:eastAsia="微软雅黑" w:cs="宋体"/>
          <w:kern w:val="0"/>
          <w:szCs w:val="21"/>
        </w:rPr>
        <w:t>集装箱体力学仿真报告</w:t>
      </w:r>
    </w:p>
    <w:p w14:paraId="252456A1">
      <w:pPr>
        <w:autoSpaceDE w:val="0"/>
        <w:autoSpaceDN w:val="0"/>
        <w:adjustRightInd w:val="0"/>
        <w:spacing w:before="48"/>
        <w:ind w:right="-20" w:firstLine="482"/>
        <w:jc w:val="left"/>
        <w:rPr>
          <w:rFonts w:hint="eastAsia" w:ascii="微软雅黑" w:hAnsi="微软雅黑" w:eastAsia="微软雅黑" w:cs="宋体"/>
          <w:kern w:val="0"/>
          <w:szCs w:val="21"/>
        </w:rPr>
      </w:pPr>
      <w:r>
        <w:rPr>
          <w:rFonts w:ascii="微软雅黑" w:hAnsi="微软雅黑" w:eastAsia="微软雅黑"/>
        </w:rPr>
        <w:t xml:space="preserve">1MW/2MWh </w:t>
      </w:r>
      <w:r>
        <w:rPr>
          <w:rFonts w:hint="eastAsia" w:ascii="微软雅黑" w:hAnsi="微软雅黑" w:eastAsia="微软雅黑"/>
        </w:rPr>
        <w:t>兆瓦级电池储能系统样机转移时需要具备抗振动能力，需要提供</w:t>
      </w:r>
      <w:r>
        <w:rPr>
          <w:rFonts w:hint="eastAsia" w:ascii="微软雅黑" w:hAnsi="微软雅黑" w:eastAsia="微软雅黑" w:cs="宋体"/>
          <w:kern w:val="0"/>
          <w:szCs w:val="21"/>
        </w:rPr>
        <w:t>集装箱体的力学仿真报告，仿真报告需包含以下分析：顶部吊装工况分析（基于IS01496-1国际标准）、底部吊装工况分析（基于IS01496-1国际标准）、横/纵向刚性推拉海运工况分析（基于IS01496-1国际标准）、纵向栓固推拉陆运工况分析（基于IS01496-1国际标准）、9烈度地震工况分析（基于《GB50260-2013电力设施抗震设计规范》）、车载运输随机振动工况分析（基于《GBT4857.23-2012包装运输包装件基本试验第23部分:10随机振动试验方法》）。</w:t>
      </w:r>
    </w:p>
    <w:p w14:paraId="121C5865">
      <w:pPr>
        <w:autoSpaceDE w:val="0"/>
        <w:autoSpaceDN w:val="0"/>
        <w:adjustRightInd w:val="0"/>
        <w:spacing w:before="48"/>
        <w:ind w:right="-20"/>
        <w:jc w:val="left"/>
        <w:rPr>
          <w:rFonts w:hint="eastAsia" w:ascii="微软雅黑" w:hAnsi="微软雅黑" w:eastAsia="微软雅黑" w:cs="宋体"/>
          <w:kern w:val="0"/>
          <w:szCs w:val="21"/>
        </w:rPr>
      </w:pPr>
      <w:r>
        <w:rPr>
          <w:rFonts w:hint="eastAsia" w:ascii="微软雅黑" w:hAnsi="微软雅黑" w:eastAsia="微软雅黑"/>
        </w:rPr>
        <w:t>3.11.2 样机</w:t>
      </w:r>
      <w:r>
        <w:rPr>
          <w:rFonts w:hint="eastAsia" w:ascii="微软雅黑" w:hAnsi="微软雅黑" w:eastAsia="微软雅黑" w:cs="宋体"/>
          <w:kern w:val="0"/>
          <w:szCs w:val="21"/>
        </w:rPr>
        <w:t>试验报告</w:t>
      </w:r>
    </w:p>
    <w:p w14:paraId="7E1C218C">
      <w:pPr>
        <w:autoSpaceDE w:val="0"/>
        <w:autoSpaceDN w:val="0"/>
        <w:adjustRightInd w:val="0"/>
        <w:spacing w:before="48"/>
        <w:ind w:right="-20" w:firstLine="480"/>
        <w:jc w:val="left"/>
        <w:rPr>
          <w:rFonts w:hint="eastAsia" w:ascii="微软雅黑" w:hAnsi="微软雅黑" w:eastAsia="微软雅黑" w:cs="宋体"/>
          <w:kern w:val="0"/>
          <w:szCs w:val="21"/>
        </w:rPr>
      </w:pPr>
      <w:r>
        <w:rPr>
          <w:rFonts w:hint="eastAsia" w:ascii="微软雅黑" w:hAnsi="微软雅黑" w:eastAsia="微软雅黑" w:cs="宋体"/>
          <w:kern w:val="0"/>
          <w:szCs w:val="21"/>
        </w:rPr>
        <w:t>所使用储能变流器具备移动抗震能力，需要提供既往储能变流器产品具备移动能力的相关第三方权威测试机构出具的CNAS试验报告，试验报告需包含以下工况：随机振动试验、正弦振动试验、碰撞试验、跌落试验、运输试验、冲击试验。</w:t>
      </w:r>
    </w:p>
    <w:p w14:paraId="7D615325">
      <w:pPr>
        <w:rPr>
          <w:rFonts w:hint="eastAsia" w:ascii="微软雅黑" w:hAnsi="微软雅黑" w:eastAsia="微软雅黑"/>
        </w:rPr>
      </w:pPr>
      <w:r>
        <w:rPr>
          <w:rFonts w:hint="eastAsia" w:ascii="微软雅黑" w:hAnsi="微软雅黑" w:eastAsia="微软雅黑"/>
        </w:rPr>
        <w:t>4、技术规范书第3章主要技术指标要求新增3.12 产品的调试、测试要求，新增条款：</w:t>
      </w:r>
    </w:p>
    <w:p w14:paraId="3FAEF14C">
      <w:pPr>
        <w:autoSpaceDE w:val="0"/>
        <w:autoSpaceDN w:val="0"/>
        <w:adjustRightInd w:val="0"/>
        <w:spacing w:before="48"/>
        <w:ind w:right="-20"/>
        <w:jc w:val="left"/>
        <w:rPr>
          <w:rFonts w:hint="eastAsia" w:ascii="微软雅黑" w:hAnsi="微软雅黑" w:eastAsia="微软雅黑" w:cs="宋体"/>
          <w:kern w:val="0"/>
          <w:szCs w:val="21"/>
        </w:rPr>
      </w:pPr>
      <w:r>
        <w:rPr>
          <w:rFonts w:hint="eastAsia" w:ascii="微软雅黑" w:hAnsi="微软雅黑" w:eastAsia="微软雅黑" w:cs="宋体"/>
          <w:kern w:val="0"/>
          <w:szCs w:val="21"/>
        </w:rPr>
        <w:t>3.12 产品的调试、测试要求</w:t>
      </w:r>
    </w:p>
    <w:p w14:paraId="7CC8083E">
      <w:pPr>
        <w:pStyle w:val="12"/>
        <w:ind w:firstLine="420"/>
        <w:rPr>
          <w:rFonts w:hint="eastAsia" w:ascii="微软雅黑" w:hAnsi="微软雅黑" w:eastAsia="微软雅黑" w:cs="宋体"/>
          <w:sz w:val="21"/>
          <w:szCs w:val="21"/>
        </w:rPr>
      </w:pPr>
      <w:r>
        <w:rPr>
          <w:rFonts w:hint="eastAsia" w:ascii="微软雅黑" w:hAnsi="微软雅黑" w:eastAsia="微软雅黑" w:cs="宋体"/>
          <w:sz w:val="21"/>
          <w:szCs w:val="21"/>
        </w:rPr>
        <w:t>电池管理系统的测试验证必须包含以下测试：</w:t>
      </w:r>
    </w:p>
    <w:p w14:paraId="20F13846">
      <w:pPr>
        <w:pStyle w:val="12"/>
        <w:ind w:firstLine="420"/>
        <w:rPr>
          <w:rFonts w:hint="eastAsia" w:ascii="微软雅黑" w:hAnsi="微软雅黑" w:eastAsia="微软雅黑" w:cs="宋体"/>
          <w:sz w:val="21"/>
          <w:szCs w:val="21"/>
        </w:rPr>
      </w:pPr>
      <w:r>
        <w:rPr>
          <w:rFonts w:hint="eastAsia" w:ascii="微软雅黑" w:hAnsi="微软雅黑" w:eastAsia="微软雅黑" w:cs="宋体"/>
          <w:sz w:val="21"/>
          <w:szCs w:val="21"/>
        </w:rPr>
        <w:t>1）模拟电池包异常进行更换，新更换电池包SOC严重不一致，系统可主动调节，均衡电量，保证均衡后包间电量SOC差小于</w:t>
      </w:r>
      <w:r>
        <w:rPr>
          <w:rFonts w:ascii="微软雅黑" w:hAnsi="微软雅黑" w:eastAsia="微软雅黑" w:cs="宋体"/>
          <w:sz w:val="21"/>
          <w:szCs w:val="21"/>
        </w:rPr>
        <w:t>3%</w:t>
      </w:r>
      <w:r>
        <w:rPr>
          <w:rFonts w:hint="eastAsia" w:ascii="微软雅黑" w:hAnsi="微软雅黑" w:eastAsia="微软雅黑" w:cs="宋体"/>
          <w:sz w:val="21"/>
          <w:szCs w:val="21"/>
        </w:rPr>
        <w:t>。</w:t>
      </w:r>
    </w:p>
    <w:p w14:paraId="610891BF">
      <w:pPr>
        <w:pStyle w:val="12"/>
        <w:ind w:firstLine="420"/>
        <w:rPr>
          <w:rFonts w:hint="eastAsia" w:ascii="微软雅黑" w:hAnsi="微软雅黑" w:eastAsia="微软雅黑" w:cs="宋体"/>
          <w:sz w:val="21"/>
          <w:szCs w:val="21"/>
        </w:rPr>
      </w:pPr>
      <w:r>
        <w:rPr>
          <w:rFonts w:hint="eastAsia" w:ascii="微软雅黑" w:hAnsi="微软雅黑" w:eastAsia="微软雅黑" w:cs="宋体"/>
          <w:sz w:val="21"/>
          <w:szCs w:val="21"/>
        </w:rPr>
        <w:t>2）模拟电池簇异常进行更换，新更换电池簇电量与其他簇严重不一致，系统可主动调节，均衡电量，保证均衡后簇间电量SOC差小于</w:t>
      </w:r>
      <w:r>
        <w:rPr>
          <w:rFonts w:ascii="微软雅黑" w:hAnsi="微软雅黑" w:eastAsia="微软雅黑" w:cs="宋体"/>
          <w:sz w:val="21"/>
          <w:szCs w:val="21"/>
        </w:rPr>
        <w:t>3%</w:t>
      </w:r>
      <w:r>
        <w:rPr>
          <w:rFonts w:hint="eastAsia" w:ascii="微软雅黑" w:hAnsi="微软雅黑" w:eastAsia="微软雅黑" w:cs="宋体"/>
          <w:sz w:val="21"/>
          <w:szCs w:val="21"/>
        </w:rPr>
        <w:t>。</w:t>
      </w:r>
    </w:p>
    <w:p w14:paraId="20CC2EB2">
      <w:pPr>
        <w:pStyle w:val="12"/>
        <w:ind w:firstLine="420"/>
        <w:rPr>
          <w:rFonts w:hint="eastAsia" w:ascii="微软雅黑" w:hAnsi="微软雅黑" w:eastAsia="微软雅黑" w:cs="宋体"/>
          <w:sz w:val="21"/>
          <w:szCs w:val="21"/>
        </w:rPr>
      </w:pPr>
      <w:r>
        <w:rPr>
          <w:rFonts w:hint="eastAsia" w:ascii="微软雅黑" w:hAnsi="微软雅黑" w:eastAsia="微软雅黑" w:cs="宋体"/>
          <w:sz w:val="21"/>
          <w:szCs w:val="21"/>
        </w:rPr>
        <w:t>3）系统正常运行情况下，模拟电池簇异常故障，系统可快速独立切除异常故障电池簇，不导致系统停运。</w:t>
      </w:r>
    </w:p>
    <w:p w14:paraId="189566D7">
      <w:pPr>
        <w:rPr>
          <w:rFonts w:hint="eastAsia" w:ascii="微软雅黑" w:hAnsi="微软雅黑" w:eastAsia="微软雅黑"/>
        </w:rPr>
      </w:pPr>
    </w:p>
    <w:p w14:paraId="58EBDB0F">
      <w:pPr>
        <w:rPr>
          <w:rFonts w:hint="eastAsia" w:ascii="微软雅黑" w:hAnsi="微软雅黑" w:eastAsia="微软雅黑"/>
        </w:rPr>
      </w:pPr>
    </w:p>
    <w:p w14:paraId="0350E831">
      <w:pPr>
        <w:rPr>
          <w:rFonts w:hint="eastAsia" w:ascii="微软雅黑" w:hAnsi="微软雅黑" w:eastAsia="微软雅黑"/>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6DE692E"/>
    <w:multiLevelType w:val="multilevel"/>
    <w:tmpl w:val="46DE692E"/>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1B30"/>
    <w:rsid w:val="000743F3"/>
    <w:rsid w:val="00213ED5"/>
    <w:rsid w:val="002D35B2"/>
    <w:rsid w:val="0031290C"/>
    <w:rsid w:val="00322701"/>
    <w:rsid w:val="00356012"/>
    <w:rsid w:val="00510283"/>
    <w:rsid w:val="005625C2"/>
    <w:rsid w:val="00596D71"/>
    <w:rsid w:val="00991F23"/>
    <w:rsid w:val="00A95D91"/>
    <w:rsid w:val="00B01B30"/>
    <w:rsid w:val="00B12741"/>
    <w:rsid w:val="00B6278F"/>
    <w:rsid w:val="00BF17D0"/>
    <w:rsid w:val="00BF69E0"/>
    <w:rsid w:val="00C6261F"/>
    <w:rsid w:val="00D102A5"/>
    <w:rsid w:val="00E219F0"/>
    <w:rsid w:val="00E64719"/>
    <w:rsid w:val="00E853E8"/>
    <w:rsid w:val="00EE2366"/>
    <w:rsid w:val="06E21639"/>
    <w:rsid w:val="0E3A5F93"/>
    <w:rsid w:val="13CD03FF"/>
    <w:rsid w:val="1B271751"/>
    <w:rsid w:val="256B0AD6"/>
    <w:rsid w:val="2701405F"/>
    <w:rsid w:val="285E1492"/>
    <w:rsid w:val="2EC86B30"/>
    <w:rsid w:val="3DA452C5"/>
    <w:rsid w:val="44E24D0F"/>
    <w:rsid w:val="4895369A"/>
    <w:rsid w:val="617965C7"/>
    <w:rsid w:val="640A37E9"/>
    <w:rsid w:val="6B621B28"/>
    <w:rsid w:val="6FC420A8"/>
    <w:rsid w:val="762E006E"/>
    <w:rsid w:val="77793C35"/>
    <w:rsid w:val="778362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1"/>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2"/>
    <w:unhideWhenUsed/>
    <w:qFormat/>
    <w:uiPriority w:val="0"/>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3"/>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4"/>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5"/>
    <w:semiHidden/>
    <w:unhideWhenUsed/>
    <w:qFormat/>
    <w:uiPriority w:val="9"/>
    <w:pPr>
      <w:keepNext/>
      <w:keepLines/>
      <w:spacing w:before="80" w:after="40"/>
      <w:outlineLvl w:val="4"/>
    </w:pPr>
    <w:rPr>
      <w:rFonts w:cstheme="majorBidi"/>
      <w:color w:val="104862" w:themeColor="accent1" w:themeShade="BF"/>
      <w:sz w:val="24"/>
      <w:szCs w:val="24"/>
    </w:rPr>
  </w:style>
  <w:style w:type="paragraph" w:styleId="7">
    <w:name w:val="heading 6"/>
    <w:basedOn w:val="1"/>
    <w:next w:val="1"/>
    <w:link w:val="26"/>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7"/>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8"/>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9"/>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9">
    <w:name w:val="Default Paragraph Font"/>
    <w:semiHidden/>
    <w:unhideWhenUsed/>
    <w:uiPriority w:val="1"/>
  </w:style>
  <w:style w:type="table" w:default="1" w:styleId="18">
    <w:name w:val="Normal Table"/>
    <w:semiHidden/>
    <w:unhideWhenUsed/>
    <w:uiPriority w:val="99"/>
    <w:tblPr>
      <w:tblCellMar>
        <w:top w:w="0" w:type="dxa"/>
        <w:left w:w="108" w:type="dxa"/>
        <w:bottom w:w="0" w:type="dxa"/>
        <w:right w:w="108" w:type="dxa"/>
      </w:tblCellMar>
    </w:tblPr>
  </w:style>
  <w:style w:type="paragraph" w:styleId="11">
    <w:name w:val="annotation text"/>
    <w:basedOn w:val="1"/>
    <w:link w:val="41"/>
    <w:qFormat/>
    <w:uiPriority w:val="0"/>
    <w:pPr>
      <w:spacing w:line="360" w:lineRule="auto"/>
      <w:ind w:firstLine="1120" w:firstLineChars="200"/>
      <w:jc w:val="left"/>
    </w:pPr>
    <w:rPr>
      <w:rFonts w:ascii="Times New Roman" w:hAnsi="Times New Roman" w:eastAsia="宋体" w:cs="Times New Roman"/>
      <w:sz w:val="24"/>
      <w:szCs w:val="24"/>
    </w:rPr>
  </w:style>
  <w:style w:type="paragraph" w:styleId="12">
    <w:name w:val="Body Text Indent"/>
    <w:basedOn w:val="1"/>
    <w:next w:val="13"/>
    <w:link w:val="42"/>
    <w:qFormat/>
    <w:uiPriority w:val="0"/>
    <w:pPr>
      <w:autoSpaceDE w:val="0"/>
      <w:autoSpaceDN w:val="0"/>
      <w:adjustRightInd w:val="0"/>
      <w:spacing w:before="120" w:line="360" w:lineRule="auto"/>
      <w:ind w:firstLine="454" w:firstLineChars="200"/>
      <w:textAlignment w:val="baseline"/>
    </w:pPr>
    <w:rPr>
      <w:rFonts w:ascii="Calibri" w:hAnsi="Calibri" w:eastAsia="宋体" w:cs="Times New Roman"/>
      <w:kern w:val="0"/>
      <w:sz w:val="24"/>
      <w:szCs w:val="20"/>
    </w:rPr>
  </w:style>
  <w:style w:type="paragraph" w:styleId="13">
    <w:name w:val="envelope return"/>
    <w:basedOn w:val="1"/>
    <w:semiHidden/>
    <w:unhideWhenUsed/>
    <w:qFormat/>
    <w:uiPriority w:val="99"/>
    <w:pPr>
      <w:snapToGrid w:val="0"/>
    </w:pPr>
    <w:rPr>
      <w:rFonts w:asciiTheme="majorHAnsi" w:hAnsiTheme="majorHAnsi" w:eastAsiaTheme="majorEastAsia" w:cstheme="majorBidi"/>
    </w:rPr>
  </w:style>
  <w:style w:type="paragraph" w:styleId="14">
    <w:name w:val="footer"/>
    <w:basedOn w:val="1"/>
    <w:link w:val="40"/>
    <w:unhideWhenUsed/>
    <w:qFormat/>
    <w:uiPriority w:val="99"/>
    <w:pPr>
      <w:tabs>
        <w:tab w:val="center" w:pos="4153"/>
        <w:tab w:val="right" w:pos="8306"/>
      </w:tabs>
      <w:snapToGrid w:val="0"/>
      <w:jc w:val="left"/>
    </w:pPr>
    <w:rPr>
      <w:sz w:val="18"/>
      <w:szCs w:val="18"/>
    </w:rPr>
  </w:style>
  <w:style w:type="paragraph" w:styleId="15">
    <w:name w:val="header"/>
    <w:basedOn w:val="1"/>
    <w:link w:val="39"/>
    <w:unhideWhenUsed/>
    <w:qFormat/>
    <w:uiPriority w:val="99"/>
    <w:pPr>
      <w:tabs>
        <w:tab w:val="center" w:pos="4153"/>
        <w:tab w:val="right" w:pos="8306"/>
      </w:tabs>
      <w:snapToGrid w:val="0"/>
      <w:jc w:val="center"/>
    </w:pPr>
    <w:rPr>
      <w:sz w:val="18"/>
      <w:szCs w:val="18"/>
    </w:rPr>
  </w:style>
  <w:style w:type="paragraph" w:styleId="16">
    <w:name w:val="Subtitle"/>
    <w:basedOn w:val="1"/>
    <w:next w:val="1"/>
    <w:link w:val="31"/>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7">
    <w:name w:val="Title"/>
    <w:basedOn w:val="1"/>
    <w:next w:val="1"/>
    <w:link w:val="30"/>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styleId="20">
    <w:name w:val="annotation reference"/>
    <w:basedOn w:val="19"/>
    <w:qFormat/>
    <w:uiPriority w:val="0"/>
    <w:rPr>
      <w:sz w:val="21"/>
      <w:szCs w:val="21"/>
    </w:rPr>
  </w:style>
  <w:style w:type="character" w:customStyle="1" w:styleId="21">
    <w:name w:val="标题 1 字符"/>
    <w:basedOn w:val="19"/>
    <w:link w:val="2"/>
    <w:qFormat/>
    <w:uiPriority w:val="9"/>
    <w:rPr>
      <w:rFonts w:asciiTheme="majorHAnsi" w:hAnsiTheme="majorHAnsi" w:eastAsiaTheme="majorEastAsia" w:cstheme="majorBidi"/>
      <w:color w:val="104862" w:themeColor="accent1" w:themeShade="BF"/>
      <w:sz w:val="48"/>
      <w:szCs w:val="48"/>
    </w:rPr>
  </w:style>
  <w:style w:type="character" w:customStyle="1" w:styleId="22">
    <w:name w:val="标题 2 字符"/>
    <w:basedOn w:val="19"/>
    <w:link w:val="3"/>
    <w:qFormat/>
    <w:uiPriority w:val="0"/>
    <w:rPr>
      <w:rFonts w:asciiTheme="majorHAnsi" w:hAnsiTheme="majorHAnsi" w:eastAsiaTheme="majorEastAsia" w:cstheme="majorBidi"/>
      <w:color w:val="104862" w:themeColor="accent1" w:themeShade="BF"/>
      <w:sz w:val="40"/>
      <w:szCs w:val="40"/>
    </w:rPr>
  </w:style>
  <w:style w:type="character" w:customStyle="1" w:styleId="23">
    <w:name w:val="标题 3 字符"/>
    <w:basedOn w:val="19"/>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4">
    <w:name w:val="标题 4 字符"/>
    <w:basedOn w:val="19"/>
    <w:link w:val="5"/>
    <w:semiHidden/>
    <w:qFormat/>
    <w:uiPriority w:val="9"/>
    <w:rPr>
      <w:rFonts w:cstheme="majorBidi"/>
      <w:color w:val="104862" w:themeColor="accent1" w:themeShade="BF"/>
      <w:sz w:val="28"/>
      <w:szCs w:val="28"/>
    </w:rPr>
  </w:style>
  <w:style w:type="character" w:customStyle="1" w:styleId="25">
    <w:name w:val="标题 5 字符"/>
    <w:basedOn w:val="19"/>
    <w:link w:val="6"/>
    <w:semiHidden/>
    <w:qFormat/>
    <w:uiPriority w:val="9"/>
    <w:rPr>
      <w:rFonts w:cstheme="majorBidi"/>
      <w:color w:val="104862" w:themeColor="accent1" w:themeShade="BF"/>
      <w:sz w:val="24"/>
      <w:szCs w:val="24"/>
    </w:rPr>
  </w:style>
  <w:style w:type="character" w:customStyle="1" w:styleId="26">
    <w:name w:val="标题 6 字符"/>
    <w:basedOn w:val="19"/>
    <w:link w:val="7"/>
    <w:semiHidden/>
    <w:qFormat/>
    <w:uiPriority w:val="9"/>
    <w:rPr>
      <w:rFonts w:cstheme="majorBidi"/>
      <w:b/>
      <w:bCs/>
      <w:color w:val="104862" w:themeColor="accent1" w:themeShade="BF"/>
    </w:rPr>
  </w:style>
  <w:style w:type="character" w:customStyle="1" w:styleId="27">
    <w:name w:val="标题 7 字符"/>
    <w:basedOn w:val="19"/>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8">
    <w:name w:val="标题 8 字符"/>
    <w:basedOn w:val="19"/>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9">
    <w:name w:val="标题 9 字符"/>
    <w:basedOn w:val="19"/>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0">
    <w:name w:val="标题 字符"/>
    <w:basedOn w:val="19"/>
    <w:link w:val="17"/>
    <w:qFormat/>
    <w:uiPriority w:val="10"/>
    <w:rPr>
      <w:rFonts w:asciiTheme="majorHAnsi" w:hAnsiTheme="majorHAnsi" w:eastAsiaTheme="majorEastAsia" w:cstheme="majorBidi"/>
      <w:spacing w:val="-10"/>
      <w:kern w:val="28"/>
      <w:sz w:val="56"/>
      <w:szCs w:val="56"/>
    </w:rPr>
  </w:style>
  <w:style w:type="character" w:customStyle="1" w:styleId="31">
    <w:name w:val="副标题 字符"/>
    <w:basedOn w:val="19"/>
    <w:link w:val="16"/>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2">
    <w:name w:val="Quote"/>
    <w:basedOn w:val="1"/>
    <w:next w:val="1"/>
    <w:link w:val="33"/>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3">
    <w:name w:val="引用 字符"/>
    <w:basedOn w:val="19"/>
    <w:link w:val="32"/>
    <w:qFormat/>
    <w:uiPriority w:val="29"/>
    <w:rPr>
      <w:i/>
      <w:iCs/>
      <w:color w:val="404040" w:themeColor="text1" w:themeTint="BF"/>
      <w14:textFill>
        <w14:solidFill>
          <w14:schemeClr w14:val="tx1">
            <w14:lumMod w14:val="75000"/>
            <w14:lumOff w14:val="25000"/>
          </w14:schemeClr>
        </w14:solidFill>
      </w14:textFill>
    </w:rPr>
  </w:style>
  <w:style w:type="paragraph" w:styleId="34">
    <w:name w:val="List Paragraph"/>
    <w:basedOn w:val="1"/>
    <w:qFormat/>
    <w:uiPriority w:val="34"/>
    <w:pPr>
      <w:ind w:left="720"/>
      <w:contextualSpacing/>
    </w:pPr>
  </w:style>
  <w:style w:type="character" w:customStyle="1" w:styleId="35">
    <w:name w:val="明显强调1"/>
    <w:basedOn w:val="19"/>
    <w:qFormat/>
    <w:uiPriority w:val="21"/>
    <w:rPr>
      <w:i/>
      <w:iCs/>
      <w:color w:val="104862" w:themeColor="accent1" w:themeShade="BF"/>
    </w:rPr>
  </w:style>
  <w:style w:type="paragraph" w:styleId="36">
    <w:name w:val="Intense Quote"/>
    <w:basedOn w:val="1"/>
    <w:next w:val="1"/>
    <w:link w:val="37"/>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7">
    <w:name w:val="明显引用 字符"/>
    <w:basedOn w:val="19"/>
    <w:link w:val="36"/>
    <w:qFormat/>
    <w:uiPriority w:val="30"/>
    <w:rPr>
      <w:i/>
      <w:iCs/>
      <w:color w:val="104862" w:themeColor="accent1" w:themeShade="BF"/>
    </w:rPr>
  </w:style>
  <w:style w:type="character" w:customStyle="1" w:styleId="38">
    <w:name w:val="明显参考1"/>
    <w:basedOn w:val="19"/>
    <w:qFormat/>
    <w:uiPriority w:val="32"/>
    <w:rPr>
      <w:b/>
      <w:bCs/>
      <w:smallCaps/>
      <w:color w:val="104862" w:themeColor="accent1" w:themeShade="BF"/>
      <w:spacing w:val="5"/>
    </w:rPr>
  </w:style>
  <w:style w:type="character" w:customStyle="1" w:styleId="39">
    <w:name w:val="页眉 字符"/>
    <w:basedOn w:val="19"/>
    <w:link w:val="15"/>
    <w:qFormat/>
    <w:uiPriority w:val="99"/>
    <w:rPr>
      <w:sz w:val="18"/>
      <w:szCs w:val="18"/>
    </w:rPr>
  </w:style>
  <w:style w:type="character" w:customStyle="1" w:styleId="40">
    <w:name w:val="页脚 字符"/>
    <w:basedOn w:val="19"/>
    <w:link w:val="14"/>
    <w:qFormat/>
    <w:uiPriority w:val="99"/>
    <w:rPr>
      <w:sz w:val="18"/>
      <w:szCs w:val="18"/>
    </w:rPr>
  </w:style>
  <w:style w:type="character" w:customStyle="1" w:styleId="41">
    <w:name w:val="批注文字 字符"/>
    <w:basedOn w:val="19"/>
    <w:link w:val="11"/>
    <w:qFormat/>
    <w:uiPriority w:val="0"/>
    <w:rPr>
      <w:rFonts w:ascii="Times New Roman" w:hAnsi="Times New Roman" w:eastAsia="宋体" w:cs="Times New Roman"/>
      <w:sz w:val="24"/>
      <w:szCs w:val="24"/>
    </w:rPr>
  </w:style>
  <w:style w:type="character" w:customStyle="1" w:styleId="42">
    <w:name w:val="正文文本缩进 字符"/>
    <w:basedOn w:val="19"/>
    <w:link w:val="12"/>
    <w:qFormat/>
    <w:uiPriority w:val="0"/>
    <w:rPr>
      <w:rFonts w:ascii="Calibri" w:hAnsi="Calibri" w:eastAsia="宋体" w:cs="Times New Roman"/>
      <w:kern w:val="0"/>
      <w:sz w:val="24"/>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561</Words>
  <Characters>623</Characters>
  <Lines>22</Lines>
  <Paragraphs>21</Paragraphs>
  <TotalTime>11</TotalTime>
  <ScaleCrop>false</ScaleCrop>
  <LinksUpToDate>false</LinksUpToDate>
  <CharactersWithSpaces>1163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2026-03-26T03:33:00Z</dcterms:created>
  <dc:creator>yangrongzhou</dc:creator>
  <cp:lastModifiedBy>林铠冲</cp:lastModifiedBy>
  <dcterms:modified xsi:type="dcterms:W3CDTF">2026-03-26T09:02:22Z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eyJoZGlkIjoiNjU0ZjM5Mjk0YWM1ZGQyMGY2NGQ0ZmI2YWY0MWZlZWUiLCJ1c2VySWQiOiIzMTkwNTU5NzQifQ==</vt:lpwstr>
  </property>
  <property fmtid="{D5CDD505-2E9C-101B-9397-08002B2CF9AE}" pid="3" name="KSOProductBuildVer">
    <vt:lpwstr>2052-12.1.0.22529</vt:lpwstr>
  </property>
  <property fmtid="{D5CDD505-2E9C-101B-9397-08002B2CF9AE}" pid="4" name="ICV">
    <vt:lpwstr>1A36839B9AD04786815BA654B4ED9504_13</vt:lpwstr>
  </property>
</Properties>
</file>