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hint="eastAsia" w:ascii="宋体" w:hAnsi="宋体"/>
          <w:b/>
          <w:sz w:val="28"/>
        </w:rPr>
      </w:pPr>
      <w: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0" b="127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hint="eastAsia" w:ascii="宋体" w:hAnsi="宋体"/>
        </w:rPr>
      </w:pPr>
    </w:p>
    <w:p>
      <w:pPr>
        <w:widowControl/>
        <w:spacing w:beforeAutospacing="1" w:afterAutospacing="1"/>
        <w:jc w:val="left"/>
        <w:rPr>
          <w:rFonts w:hint="eastAsia" w:ascii="宋体" w:hAnsi="宋体"/>
        </w:rPr>
        <w:sectPr>
          <w:footerReference r:id="rId4" w:type="first"/>
          <w:footerReference r:id="rId3" w:type="default"/>
          <w:pgSz w:w="11906" w:h="16838"/>
          <w:pgMar w:top="1440" w:right="1800" w:bottom="1440" w:left="1800" w:header="0" w:footer="0" w:gutter="0"/>
          <w:pgNumType w:start="0"/>
          <w:cols w:space="720" w:num="1"/>
          <w:titlePg/>
          <w:docGrid w:type="lines" w:linePitch="312" w:charSpace="0"/>
        </w:sectPr>
      </w:pPr>
      <w: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rPr>
                            </w:pPr>
                            <w:r>
                              <w:rPr>
                                <w:rFonts w:hint="eastAsia" w:ascii="华文楷体" w:hAnsi="华文楷体" w:eastAsia="华文楷体" w:cs="华文楷体"/>
                                <w:b/>
                                <w:color w:val="000080"/>
                                <w:sz w:val="72"/>
                                <w:szCs w:val="72"/>
                              </w:rPr>
                              <w:t>零星采购（服务类）采购文件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rPr>
                      </w:pPr>
                      <w:r>
                        <w:rPr>
                          <w:rFonts w:hint="eastAsia" w:ascii="华文楷体" w:hAnsi="华文楷体" w:eastAsia="华文楷体" w:cs="华文楷体"/>
                          <w:b/>
                          <w:color w:val="000080"/>
                          <w:sz w:val="72"/>
                          <w:szCs w:val="72"/>
                        </w:rPr>
                        <w:t>零星采购（服务类）采购文件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3810"/>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宋体" w:eastAsia="黑体" w:cs="宋体"/>
          <w:b/>
          <w:sz w:val="36"/>
          <w:szCs w:val="36"/>
          <w:u w:val="single"/>
          <w:lang w:val="zh-CN" w:bidi="ar"/>
        </w:rPr>
      </w:pPr>
      <w:bookmarkStart w:id="3" w:name="_GoBack"/>
      <w:r>
        <w:rPr>
          <w:rFonts w:hint="eastAsia" w:ascii="黑体" w:hAnsi="宋体" w:eastAsia="黑体" w:cs="宋体"/>
          <w:b/>
          <w:sz w:val="36"/>
          <w:szCs w:val="36"/>
          <w:u w:val="single"/>
          <w:lang w:val="zh-CN" w:bidi="ar"/>
        </w:rPr>
        <w:t>超高压输电公司昆明局2026年阀冷外冷水软化剂</w:t>
      </w:r>
    </w:p>
    <w:p>
      <w:pPr>
        <w:adjustRightInd w:val="0"/>
        <w:snapToGrid w:val="0"/>
        <w:spacing w:before="156" w:line="360" w:lineRule="auto"/>
        <w:jc w:val="center"/>
        <w:rPr>
          <w:rFonts w:hint="eastAsia" w:ascii="黑体" w:hAnsi="黑体" w:eastAsia="黑体"/>
          <w:b/>
          <w:sz w:val="36"/>
          <w:szCs w:val="36"/>
          <w:u w:val="single"/>
        </w:rPr>
      </w:pPr>
      <w:r>
        <w:rPr>
          <w:rFonts w:hint="eastAsia" w:ascii="黑体" w:hAnsi="宋体" w:eastAsia="黑体" w:cs="宋体"/>
          <w:b/>
          <w:sz w:val="36"/>
          <w:szCs w:val="36"/>
          <w:u w:val="single"/>
          <w:lang w:val="zh-CN" w:bidi="ar"/>
        </w:rPr>
        <w:t>检测项目</w:t>
      </w:r>
      <w:r>
        <w:rPr>
          <w:rFonts w:hint="eastAsia" w:ascii="黑体" w:hAnsi="黑体" w:eastAsia="黑体"/>
          <w:b/>
          <w:sz w:val="36"/>
          <w:szCs w:val="36"/>
          <w:u w:val="single"/>
        </w:rPr>
        <w:t>零星采购文件</w:t>
      </w:r>
      <w:bookmarkEnd w:id="3"/>
    </w:p>
    <w:p>
      <w:pPr>
        <w:adjustRightInd w:val="0"/>
        <w:snapToGrid w:val="0"/>
        <w:spacing w:before="156" w:line="360" w:lineRule="auto"/>
        <w:jc w:val="left"/>
        <w:outlineLvl w:val="0"/>
        <w:rPr>
          <w:rFonts w:ascii="Times New Roman" w:hAnsi="Times New Roman"/>
          <w:b/>
          <w:sz w:val="28"/>
          <w:szCs w:val="28"/>
        </w:rPr>
      </w:pPr>
      <w:bookmarkStart w:id="0" w:name="_Toc349031717"/>
      <w:r>
        <w:rPr>
          <w:rFonts w:hint="eastAsia"/>
          <w:b/>
          <w:sz w:val="28"/>
          <w:szCs w:val="28"/>
        </w:rPr>
        <w:t>一、项目概况及批复文件</w:t>
      </w:r>
    </w:p>
    <w:p>
      <w:pPr>
        <w:adjustRightInd w:val="0"/>
        <w:snapToGrid w:val="0"/>
        <w:spacing w:line="360" w:lineRule="auto"/>
        <w:ind w:firstLine="560" w:firstLineChars="200"/>
        <w:rPr>
          <w:rFonts w:hint="eastAsia" w:ascii="宋体" w:hAnsi="宋体" w:cs="宋体"/>
          <w:sz w:val="28"/>
          <w:szCs w:val="28"/>
        </w:rPr>
      </w:pPr>
      <w:bookmarkStart w:id="1" w:name="_Toc349031716"/>
      <w:r>
        <w:rPr>
          <w:rFonts w:hint="eastAsia" w:ascii="宋体" w:hAnsi="宋体" w:cs="宋体"/>
          <w:sz w:val="28"/>
          <w:szCs w:val="28"/>
        </w:rPr>
        <w:t>1.1项目概况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cs="宋体"/>
          <w:sz w:val="28"/>
          <w:szCs w:val="28"/>
          <w:lang w:bidi="ar"/>
        </w:rPr>
      </w:pPr>
      <w:r>
        <w:rPr>
          <w:rFonts w:hint="eastAsia" w:ascii="宋体" w:hAnsi="宋体" w:cs="宋体"/>
          <w:sz w:val="28"/>
          <w:szCs w:val="28"/>
          <w:lang w:bidi="ar"/>
        </w:rPr>
        <w:t>为保证冷却塔健康平稳运行，根据2025年12月30日局生技关于楚雄站外冷水结垢问题整改要求，对楚雄站阀冷外冷水软化剂进行成分及含量检测，申请开展阀冷外冷水软化剂成分检测服务。</w:t>
      </w:r>
    </w:p>
    <w:p>
      <w:pPr>
        <w:keepNext w:val="0"/>
        <w:keepLines w:val="0"/>
        <w:widowControl/>
        <w:suppressLineNumbers w:val="0"/>
        <w:jc w:val="left"/>
        <w:rPr>
          <w:rFonts w:hint="eastAsia" w:ascii="宋体" w:hAnsi="宋体" w:cs="宋体"/>
          <w:i/>
          <w:sz w:val="28"/>
          <w:szCs w:val="28"/>
          <w:u w:val="single"/>
        </w:rPr>
      </w:pPr>
      <w:r>
        <w:rPr>
          <w:rFonts w:hint="eastAsia" w:ascii="宋体" w:hAnsi="宋体" w:cs="宋体"/>
          <w:sz w:val="28"/>
          <w:szCs w:val="28"/>
        </w:rPr>
        <w:t>1.2批复文件：【</w:t>
      </w:r>
      <w:r>
        <w:rPr>
          <w:rFonts w:ascii="仿宋_GB2312" w:hAnsi="宋体" w:eastAsia="仿宋_GB2312" w:cs="仿宋_GB2312"/>
          <w:color w:val="000000"/>
          <w:kern w:val="0"/>
          <w:sz w:val="31"/>
          <w:szCs w:val="31"/>
          <w:lang w:val="en-US" w:eastAsia="zh-CN" w:bidi="ar"/>
        </w:rPr>
        <w:t>2026/专3号</w:t>
      </w:r>
      <w:r>
        <w:rPr>
          <w:rFonts w:hint="eastAsia" w:ascii="宋体" w:hAnsi="宋体" w:cs="宋体"/>
          <w:sz w:val="28"/>
          <w:szCs w:val="28"/>
        </w:rPr>
        <w:t>】昆明局2026年1月份生产域零星采购项目专业立项审查会议纪要。</w:t>
      </w:r>
    </w:p>
    <w:p>
      <w:pPr>
        <w:adjustRightInd w:val="0"/>
        <w:snapToGrid w:val="0"/>
        <w:spacing w:line="360" w:lineRule="auto"/>
        <w:ind w:left="565" w:leftChars="269"/>
        <w:rPr>
          <w:rFonts w:hint="eastAsia" w:ascii="宋体" w:hAnsi="宋体" w:cs="宋体"/>
          <w:sz w:val="28"/>
          <w:szCs w:val="28"/>
        </w:rPr>
      </w:pPr>
      <w:r>
        <w:rPr>
          <w:rFonts w:hint="eastAsia" w:ascii="宋体" w:hAnsi="宋体" w:cs="宋体"/>
          <w:sz w:val="28"/>
          <w:szCs w:val="28"/>
        </w:rPr>
        <w:t>1.3最高限价金额（一般不超概算）：</w:t>
      </w:r>
      <w:r>
        <w:rPr>
          <w:rFonts w:hint="eastAsia" w:ascii="宋体" w:hAnsi="宋体" w:cs="宋体"/>
          <w:sz w:val="28"/>
          <w:szCs w:val="28"/>
          <w:u w:val="single"/>
          <w:lang w:val="en-US" w:eastAsia="zh-CN"/>
        </w:rPr>
        <w:t>1.35</w:t>
      </w:r>
      <w:r>
        <w:rPr>
          <w:rFonts w:hint="eastAsia" w:ascii="宋体" w:hAnsi="宋体" w:cs="宋体"/>
          <w:sz w:val="28"/>
          <w:szCs w:val="28"/>
          <w:u w:val="single"/>
        </w:rPr>
        <w:t>万元。</w:t>
      </w:r>
    </w:p>
    <w:p>
      <w:pPr>
        <w:adjustRightInd w:val="0"/>
        <w:snapToGrid w:val="0"/>
        <w:spacing w:before="156" w:beforeLines="50" w:line="360" w:lineRule="auto"/>
        <w:outlineLvl w:val="0"/>
        <w:rPr>
          <w:b/>
          <w:sz w:val="28"/>
          <w:szCs w:val="28"/>
        </w:rPr>
      </w:pPr>
      <w:r>
        <w:rPr>
          <w:rFonts w:hint="eastAsia"/>
          <w:b/>
          <w:sz w:val="28"/>
          <w:szCs w:val="28"/>
        </w:rPr>
        <w:t>二、</w:t>
      </w:r>
      <w:bookmarkEnd w:id="1"/>
      <w:r>
        <w:rPr>
          <w:rFonts w:hint="eastAsia"/>
          <w:b/>
          <w:sz w:val="28"/>
          <w:szCs w:val="28"/>
        </w:rPr>
        <w:t>项目实施内容及要求</w:t>
      </w:r>
    </w:p>
    <w:p>
      <w:pPr>
        <w:adjustRightInd w:val="0"/>
        <w:snapToGrid w:val="0"/>
        <w:spacing w:line="360" w:lineRule="auto"/>
        <w:ind w:firstLine="560" w:firstLineChars="200"/>
        <w:rPr>
          <w:rFonts w:hint="eastAsia" w:ascii="宋体" w:hAnsi="宋体" w:cs="宋体"/>
          <w:sz w:val="28"/>
          <w:szCs w:val="28"/>
        </w:rPr>
      </w:pPr>
      <w:r>
        <w:rPr>
          <w:rFonts w:hint="eastAsia" w:ascii="宋体" w:hAnsi="宋体" w:cs="宋体"/>
          <w:sz w:val="28"/>
          <w:szCs w:val="28"/>
          <w:lang w:bidi="ar"/>
        </w:rPr>
        <w:t>2.1实施内容：</w:t>
      </w:r>
    </w:p>
    <w:p>
      <w:pPr>
        <w:adjustRightInd w:val="0"/>
        <w:snapToGrid w:val="0"/>
        <w:spacing w:line="360" w:lineRule="auto"/>
        <w:ind w:firstLine="560" w:firstLineChars="200"/>
        <w:rPr>
          <w:rFonts w:hint="eastAsia" w:ascii="宋体" w:hAnsi="宋体" w:eastAsia="宋体" w:cs="宋体"/>
          <w:sz w:val="28"/>
          <w:szCs w:val="28"/>
          <w:lang w:eastAsia="zh-CN" w:bidi="ar"/>
        </w:rPr>
      </w:pPr>
      <w:r>
        <w:rPr>
          <w:rFonts w:hint="eastAsia" w:ascii="宋体" w:hAnsi="宋体" w:cs="宋体"/>
          <w:sz w:val="28"/>
          <w:szCs w:val="28"/>
          <w:lang w:eastAsia="zh-CN" w:bidi="ar"/>
        </w:rPr>
        <w:t>采购阀冷外冷水无磷缓蚀阻垢剂成分检测服务1次，检测成分包括：聚马来酸酐、锌盐、无磷螯合剂、固体含量、密度（20℃）、pH（1% 水溶液）。</w:t>
      </w:r>
    </w:p>
    <w:p>
      <w:pPr>
        <w:adjustRightInd w:val="0"/>
        <w:snapToGrid w:val="0"/>
        <w:spacing w:line="360" w:lineRule="auto"/>
        <w:ind w:firstLine="560" w:firstLineChars="200"/>
        <w:rPr>
          <w:rFonts w:hint="eastAsia" w:ascii="宋体" w:hAnsi="宋体" w:cs="宋体"/>
          <w:sz w:val="28"/>
          <w:szCs w:val="28"/>
        </w:rPr>
      </w:pPr>
      <w:r>
        <w:rPr>
          <w:rFonts w:hint="eastAsia" w:ascii="宋体" w:hAnsi="宋体" w:cs="宋体"/>
          <w:sz w:val="28"/>
          <w:szCs w:val="28"/>
        </w:rPr>
        <w:t>2.2服务期限：</w:t>
      </w:r>
      <w:r>
        <w:rPr>
          <w:rFonts w:hint="eastAsia" w:ascii="宋体" w:hAnsi="宋体" w:cs="宋体"/>
          <w:sz w:val="28"/>
          <w:szCs w:val="28"/>
          <w:u w:val="single"/>
        </w:rPr>
        <w:t>成交之日起</w:t>
      </w:r>
      <w:r>
        <w:rPr>
          <w:rFonts w:hint="eastAsia" w:ascii="宋体" w:hAnsi="宋体" w:cs="宋体"/>
          <w:sz w:val="28"/>
          <w:szCs w:val="28"/>
          <w:u w:val="single"/>
          <w:lang w:eastAsia="zh-CN"/>
        </w:rPr>
        <w:t>一</w:t>
      </w:r>
      <w:r>
        <w:rPr>
          <w:rFonts w:hint="eastAsia" w:ascii="宋体" w:hAnsi="宋体" w:cs="宋体"/>
          <w:sz w:val="28"/>
          <w:szCs w:val="28"/>
          <w:u w:val="single"/>
        </w:rPr>
        <w:t>个月</w:t>
      </w:r>
      <w:r>
        <w:rPr>
          <w:rFonts w:hint="eastAsia" w:ascii="宋体" w:hAnsi="宋体" w:cs="宋体"/>
          <w:sz w:val="28"/>
          <w:szCs w:val="28"/>
        </w:rPr>
        <w:t>，若定标时间晚于起始时间，服务期限顺延。</w:t>
      </w:r>
    </w:p>
    <w:p>
      <w:pPr>
        <w:adjustRightInd w:val="0"/>
        <w:snapToGrid w:val="0"/>
        <w:spacing w:line="360" w:lineRule="auto"/>
        <w:ind w:firstLine="560" w:firstLineChars="200"/>
        <w:rPr>
          <w:rFonts w:hint="eastAsia" w:ascii="宋体" w:hAnsi="宋体" w:cs="宋体"/>
          <w:sz w:val="28"/>
          <w:szCs w:val="28"/>
          <w:u w:val="single"/>
        </w:rPr>
      </w:pPr>
      <w:r>
        <w:rPr>
          <w:rFonts w:hint="eastAsia" w:ascii="宋体" w:hAnsi="宋体" w:cs="宋体"/>
          <w:sz w:val="28"/>
          <w:szCs w:val="28"/>
        </w:rPr>
        <w:t>2.3项目服务地点：</w:t>
      </w:r>
      <w:r>
        <w:rPr>
          <w:rFonts w:hint="eastAsia" w:ascii="宋体" w:hAnsi="宋体" w:cs="宋体"/>
          <w:color w:val="auto"/>
          <w:sz w:val="28"/>
          <w:szCs w:val="28"/>
          <w:highlight w:val="none"/>
          <w:u w:val="single"/>
          <w:lang w:val="en-US" w:eastAsia="zh-CN"/>
        </w:rPr>
        <w:t>云南省楚雄彝族自治州禄丰市和平镇三湾村±800kV楚雄换流站</w:t>
      </w:r>
      <w:r>
        <w:rPr>
          <w:rFonts w:hint="eastAsia" w:ascii="宋体" w:hAnsi="宋体" w:eastAsia="宋体" w:cs="宋体"/>
          <w:color w:val="auto"/>
          <w:sz w:val="28"/>
          <w:szCs w:val="28"/>
          <w:highlight w:val="none"/>
          <w:u w:val="single"/>
          <w:lang w:val="en-US" w:eastAsia="zh-CN"/>
        </w:rPr>
        <w:t>。</w:t>
      </w:r>
      <w:r>
        <w:rPr>
          <w:rFonts w:hint="eastAsia" w:ascii="宋体" w:hAnsi="宋体" w:cs="宋体"/>
          <w:sz w:val="28"/>
          <w:szCs w:val="28"/>
          <w:u w:val="single"/>
        </w:rPr>
        <w:t xml:space="preserve"> </w:t>
      </w:r>
    </w:p>
    <w:p>
      <w:pPr>
        <w:adjustRightInd w:val="0"/>
        <w:snapToGri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rPr>
        <w:t>2</w:t>
      </w:r>
      <w:r>
        <w:rPr>
          <w:rFonts w:hint="eastAsia" w:ascii="宋体" w:hAnsi="宋体" w:cs="宋体"/>
          <w:sz w:val="28"/>
          <w:szCs w:val="28"/>
          <w:lang w:eastAsia="zh-CN"/>
        </w:rPr>
        <w:t>.</w:t>
      </w:r>
      <w:r>
        <w:rPr>
          <w:rFonts w:hint="eastAsia" w:ascii="宋体" w:hAnsi="宋体" w:cs="宋体"/>
          <w:sz w:val="28"/>
          <w:szCs w:val="28"/>
          <w:lang w:val="en-US" w:eastAsia="zh-CN"/>
        </w:rPr>
        <w:t>4</w:t>
      </w:r>
      <w:r>
        <w:rPr>
          <w:rFonts w:hint="eastAsia" w:ascii="宋体" w:hAnsi="宋体" w:cs="宋体"/>
          <w:sz w:val="28"/>
          <w:szCs w:val="28"/>
        </w:rPr>
        <w:t>其他要求</w:t>
      </w:r>
      <w:r>
        <w:rPr>
          <w:rFonts w:hint="eastAsia" w:ascii="Times New Roman" w:hAnsi="Times New Roman" w:cs="Times New Roman"/>
          <w:b/>
          <w:color w:val="FF0000"/>
          <w:sz w:val="28"/>
          <w:szCs w:val="28"/>
        </w:rPr>
        <w:t>（重要）</w:t>
      </w:r>
      <w:r>
        <w:rPr>
          <w:rFonts w:hint="eastAsia" w:ascii="宋体" w:hAnsi="宋体" w:cs="宋体"/>
          <w:sz w:val="28"/>
          <w:szCs w:val="28"/>
        </w:rPr>
        <w:t xml:space="preserve">： </w:t>
      </w:r>
      <w:r>
        <w:rPr>
          <w:rFonts w:hint="eastAsia" w:ascii="宋体" w:hAnsi="宋体" w:cs="宋体"/>
          <w:sz w:val="28"/>
          <w:szCs w:val="28"/>
          <w:highlight w:val="none"/>
        </w:rPr>
        <w:t xml:space="preserve"> </w:t>
      </w:r>
    </w:p>
    <w:p>
      <w:pPr>
        <w:numPr>
          <w:ilvl w:val="0"/>
          <w:numId w:val="2"/>
        </w:numPr>
        <w:adjustRightInd w:val="0"/>
        <w:snapToGrid w:val="0"/>
        <w:spacing w:line="360" w:lineRule="auto"/>
        <w:ind w:firstLine="560" w:firstLineChars="200"/>
        <w:rPr>
          <w:rFonts w:hint="eastAsia" w:ascii="宋体" w:hAnsi="宋体" w:cs="宋体"/>
          <w:sz w:val="28"/>
          <w:szCs w:val="28"/>
          <w:highlight w:val="none"/>
          <w:u w:val="single"/>
          <w:lang w:eastAsia="zh-CN"/>
        </w:rPr>
      </w:pPr>
      <w:r>
        <w:rPr>
          <w:rFonts w:hint="eastAsia" w:ascii="宋体" w:hAnsi="宋体" w:cs="宋体"/>
          <w:sz w:val="28"/>
          <w:szCs w:val="28"/>
          <w:highlight w:val="none"/>
          <w:u w:val="single"/>
          <w:lang w:eastAsia="zh-CN"/>
        </w:rPr>
        <w:t>提供国家认可的专业检测机构检测报告。此项目为零星采购，无需再签订合同，成交通知书即为双方合同保障。</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w:t>
      </w:r>
      <w:r>
        <w:rPr>
          <w:rFonts w:hint="eastAsia" w:ascii="宋体" w:hAnsi="宋体" w:cs="宋体"/>
          <w:b/>
          <w:bCs w:val="0"/>
          <w:color w:val="auto"/>
          <w:sz w:val="28"/>
          <w:szCs w:val="28"/>
          <w:highlight w:val="none"/>
          <w:lang w:val="en-US" w:eastAsia="zh-CN"/>
        </w:rPr>
        <w:t>六、检测</w:t>
      </w:r>
      <w:r>
        <w:rPr>
          <w:rFonts w:hint="eastAsia" w:cs="Times New Roman"/>
          <w:b/>
          <w:color w:val="auto"/>
          <w:sz w:val="28"/>
          <w:szCs w:val="28"/>
          <w:highlight w:val="none"/>
          <w:lang w:val="en-US" w:eastAsia="zh-CN"/>
        </w:rPr>
        <w:t>参数要求</w:t>
      </w:r>
      <w:r>
        <w:rPr>
          <w:rFonts w:hint="eastAsia" w:ascii="宋体" w:hAnsi="宋体" w:cs="宋体"/>
          <w:b w:val="0"/>
          <w:bCs/>
          <w:color w:val="auto"/>
          <w:sz w:val="28"/>
          <w:szCs w:val="28"/>
          <w:highlight w:val="none"/>
          <w:lang w:val="en-US" w:eastAsia="zh-CN"/>
        </w:rPr>
        <w:t>”</w:t>
      </w:r>
    </w:p>
    <w:p>
      <w:pPr>
        <w:numPr>
          <w:ilvl w:val="0"/>
          <w:numId w:val="0"/>
        </w:numPr>
        <w:adjustRightInd w:val="0"/>
        <w:snapToGrid w:val="0"/>
        <w:spacing w:line="360" w:lineRule="auto"/>
        <w:rPr>
          <w:rFonts w:hint="default" w:ascii="宋体" w:hAnsi="宋体" w:cs="宋体"/>
          <w:sz w:val="28"/>
          <w:szCs w:val="28"/>
          <w:highlight w:val="none"/>
          <w:u w:val="single"/>
          <w:lang w:val="en-US" w:eastAsia="zh-CN"/>
        </w:rPr>
      </w:pPr>
    </w:p>
    <w:bookmarkEnd w:id="0"/>
    <w:p>
      <w:pPr>
        <w:adjustRightInd w:val="0"/>
        <w:snapToGrid w:val="0"/>
        <w:spacing w:before="156" w:beforeLines="50" w:line="360" w:lineRule="auto"/>
        <w:outlineLvl w:val="0"/>
        <w:rPr>
          <w:rFonts w:ascii="Times New Roman" w:hAnsi="Times New Roman" w:cs="Times New Roman"/>
          <w:b/>
          <w:sz w:val="28"/>
          <w:szCs w:val="28"/>
        </w:rPr>
      </w:pPr>
      <w:bookmarkStart w:id="2" w:name="_Toc349031731"/>
      <w:r>
        <w:rPr>
          <w:rFonts w:hint="eastAsia" w:ascii="Times New Roman" w:hAnsi="Times New Roman" w:cs="Times New Roman"/>
          <w:b/>
          <w:sz w:val="28"/>
          <w:szCs w:val="28"/>
        </w:rPr>
        <w:t>三、 资质要求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vAlign w:val="center"/>
          </w:tcPr>
          <w:p>
            <w:pPr>
              <w:jc w:val="center"/>
              <w:rPr>
                <w:rFonts w:hint="eastAsia" w:ascii="宋体" w:hAnsi="宋体" w:cs="Times New Roman"/>
                <w:sz w:val="24"/>
              </w:rPr>
            </w:pPr>
            <w:r>
              <w:rPr>
                <w:rFonts w:hint="eastAsia" w:ascii="宋体" w:hAnsi="宋体"/>
                <w:sz w:val="24"/>
              </w:rPr>
              <w:t>3.1</w:t>
            </w:r>
          </w:p>
        </w:tc>
        <w:tc>
          <w:tcPr>
            <w:tcW w:w="7208" w:type="dxa"/>
            <w:vAlign w:val="center"/>
          </w:tcPr>
          <w:p>
            <w:pPr>
              <w:adjustRightInd w:val="0"/>
              <w:snapToGrid w:val="0"/>
              <w:rPr>
                <w:rFonts w:hint="eastAsia" w:ascii="宋体" w:hAnsi="宋体"/>
                <w:sz w:val="24"/>
              </w:rPr>
            </w:pPr>
            <w:r>
              <w:rPr>
                <w:rFonts w:hint="eastAsia" w:ascii="宋体" w:hAnsi="宋体"/>
                <w:sz w:val="24"/>
              </w:rPr>
              <w:t>具备以下条件之一：</w:t>
            </w:r>
          </w:p>
          <w:p>
            <w:pPr>
              <w:adjustRightInd w:val="0"/>
              <w:snapToGrid w:val="0"/>
              <w:rPr>
                <w:rFonts w:hint="eastAsia" w:ascii="宋体" w:hAnsi="宋体"/>
                <w:sz w:val="24"/>
              </w:rPr>
            </w:pPr>
            <w:r>
              <w:rPr>
                <w:rFonts w:hint="eastAsia" w:ascii="宋体" w:hAnsi="宋体"/>
                <w:sz w:val="24"/>
              </w:rPr>
              <w:t>①具有独立法人资格且为中华人民共和国境内注册的法人，持有合法有效的企业法人营业执照、组织机构代码证、税务登记证或有工商行政管理部门核发统一社会信用代码的企业法人营业执照；</w:t>
            </w:r>
          </w:p>
          <w:p>
            <w:pPr>
              <w:adjustRightInd w:val="0"/>
              <w:snapToGrid w:val="0"/>
              <w:rPr>
                <w:rFonts w:hint="eastAsia" w:ascii="宋体" w:hAnsi="宋体"/>
                <w:sz w:val="24"/>
              </w:rPr>
            </w:pPr>
            <w:r>
              <w:rPr>
                <w:rFonts w:hint="eastAsia" w:ascii="宋体" w:hAnsi="宋体"/>
                <w:sz w:val="24"/>
              </w:rPr>
              <w:t>②具有独立承担民事责任能力的事业单位或其他组织；</w:t>
            </w:r>
          </w:p>
          <w:p>
            <w:pPr>
              <w:adjustRightInd w:val="0"/>
              <w:snapToGrid w:val="0"/>
              <w:rPr>
                <w:rFonts w:hint="eastAsia" w:ascii="宋体" w:hAnsi="宋体" w:cs="Times New Roman"/>
                <w:sz w:val="24"/>
              </w:rPr>
            </w:pPr>
            <w:r>
              <w:rPr>
                <w:rFonts w:hint="eastAsia" w:ascii="宋体" w:hAnsi="宋体"/>
                <w:sz w:val="24"/>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vAlign w:val="center"/>
          </w:tcPr>
          <w:p>
            <w:pPr>
              <w:jc w:val="center"/>
              <w:rPr>
                <w:rFonts w:hint="eastAsia" w:ascii="宋体" w:hAnsi="宋体" w:cs="Times New Roman"/>
                <w:sz w:val="24"/>
                <w:szCs w:val="24"/>
              </w:rPr>
            </w:pPr>
            <w:r>
              <w:rPr>
                <w:rFonts w:hint="eastAsia" w:ascii="宋体" w:hAnsi="宋体"/>
                <w:sz w:val="24"/>
              </w:rPr>
              <w:t>3.2</w:t>
            </w:r>
          </w:p>
        </w:tc>
        <w:tc>
          <w:tcPr>
            <w:tcW w:w="7208" w:type="dxa"/>
            <w:vAlign w:val="center"/>
          </w:tcPr>
          <w:p>
            <w:pPr>
              <w:adjustRightInd w:val="0"/>
              <w:snapToGrid w:val="0"/>
              <w:rPr>
                <w:rFonts w:hint="eastAsia" w:ascii="宋体" w:hAnsi="宋体" w:cs="Times New Roman"/>
                <w:sz w:val="24"/>
                <w:szCs w:val="24"/>
              </w:rPr>
            </w:pPr>
            <w:r>
              <w:rPr>
                <w:rFonts w:hint="eastAsia" w:ascii="宋体" w:hAnsi="宋体"/>
                <w:sz w:val="24"/>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vAlign w:val="center"/>
          </w:tcPr>
          <w:p>
            <w:pPr>
              <w:adjustRightInd w:val="0"/>
              <w:snapToGrid w:val="0"/>
              <w:spacing w:line="360" w:lineRule="auto"/>
              <w:jc w:val="center"/>
              <w:rPr>
                <w:rFonts w:hint="eastAsia" w:ascii="宋体" w:hAnsi="宋体" w:cs="Times New Roman"/>
                <w:sz w:val="24"/>
              </w:rPr>
            </w:pPr>
            <w:r>
              <w:rPr>
                <w:rFonts w:hint="eastAsia" w:ascii="宋体" w:hAnsi="宋体" w:cs="Times New Roman"/>
                <w:sz w:val="24"/>
              </w:rPr>
              <w:t>3.3</w:t>
            </w:r>
          </w:p>
        </w:tc>
        <w:tc>
          <w:tcPr>
            <w:tcW w:w="7208" w:type="dxa"/>
            <w:vAlign w:val="center"/>
          </w:tcPr>
          <w:p>
            <w:pPr>
              <w:adjustRightInd w:val="0"/>
              <w:snapToGrid w:val="0"/>
              <w:rPr>
                <w:rFonts w:hint="eastAsia" w:ascii="宋体" w:hAnsi="宋体" w:cs="Times New Roman"/>
                <w:sz w:val="24"/>
              </w:rPr>
            </w:pPr>
            <w:r>
              <w:rPr>
                <w:rFonts w:hint="eastAsia" w:ascii="宋体" w:hAnsi="宋体" w:cs="Times New Roman"/>
                <w:sz w:val="24"/>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vAlign w:val="center"/>
          </w:tcPr>
          <w:p>
            <w:pPr>
              <w:adjustRightInd w:val="0"/>
              <w:snapToGrid w:val="0"/>
              <w:spacing w:line="360" w:lineRule="auto"/>
              <w:jc w:val="center"/>
              <w:rPr>
                <w:rFonts w:hint="eastAsia" w:ascii="宋体" w:hAnsi="宋体" w:cs="Times New Roman"/>
                <w:sz w:val="24"/>
              </w:rPr>
            </w:pPr>
            <w:r>
              <w:rPr>
                <w:rFonts w:hint="eastAsia" w:ascii="宋体" w:hAnsi="宋体" w:cs="Times New Roman"/>
                <w:sz w:val="24"/>
              </w:rPr>
              <w:t>3.4</w:t>
            </w:r>
          </w:p>
        </w:tc>
        <w:tc>
          <w:tcPr>
            <w:tcW w:w="7208" w:type="dxa"/>
            <w:vAlign w:val="center"/>
          </w:tcPr>
          <w:p>
            <w:pPr>
              <w:adjustRightInd w:val="0"/>
              <w:snapToGrid w:val="0"/>
              <w:rPr>
                <w:rFonts w:hint="eastAsia" w:ascii="宋体" w:hAnsi="宋体" w:cs="Times New Roman"/>
                <w:sz w:val="24"/>
              </w:rPr>
            </w:pPr>
            <w:r>
              <w:rPr>
                <w:rFonts w:hint="eastAsia" w:ascii="宋体" w:hAnsi="宋体" w:cs="Times New Roman"/>
                <w:sz w:val="24"/>
              </w:rPr>
              <w:t>单位负责人为同一人或者存在控股、管理关系的不同单位，不得参加同一项目报价。</w:t>
            </w:r>
          </w:p>
        </w:tc>
      </w:tr>
    </w:tbl>
    <w:p>
      <w:pPr>
        <w:adjustRightInd w:val="0"/>
        <w:snapToGrid w:val="0"/>
        <w:spacing w:before="156" w:line="360" w:lineRule="auto"/>
        <w:jc w:val="left"/>
        <w:outlineLvl w:val="0"/>
        <w:rPr>
          <w:rFonts w:ascii="Times New Roman" w:hAnsi="Times New Roman" w:cs="Times New Roman"/>
          <w:b/>
          <w:sz w:val="28"/>
          <w:szCs w:val="28"/>
        </w:rPr>
      </w:pPr>
      <w:r>
        <w:rPr>
          <w:rFonts w:hint="eastAsia" w:ascii="Times New Roman" w:hAnsi="Times New Roman" w:cs="Times New Roman"/>
          <w:b/>
          <w:sz w:val="28"/>
          <w:szCs w:val="28"/>
        </w:rPr>
        <w:t>四、 其他要求</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4.1 发票要求：卖方可提供符合规定税率的全额增值税专用发票。（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 服务要求：</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4.2.1卖方应严格执行国家现行法规、规章，行业的规范，确保提供的产品或服务符合相关规定。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4.2.2售后服务的响应时间在</w:t>
      </w:r>
      <w:r>
        <w:rPr>
          <w:rFonts w:hint="eastAsia" w:ascii="宋体" w:hAnsi="宋体" w:cs="宋体"/>
          <w:sz w:val="28"/>
          <w:szCs w:val="28"/>
          <w:lang w:val="en-US" w:eastAsia="zh-CN"/>
        </w:rPr>
        <w:t>24</w:t>
      </w:r>
      <w:r>
        <w:rPr>
          <w:rFonts w:hint="eastAsia" w:ascii="宋体" w:hAnsi="宋体" w:cs="宋体"/>
          <w:sz w:val="28"/>
          <w:szCs w:val="28"/>
        </w:rPr>
        <w:t>小时内。</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4.2.4卖方完成本次投标活动视为接受并认可本采购文件所有条款。</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4.2.5卖方所提供的产品或服务应不涉及知识产权纠纷，若出现任何知识产权问题，由卖方承担全部责任。</w:t>
      </w:r>
    </w:p>
    <w:p>
      <w:pPr>
        <w:adjustRightInd w:val="0"/>
        <w:snapToGrid w:val="0"/>
        <w:spacing w:line="360" w:lineRule="auto"/>
        <w:ind w:firstLine="560" w:firstLineChars="200"/>
        <w:rPr>
          <w:rFonts w:hint="default" w:ascii="宋体" w:hAnsi="宋体" w:eastAsia="宋体" w:cs="宋体"/>
          <w:sz w:val="28"/>
          <w:szCs w:val="28"/>
          <w:u w:val="none"/>
          <w:lang w:val="en-US" w:eastAsia="zh-CN"/>
        </w:rPr>
      </w:pPr>
      <w:r>
        <w:rPr>
          <w:rFonts w:hint="eastAsia" w:ascii="宋体" w:hAnsi="宋体" w:cs="宋体"/>
          <w:sz w:val="28"/>
          <w:szCs w:val="28"/>
        </w:rPr>
        <w:t>4.2.6其他要求：</w:t>
      </w:r>
      <w:r>
        <w:rPr>
          <w:rFonts w:hint="eastAsia" w:ascii="宋体" w:hAnsi="宋体" w:cs="宋体"/>
          <w:sz w:val="28"/>
          <w:szCs w:val="28"/>
          <w:highlight w:val="none"/>
          <w:u w:val="none"/>
          <w:lang w:eastAsia="zh-CN" w:bidi="ar"/>
        </w:rPr>
        <w:t>无。</w:t>
      </w:r>
    </w:p>
    <w:p>
      <w:pPr>
        <w:adjustRightInd w:val="0"/>
        <w:snapToGrid w:val="0"/>
        <w:spacing w:before="156" w:line="360" w:lineRule="auto"/>
        <w:jc w:val="left"/>
        <w:outlineLvl w:val="0"/>
        <w:rPr>
          <w:rFonts w:ascii="Times New Roman" w:hAnsi="Times New Roman" w:cs="Times New Roman"/>
          <w:b/>
          <w:sz w:val="28"/>
          <w:szCs w:val="28"/>
        </w:rPr>
      </w:pPr>
      <w:r>
        <w:rPr>
          <w:rFonts w:hint="eastAsia" w:ascii="Times New Roman" w:hAnsi="Times New Roman" w:cs="Times New Roman"/>
          <w:b/>
          <w:sz w:val="28"/>
          <w:szCs w:val="28"/>
        </w:rPr>
        <w:t>五、违约责任</w:t>
      </w:r>
    </w:p>
    <w:bookmarkEnd w:id="2"/>
    <w:p>
      <w:pPr>
        <w:spacing w:line="360" w:lineRule="auto"/>
        <w:ind w:firstLine="560" w:firstLineChars="200"/>
        <w:rPr>
          <w:rFonts w:hint="eastAsia" w:ascii="宋体" w:hAnsi="宋体" w:cs="宋体"/>
          <w:sz w:val="28"/>
          <w:szCs w:val="28"/>
        </w:rPr>
      </w:pPr>
      <w:r>
        <w:rPr>
          <w:rFonts w:hint="eastAsia" w:ascii="宋体" w:hAnsi="宋体" w:cs="宋体"/>
          <w:sz w:val="28"/>
          <w:szCs w:val="28"/>
        </w:rPr>
        <w:t>5.1卖方在提供产品或服务期间，应执行买方相关管理要求或制度，履行本项目相关约定，卖方</w:t>
      </w:r>
      <w:r>
        <w:rPr>
          <w:rFonts w:hint="eastAsia" w:ascii="宋体" w:hAnsi="宋体" w:cs="宋体"/>
          <w:sz w:val="28"/>
          <w:szCs w:val="28"/>
          <w:lang w:eastAsia="zh-Hans"/>
        </w:rPr>
        <w:t>未</w:t>
      </w:r>
      <w:r>
        <w:rPr>
          <w:rFonts w:hint="eastAsia" w:ascii="宋体" w:hAnsi="宋体" w:cs="宋体"/>
          <w:sz w:val="28"/>
          <w:szCs w:val="28"/>
        </w:rPr>
        <w:t>有效</w:t>
      </w:r>
      <w:r>
        <w:rPr>
          <w:rFonts w:hint="eastAsia" w:ascii="宋体" w:hAnsi="宋体" w:cs="宋体"/>
          <w:sz w:val="28"/>
          <w:szCs w:val="28"/>
          <w:lang w:eastAsia="zh-Hans"/>
        </w:rPr>
        <w:t>响应并解决的</w:t>
      </w:r>
      <w:r>
        <w:rPr>
          <w:rFonts w:ascii="宋体" w:hAnsi="宋体" w:cs="宋体"/>
          <w:sz w:val="28"/>
          <w:szCs w:val="28"/>
          <w:lang w:eastAsia="zh-Hans"/>
        </w:rPr>
        <w:t>，</w:t>
      </w:r>
      <w:r>
        <w:rPr>
          <w:rFonts w:hint="eastAsia" w:ascii="宋体" w:hAnsi="宋体" w:cs="宋体"/>
          <w:sz w:val="28"/>
          <w:szCs w:val="28"/>
        </w:rPr>
        <w:t>买方</w:t>
      </w:r>
      <w:r>
        <w:rPr>
          <w:rFonts w:hint="eastAsia" w:ascii="宋体" w:hAnsi="宋体" w:cs="宋体"/>
          <w:sz w:val="28"/>
          <w:szCs w:val="28"/>
          <w:lang w:eastAsia="zh-Hans"/>
        </w:rPr>
        <w:t>有权另行委托第三方机构提供服务</w:t>
      </w:r>
      <w:r>
        <w:rPr>
          <w:rFonts w:hint="eastAsia" w:ascii="宋体" w:hAnsi="宋体" w:cs="宋体"/>
          <w:sz w:val="28"/>
          <w:szCs w:val="28"/>
        </w:rPr>
        <w:t>，并有权追究卖方法律和经济责任。</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5.2卖方若造成买方直接或间接经济损失，应全额赔偿。</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5.3卖方与买方若存在纠纷，应友好协商解决，若存在诉讼，应在买方所在地提起诉讼或仲裁。</w:t>
      </w:r>
    </w:p>
    <w:p>
      <w:pPr>
        <w:rPr>
          <w:rFonts w:hint="eastAsia"/>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w:t>
      </w:r>
      <w:r>
        <w:rPr>
          <w:rFonts w:hint="eastAsia" w:ascii="Times New Roman" w:hAnsi="Times New Roman" w:cs="Times New Roman"/>
          <w:b/>
          <w:color w:val="auto"/>
          <w:sz w:val="28"/>
          <w:szCs w:val="28"/>
          <w:highlight w:val="none"/>
          <w:lang w:val="en-US" w:eastAsia="zh-CN"/>
        </w:rPr>
        <w:t>检测</w:t>
      </w:r>
      <w:r>
        <w:rPr>
          <w:rFonts w:hint="eastAsia" w:cs="Times New Roman"/>
          <w:b/>
          <w:color w:val="auto"/>
          <w:sz w:val="28"/>
          <w:szCs w:val="28"/>
          <w:highlight w:val="none"/>
          <w:lang w:val="en-US" w:eastAsia="zh-CN"/>
        </w:rPr>
        <w:t>参数要求</w:t>
      </w:r>
    </w:p>
    <w:tbl>
      <w:tblPr>
        <w:tblStyle w:val="15"/>
        <w:tblW w:w="8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592"/>
        <w:gridCol w:w="1506"/>
        <w:gridCol w:w="1290"/>
        <w:gridCol w:w="1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592"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1506"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cs="宋体"/>
                <w:b/>
                <w:bCs/>
                <w:color w:val="auto"/>
                <w:kern w:val="0"/>
                <w:sz w:val="18"/>
                <w:szCs w:val="20"/>
                <w:highlight w:val="none"/>
                <w:lang w:eastAsia="zh-CN"/>
              </w:rPr>
              <w:t>参数名称</w:t>
            </w:r>
          </w:p>
        </w:tc>
        <w:tc>
          <w:tcPr>
            <w:tcW w:w="1290"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cs="宋体"/>
                <w:b/>
                <w:bCs/>
                <w:color w:val="auto"/>
                <w:kern w:val="0"/>
                <w:sz w:val="18"/>
                <w:szCs w:val="20"/>
                <w:highlight w:val="none"/>
                <w:lang w:val="en-US" w:eastAsia="zh-CN"/>
              </w:rPr>
              <w:t>指标</w:t>
            </w:r>
          </w:p>
        </w:tc>
        <w:tc>
          <w:tcPr>
            <w:tcW w:w="129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lang w:val="en-US" w:eastAsia="zh-CN"/>
              </w:rPr>
            </w:pPr>
            <w:r>
              <w:rPr>
                <w:rFonts w:hint="eastAsia" w:ascii="宋体" w:hAnsi="宋体" w:cs="宋体"/>
                <w:b/>
                <w:bCs/>
                <w:color w:val="auto"/>
                <w:kern w:val="0"/>
                <w:sz w:val="18"/>
                <w:szCs w:val="20"/>
                <w:highlight w:val="none"/>
                <w:lang w:val="en-US" w:eastAsia="zh-CN"/>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658" w:hRule="atLeast"/>
          <w:jc w:val="center"/>
        </w:trPr>
        <w:tc>
          <w:tcPr>
            <w:tcW w:w="700" w:type="dxa"/>
            <w:vMerge w:val="restart"/>
            <w:shd w:val="clear" w:color="auto" w:fill="FFFFFF" w:themeFill="background1"/>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none"/>
              </w:rPr>
              <w:t>1</w:t>
            </w:r>
          </w:p>
        </w:tc>
        <w:tc>
          <w:tcPr>
            <w:tcW w:w="1987" w:type="dxa"/>
            <w:vMerge w:val="restart"/>
            <w:shd w:val="clear" w:color="auto" w:fill="FFFFFF" w:themeFill="background1"/>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r>
              <w:rPr>
                <w:rFonts w:hint="eastAsia" w:ascii="宋体" w:hAnsi="宋体" w:eastAsia="宋体" w:cs="宋体"/>
                <w:b/>
                <w:i w:val="0"/>
                <w:color w:val="auto"/>
                <w:kern w:val="0"/>
                <w:sz w:val="18"/>
                <w:szCs w:val="18"/>
                <w:highlight w:val="yellow"/>
                <w:u w:val="none"/>
                <w:lang w:val="en-US" w:eastAsia="zh-CN" w:bidi="ar"/>
              </w:rPr>
              <w:t>超高压输电公司昆明局2026年阀冷外冷水软化剂检测项目</w:t>
            </w:r>
          </w:p>
        </w:tc>
        <w:tc>
          <w:tcPr>
            <w:tcW w:w="1592" w:type="dxa"/>
            <w:vMerge w:val="restart"/>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r>
              <w:rPr>
                <w:rFonts w:hint="default" w:ascii="宋体" w:hAnsi="宋体" w:eastAsia="宋体" w:cs="宋体"/>
                <w:b/>
                <w:i w:val="0"/>
                <w:color w:val="auto"/>
                <w:kern w:val="0"/>
                <w:sz w:val="18"/>
                <w:szCs w:val="18"/>
                <w:highlight w:val="yellow"/>
                <w:u w:val="none"/>
                <w:lang w:val="en-US" w:eastAsia="zh-CN" w:bidi="ar"/>
              </w:rPr>
              <w:t>无磷水处理剂缓蚀阻垢剂</w:t>
            </w:r>
          </w:p>
        </w:tc>
        <w:tc>
          <w:tcPr>
            <w:tcW w:w="1506" w:type="dxa"/>
            <w:shd w:val="clear" w:color="auto" w:fill="FFFFFF" w:themeFill="background1"/>
            <w:noWrap w:val="0"/>
            <w:vAlign w:val="center"/>
          </w:tcPr>
          <w:p>
            <w:pPr>
              <w:spacing w:line="360" w:lineRule="auto"/>
              <w:jc w:val="center"/>
              <w:rPr>
                <w:rFonts w:hint="default" w:ascii="宋体" w:hAnsi="宋体" w:eastAsia="宋体" w:cs="宋体"/>
                <w:color w:val="auto"/>
                <w:kern w:val="2"/>
                <w:sz w:val="18"/>
                <w:szCs w:val="18"/>
                <w:highlight w:val="yellow"/>
                <w:lang w:val="en-US" w:eastAsia="zh-CN" w:bidi="ar-SA"/>
              </w:rPr>
            </w:pPr>
            <w:r>
              <w:rPr>
                <w:rFonts w:hint="eastAsia" w:asciiTheme="minorEastAsia" w:hAnsiTheme="minorEastAsia" w:eastAsiaTheme="minorEastAsia" w:cstheme="minorEastAsia"/>
                <w:sz w:val="24"/>
                <w:szCs w:val="24"/>
              </w:rPr>
              <w:t xml:space="preserve">聚马来酸酐 </w:t>
            </w:r>
          </w:p>
        </w:tc>
        <w:tc>
          <w:tcPr>
            <w:tcW w:w="1290" w:type="dxa"/>
            <w:shd w:val="clear" w:color="auto" w:fill="FFFFFF" w:themeFill="background1"/>
            <w:noWrap w:val="0"/>
            <w:vAlign w:val="center"/>
          </w:tcPr>
          <w:p>
            <w:pPr>
              <w:spacing w:line="360" w:lineRule="auto"/>
              <w:jc w:val="center"/>
              <w:rPr>
                <w:rFonts w:hint="eastAsia"/>
                <w:lang w:val="en-US" w:eastAsia="zh-CN"/>
              </w:rPr>
            </w:pPr>
            <w:r>
              <w:rPr>
                <w:rFonts w:hint="eastAsia" w:asciiTheme="minorEastAsia" w:hAnsiTheme="minorEastAsia" w:eastAsiaTheme="minorEastAsia" w:cstheme="minorEastAsia"/>
                <w:kern w:val="0"/>
                <w:sz w:val="24"/>
                <w:szCs w:val="24"/>
              </w:rPr>
              <w:t>%</w:t>
            </w:r>
          </w:p>
        </w:tc>
        <w:tc>
          <w:tcPr>
            <w:tcW w:w="1290" w:type="dxa"/>
            <w:shd w:val="clear" w:color="auto" w:fill="FFFFFF" w:themeFill="background1"/>
            <w:noWrap w:val="0"/>
            <w:vAlign w:val="center"/>
          </w:tcPr>
          <w:p>
            <w:pPr>
              <w:spacing w:line="360" w:lineRule="auto"/>
              <w:jc w:val="center"/>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418" w:hRule="atLeast"/>
          <w:jc w:val="center"/>
        </w:trPr>
        <w:tc>
          <w:tcPr>
            <w:tcW w:w="700"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olor w:val="auto"/>
                <w:kern w:val="0"/>
                <w:sz w:val="18"/>
                <w:szCs w:val="21"/>
                <w:highlight w:val="none"/>
              </w:rPr>
            </w:pPr>
          </w:p>
        </w:tc>
        <w:tc>
          <w:tcPr>
            <w:tcW w:w="1987" w:type="dxa"/>
            <w:vMerge w:val="continue"/>
            <w:tcBorders/>
            <w:shd w:val="clear" w:color="auto" w:fill="FFFFFF" w:themeFill="background1"/>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p>
        </w:tc>
        <w:tc>
          <w:tcPr>
            <w:tcW w:w="1592"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p>
        </w:tc>
        <w:tc>
          <w:tcPr>
            <w:tcW w:w="1506" w:type="dxa"/>
            <w:shd w:val="clear" w:color="auto" w:fill="FFFFFF" w:themeFill="background1"/>
            <w:noWrap w:val="0"/>
            <w:vAlign w:val="center"/>
          </w:tcPr>
          <w:p>
            <w:pPr>
              <w:spacing w:line="360" w:lineRule="auto"/>
              <w:jc w:val="center"/>
              <w:rPr>
                <w:rFonts w:hint="default" w:ascii="宋体" w:hAnsi="宋体" w:eastAsia="宋体" w:cs="宋体"/>
                <w:color w:val="auto"/>
                <w:kern w:val="2"/>
                <w:sz w:val="18"/>
                <w:szCs w:val="18"/>
                <w:highlight w:val="yellow"/>
                <w:lang w:val="en-US" w:eastAsia="zh-CN" w:bidi="ar-SA"/>
              </w:rPr>
            </w:pPr>
            <w:r>
              <w:rPr>
                <w:rFonts w:hint="eastAsia" w:asciiTheme="minorEastAsia" w:hAnsiTheme="minorEastAsia" w:eastAsiaTheme="minorEastAsia" w:cstheme="minorEastAsia"/>
                <w:sz w:val="24"/>
                <w:szCs w:val="24"/>
              </w:rPr>
              <w:t xml:space="preserve">锌盐 </w:t>
            </w:r>
          </w:p>
        </w:tc>
        <w:tc>
          <w:tcPr>
            <w:tcW w:w="1290" w:type="dxa"/>
            <w:shd w:val="clear" w:color="auto" w:fill="FFFFFF" w:themeFill="background1"/>
            <w:noWrap w:val="0"/>
            <w:vAlign w:val="center"/>
          </w:tcPr>
          <w:p>
            <w:pPr>
              <w:spacing w:line="360" w:lineRule="auto"/>
              <w:jc w:val="center"/>
              <w:rPr>
                <w:rFonts w:hint="eastAsia"/>
                <w:lang w:val="en-US" w:eastAsia="zh-CN"/>
              </w:rPr>
            </w:pPr>
            <w:r>
              <w:rPr>
                <w:rFonts w:hint="eastAsia" w:asciiTheme="minorEastAsia" w:hAnsiTheme="minorEastAsia" w:eastAsiaTheme="minorEastAsia" w:cstheme="minorEastAsia"/>
                <w:kern w:val="0"/>
                <w:sz w:val="24"/>
                <w:szCs w:val="24"/>
              </w:rPr>
              <w:t>%</w:t>
            </w:r>
          </w:p>
        </w:tc>
        <w:tc>
          <w:tcPr>
            <w:tcW w:w="1290" w:type="dxa"/>
            <w:shd w:val="clear" w:color="auto" w:fill="FFFFFF" w:themeFill="background1"/>
            <w:noWrap w:val="0"/>
            <w:vAlign w:val="center"/>
          </w:tcPr>
          <w:p>
            <w:pPr>
              <w:spacing w:line="360" w:lineRule="auto"/>
              <w:jc w:val="center"/>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 w:hRule="atLeast"/>
          <w:jc w:val="center"/>
        </w:trPr>
        <w:tc>
          <w:tcPr>
            <w:tcW w:w="700"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olor w:val="auto"/>
                <w:kern w:val="0"/>
                <w:sz w:val="18"/>
                <w:szCs w:val="21"/>
                <w:highlight w:val="none"/>
              </w:rPr>
            </w:pPr>
          </w:p>
        </w:tc>
        <w:tc>
          <w:tcPr>
            <w:tcW w:w="1987" w:type="dxa"/>
            <w:vMerge w:val="continue"/>
            <w:tcBorders/>
            <w:shd w:val="clear" w:color="auto" w:fill="FFFFFF" w:themeFill="background1"/>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p>
        </w:tc>
        <w:tc>
          <w:tcPr>
            <w:tcW w:w="1592"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p>
        </w:tc>
        <w:tc>
          <w:tcPr>
            <w:tcW w:w="1506" w:type="dxa"/>
            <w:shd w:val="clear" w:color="auto" w:fill="FFFFFF" w:themeFill="background1"/>
            <w:noWrap w:val="0"/>
            <w:vAlign w:val="center"/>
          </w:tcPr>
          <w:p>
            <w:pPr>
              <w:spacing w:line="360" w:lineRule="auto"/>
              <w:jc w:val="center"/>
              <w:rPr>
                <w:rFonts w:hint="default" w:ascii="宋体" w:hAnsi="宋体" w:eastAsia="宋体" w:cs="宋体"/>
                <w:color w:val="auto"/>
                <w:kern w:val="2"/>
                <w:sz w:val="18"/>
                <w:szCs w:val="18"/>
                <w:highlight w:val="yellow"/>
                <w:lang w:val="en-US" w:eastAsia="zh-CN" w:bidi="ar-SA"/>
              </w:rPr>
            </w:pPr>
            <w:r>
              <w:rPr>
                <w:rFonts w:hint="eastAsia" w:asciiTheme="minorEastAsia" w:hAnsiTheme="minorEastAsia" w:eastAsiaTheme="minorEastAsia" w:cstheme="minorEastAsia"/>
                <w:sz w:val="24"/>
                <w:szCs w:val="24"/>
              </w:rPr>
              <w:t xml:space="preserve">无磷螯合剂  </w:t>
            </w:r>
          </w:p>
        </w:tc>
        <w:tc>
          <w:tcPr>
            <w:tcW w:w="1290" w:type="dxa"/>
            <w:shd w:val="clear" w:color="auto" w:fill="FFFFFF" w:themeFill="background1"/>
            <w:noWrap w:val="0"/>
            <w:vAlign w:val="center"/>
          </w:tcPr>
          <w:p>
            <w:pPr>
              <w:spacing w:line="360" w:lineRule="auto"/>
              <w:jc w:val="center"/>
              <w:rPr>
                <w:rFonts w:hint="eastAsia"/>
                <w:lang w:val="en-US" w:eastAsia="zh-CN"/>
              </w:rPr>
            </w:pPr>
            <w:r>
              <w:rPr>
                <w:rFonts w:hint="eastAsia" w:asciiTheme="minorEastAsia" w:hAnsiTheme="minorEastAsia" w:eastAsiaTheme="minorEastAsia" w:cstheme="minorEastAsia"/>
                <w:kern w:val="0"/>
                <w:sz w:val="24"/>
                <w:szCs w:val="24"/>
              </w:rPr>
              <w:t>%</w:t>
            </w:r>
          </w:p>
        </w:tc>
        <w:tc>
          <w:tcPr>
            <w:tcW w:w="1290" w:type="dxa"/>
            <w:shd w:val="clear" w:color="auto" w:fill="FFFFFF" w:themeFill="background1"/>
            <w:noWrap w:val="0"/>
            <w:vAlign w:val="center"/>
          </w:tcPr>
          <w:p>
            <w:pPr>
              <w:spacing w:line="360" w:lineRule="auto"/>
              <w:jc w:val="center"/>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 w:hRule="atLeast"/>
          <w:jc w:val="center"/>
        </w:trPr>
        <w:tc>
          <w:tcPr>
            <w:tcW w:w="700"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olor w:val="auto"/>
                <w:kern w:val="0"/>
                <w:sz w:val="18"/>
                <w:szCs w:val="21"/>
                <w:highlight w:val="none"/>
              </w:rPr>
            </w:pPr>
          </w:p>
        </w:tc>
        <w:tc>
          <w:tcPr>
            <w:tcW w:w="1987" w:type="dxa"/>
            <w:vMerge w:val="continue"/>
            <w:tcBorders/>
            <w:shd w:val="clear" w:color="auto" w:fill="FFFFFF" w:themeFill="background1"/>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p>
        </w:tc>
        <w:tc>
          <w:tcPr>
            <w:tcW w:w="1592"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p>
        </w:tc>
        <w:tc>
          <w:tcPr>
            <w:tcW w:w="1506" w:type="dxa"/>
            <w:shd w:val="clear" w:color="auto" w:fill="FFFFFF" w:themeFill="background1"/>
            <w:noWrap w:val="0"/>
            <w:vAlign w:val="center"/>
          </w:tcPr>
          <w:p>
            <w:pPr>
              <w:spacing w:line="360" w:lineRule="auto"/>
              <w:jc w:val="center"/>
              <w:rPr>
                <w:rFonts w:hint="default" w:ascii="宋体" w:hAnsi="宋体" w:eastAsia="宋体" w:cs="宋体"/>
                <w:color w:val="auto"/>
                <w:kern w:val="2"/>
                <w:sz w:val="18"/>
                <w:szCs w:val="18"/>
                <w:highlight w:val="yellow"/>
                <w:lang w:val="en-US" w:eastAsia="zh-CN" w:bidi="ar-SA"/>
              </w:rPr>
            </w:pPr>
            <w:r>
              <w:rPr>
                <w:rFonts w:hint="eastAsia" w:asciiTheme="minorEastAsia" w:hAnsiTheme="minorEastAsia" w:eastAsiaTheme="minorEastAsia" w:cstheme="minorEastAsia"/>
                <w:sz w:val="24"/>
                <w:szCs w:val="24"/>
              </w:rPr>
              <w:t xml:space="preserve">固体含量 </w:t>
            </w:r>
          </w:p>
        </w:tc>
        <w:tc>
          <w:tcPr>
            <w:tcW w:w="1290" w:type="dxa"/>
            <w:shd w:val="clear" w:color="auto" w:fill="FFFFFF" w:themeFill="background1"/>
            <w:noWrap w:val="0"/>
            <w:vAlign w:val="center"/>
          </w:tcPr>
          <w:p>
            <w:pPr>
              <w:spacing w:line="360" w:lineRule="auto"/>
              <w:jc w:val="center"/>
              <w:rPr>
                <w:rFonts w:hint="eastAsia"/>
                <w:lang w:val="en-US" w:eastAsia="zh-CN"/>
              </w:rPr>
            </w:pPr>
            <w:r>
              <w:rPr>
                <w:rFonts w:hint="eastAsia" w:asciiTheme="minorEastAsia" w:hAnsiTheme="minorEastAsia" w:eastAsiaTheme="minorEastAsia" w:cstheme="minorEastAsia"/>
                <w:kern w:val="0"/>
                <w:sz w:val="24"/>
                <w:szCs w:val="24"/>
              </w:rPr>
              <w:t>%</w:t>
            </w:r>
          </w:p>
        </w:tc>
        <w:tc>
          <w:tcPr>
            <w:tcW w:w="1290" w:type="dxa"/>
            <w:shd w:val="clear" w:color="auto" w:fill="FFFFFF" w:themeFill="background1"/>
            <w:noWrap w:val="0"/>
            <w:vAlign w:val="center"/>
          </w:tcPr>
          <w:p>
            <w:pPr>
              <w:spacing w:line="360" w:lineRule="auto"/>
              <w:jc w:val="center"/>
              <w:rPr>
                <w:rFonts w:hint="eastAsia"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533" w:hRule="atLeast"/>
          <w:jc w:val="center"/>
        </w:trPr>
        <w:tc>
          <w:tcPr>
            <w:tcW w:w="700"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olor w:val="auto"/>
                <w:kern w:val="0"/>
                <w:sz w:val="18"/>
                <w:szCs w:val="21"/>
                <w:highlight w:val="none"/>
              </w:rPr>
            </w:pPr>
          </w:p>
        </w:tc>
        <w:tc>
          <w:tcPr>
            <w:tcW w:w="1987" w:type="dxa"/>
            <w:vMerge w:val="continue"/>
            <w:tcBorders/>
            <w:shd w:val="clear" w:color="auto" w:fill="FFFFFF" w:themeFill="background1"/>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p>
        </w:tc>
        <w:tc>
          <w:tcPr>
            <w:tcW w:w="1592" w:type="dxa"/>
            <w:vMerge w:val="continue"/>
            <w:tcBorders/>
            <w:shd w:val="clear" w:color="auto" w:fill="FFFFFF" w:themeFill="background1"/>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p>
        </w:tc>
        <w:tc>
          <w:tcPr>
            <w:tcW w:w="1506" w:type="dxa"/>
            <w:shd w:val="clear" w:color="auto" w:fill="FFFFFF" w:themeFill="background1"/>
            <w:noWrap w:val="0"/>
            <w:vAlign w:val="center"/>
          </w:tcPr>
          <w:p>
            <w:pPr>
              <w:spacing w:line="360" w:lineRule="auto"/>
              <w:jc w:val="center"/>
              <w:rPr>
                <w:rFonts w:hint="default" w:ascii="宋体" w:hAnsi="宋体" w:eastAsia="宋体" w:cs="宋体"/>
                <w:color w:val="auto"/>
                <w:kern w:val="2"/>
                <w:sz w:val="18"/>
                <w:szCs w:val="18"/>
                <w:highlight w:val="yellow"/>
                <w:lang w:val="en-US" w:eastAsia="zh-CN" w:bidi="ar-SA"/>
              </w:rPr>
            </w:pPr>
            <w:r>
              <w:rPr>
                <w:rFonts w:hint="eastAsia" w:asciiTheme="minorEastAsia" w:hAnsiTheme="minorEastAsia" w:eastAsiaTheme="minorEastAsia" w:cstheme="minorEastAsia"/>
                <w:sz w:val="24"/>
                <w:szCs w:val="24"/>
              </w:rPr>
              <w:t>密度（20℃）</w:t>
            </w:r>
          </w:p>
        </w:tc>
        <w:tc>
          <w:tcPr>
            <w:tcW w:w="1290" w:type="dxa"/>
            <w:shd w:val="clear" w:color="auto" w:fill="FFFFFF" w:themeFill="background1"/>
            <w:noWrap w:val="0"/>
            <w:vAlign w:val="center"/>
          </w:tcPr>
          <w:p>
            <w:pPr>
              <w:spacing w:line="360" w:lineRule="auto"/>
              <w:jc w:val="center"/>
              <w:rPr>
                <w:rFonts w:hint="eastAsia"/>
                <w:lang w:val="en-US" w:eastAsia="zh-CN"/>
              </w:rPr>
            </w:pPr>
            <w:r>
              <w:rPr>
                <w:rFonts w:hint="eastAsia" w:asciiTheme="minorEastAsia" w:hAnsiTheme="minorEastAsia" w:eastAsiaTheme="minorEastAsia" w:cstheme="minorEastAsia"/>
                <w:kern w:val="0"/>
                <w:sz w:val="24"/>
                <w:szCs w:val="24"/>
              </w:rPr>
              <w:t>g/cm</w:t>
            </w:r>
            <w:r>
              <w:rPr>
                <w:rFonts w:hint="eastAsia" w:asciiTheme="minorEastAsia" w:hAnsiTheme="minorEastAsia" w:eastAsiaTheme="minorEastAsia" w:cstheme="minorEastAsia"/>
                <w:kern w:val="0"/>
                <w:sz w:val="24"/>
                <w:szCs w:val="24"/>
                <w:vertAlign w:val="superscript"/>
              </w:rPr>
              <w:t>3</w:t>
            </w:r>
          </w:p>
        </w:tc>
        <w:tc>
          <w:tcPr>
            <w:tcW w:w="1290" w:type="dxa"/>
            <w:shd w:val="clear" w:color="auto" w:fill="FFFFFF" w:themeFill="background1"/>
            <w:noWrap w:val="0"/>
            <w:vAlign w:val="center"/>
          </w:tcPr>
          <w:p>
            <w:pPr>
              <w:spacing w:line="360" w:lineRule="auto"/>
              <w:jc w:val="center"/>
              <w:rPr>
                <w:rFonts w:hint="eastAsia" w:asciiTheme="minorEastAsia" w:hAnsiTheme="minorEastAsia" w:eastAsiaTheme="minorEastAsia" w:cstheme="minorEastAsia"/>
                <w:kern w:val="0"/>
                <w:sz w:val="24"/>
                <w:szCs w:val="24"/>
              </w:rPr>
            </w:pPr>
          </w:p>
        </w:tc>
      </w:tr>
    </w:tbl>
    <w:p>
      <w:pPr>
        <w:spacing w:line="360" w:lineRule="auto"/>
        <w:jc w:val="left"/>
        <w:rPr>
          <w:rFonts w:hint="eastAsia" w:ascii="宋体" w:hAnsi="宋体"/>
          <w:bCs/>
          <w:spacing w:val="15"/>
          <w:szCs w:val="21"/>
        </w:rPr>
      </w:pPr>
    </w:p>
    <w:p>
      <w:pPr>
        <w:spacing w:line="360" w:lineRule="auto"/>
        <w:jc w:val="left"/>
        <w:rPr>
          <w:rFonts w:hint="eastAsia" w:ascii="宋体" w:hAnsi="宋体"/>
          <w:bCs/>
          <w:spacing w:val="15"/>
          <w:szCs w:val="21"/>
        </w:rPr>
      </w:pPr>
    </w:p>
    <w:p>
      <w:pPr>
        <w:spacing w:line="360" w:lineRule="auto"/>
        <w:jc w:val="left"/>
        <w:rPr>
          <w:rFonts w:hint="eastAsia" w:ascii="宋体" w:hAnsi="宋体"/>
          <w:bCs/>
          <w:spacing w:val="15"/>
          <w:szCs w:val="21"/>
        </w:rPr>
      </w:pPr>
    </w:p>
    <w:p>
      <w:pPr>
        <w:adjustRightInd w:val="0"/>
        <w:snapToGrid w:val="0"/>
        <w:spacing w:line="360" w:lineRule="auto"/>
        <w:rPr>
          <w:i/>
          <w:sz w:val="24"/>
          <w:szCs w:val="28"/>
        </w:rPr>
      </w:pPr>
    </w:p>
    <w:sectPr>
      <w:headerReference r:id="rId5" w:type="default"/>
      <w:foot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10" w:usb3="00000000" w:csb0="0004009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pVKTv2AEAALMDAAAOAAAAAAAAAAEAIAAA&#10;AB4BAABkcnMvZTJvRG9jLnhtbFBLBQYAAAAABgAGAFkBAABoBQAAAAA=&#10;">
              <v:fill on="f" focussize="0,0"/>
              <v:stroke on="f"/>
              <v:imagedata o:title=""/>
              <o:lock v:ext="edit" aspectratio="f"/>
              <v:textbox inset="0mm,0mm,0mm,0mm" style="mso-fit-shape-to-text:t;">
                <w:txbxContent>
                  <w:p>
                    <w:pPr>
                      <w:pStyle w:val="1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w:t>
                    </w:r>
                    <w:r>
                      <w:rPr>
                        <w:rFonts w:hint="eastAsia"/>
                      </w:rPr>
                      <w:fldChar w:fldCharType="end"/>
                    </w:r>
                    <w:r>
                      <w:rPr>
                        <w:rFonts w:hint="eastAsia"/>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Hvq/BdYBAACzAwAADgAAAAAAAAABACAAAAAe&#10;AQAAZHJzL2Uyb0RvYy54bWxQSwUGAAAAAAYABgBZAQAAZgUAAAAA&#10;">
              <v:fill on="f" focussize="0,0"/>
              <v:stroke on="f"/>
              <v:imagedata o:title=""/>
              <o:lock v:ext="edit" aspectratio="f"/>
              <v:textbox inset="0mm,0mm,0mm,0mm" style="mso-fit-shape-to-text:t;">
                <w:txbxContent>
                  <w:p>
                    <w:pPr>
                      <w:pStyle w:val="1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5emJ72AEAALMDAAAOAAAAAAAAAAEAIAAA&#10;AB4BAABkcnMvZTJvRG9jLnhtbFBLBQYAAAAABgAGAFkBAABoBQAAAAA=&#10;">
              <v:fill on="f" focussize="0,0"/>
              <v:stroke on="f"/>
              <v:imagedata o:title=""/>
              <o:lock v:ext="edit" aspectratio="f"/>
              <v:textbox inset="0mm,0mm,0mm,0mm" style="mso-fit-shape-to-text:t;">
                <w:txbxContent>
                  <w:p>
                    <w:pPr>
                      <w:pStyle w:val="1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w:t>
                    </w:r>
                    <w:r>
                      <w:rPr>
                        <w:rFonts w:hint="eastAsia"/>
                      </w:rPr>
                      <w:fldChar w:fldCharType="end"/>
                    </w:r>
                    <w:r>
                      <w:rPr>
                        <w:rFonts w:hint="eastAsia"/>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667E75DA"/>
    <w:multiLevelType w:val="singleLevel"/>
    <w:tmpl w:val="667E75DA"/>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93D27"/>
    <w:rsid w:val="000A0338"/>
    <w:rsid w:val="000A05A7"/>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1F7F05"/>
    <w:rsid w:val="00202439"/>
    <w:rsid w:val="002051A7"/>
    <w:rsid w:val="002222D9"/>
    <w:rsid w:val="00222332"/>
    <w:rsid w:val="00225CD4"/>
    <w:rsid w:val="00234D39"/>
    <w:rsid w:val="002456E2"/>
    <w:rsid w:val="00246EEE"/>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01C47"/>
    <w:rsid w:val="003200DE"/>
    <w:rsid w:val="00332189"/>
    <w:rsid w:val="00332FE7"/>
    <w:rsid w:val="003352D9"/>
    <w:rsid w:val="0033775C"/>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041E4"/>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5605D"/>
    <w:rsid w:val="004625B1"/>
    <w:rsid w:val="004627AC"/>
    <w:rsid w:val="004838F3"/>
    <w:rsid w:val="00484705"/>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3256D"/>
    <w:rsid w:val="0054365F"/>
    <w:rsid w:val="00543EDD"/>
    <w:rsid w:val="005539C5"/>
    <w:rsid w:val="005575AB"/>
    <w:rsid w:val="00573D00"/>
    <w:rsid w:val="0057420E"/>
    <w:rsid w:val="005749A4"/>
    <w:rsid w:val="00580CEA"/>
    <w:rsid w:val="00590BD1"/>
    <w:rsid w:val="00595F22"/>
    <w:rsid w:val="005A0EFB"/>
    <w:rsid w:val="005A2491"/>
    <w:rsid w:val="005A2E56"/>
    <w:rsid w:val="005B420D"/>
    <w:rsid w:val="005C4583"/>
    <w:rsid w:val="005C4E46"/>
    <w:rsid w:val="005D34E7"/>
    <w:rsid w:val="005E72BF"/>
    <w:rsid w:val="00603398"/>
    <w:rsid w:val="00603F9F"/>
    <w:rsid w:val="00613307"/>
    <w:rsid w:val="0061467A"/>
    <w:rsid w:val="006204BE"/>
    <w:rsid w:val="006211D3"/>
    <w:rsid w:val="00622E1F"/>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6EFD"/>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0B9"/>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51B94"/>
    <w:rsid w:val="00961171"/>
    <w:rsid w:val="00965AA6"/>
    <w:rsid w:val="00967495"/>
    <w:rsid w:val="009703FB"/>
    <w:rsid w:val="009742E3"/>
    <w:rsid w:val="00977288"/>
    <w:rsid w:val="00981450"/>
    <w:rsid w:val="00984C01"/>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82115"/>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5D83"/>
    <w:rsid w:val="00BF711C"/>
    <w:rsid w:val="00BF744F"/>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4756"/>
    <w:rsid w:val="00CD6047"/>
    <w:rsid w:val="00CD6F3A"/>
    <w:rsid w:val="00CE40B0"/>
    <w:rsid w:val="00CE4A5A"/>
    <w:rsid w:val="00CE568A"/>
    <w:rsid w:val="00CE6F75"/>
    <w:rsid w:val="00CF2745"/>
    <w:rsid w:val="00CF51BC"/>
    <w:rsid w:val="00CF6FE5"/>
    <w:rsid w:val="00D00EA4"/>
    <w:rsid w:val="00D03597"/>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578CA"/>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12AC"/>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82DA3"/>
    <w:rsid w:val="00F90887"/>
    <w:rsid w:val="00F9155A"/>
    <w:rsid w:val="00FA33CB"/>
    <w:rsid w:val="00FA7C7C"/>
    <w:rsid w:val="00FC4079"/>
    <w:rsid w:val="00FD0E87"/>
    <w:rsid w:val="00FD2042"/>
    <w:rsid w:val="00FE5DDA"/>
    <w:rsid w:val="00FE6F00"/>
    <w:rsid w:val="00FE77EB"/>
    <w:rsid w:val="01821D94"/>
    <w:rsid w:val="01B828C9"/>
    <w:rsid w:val="01B9269D"/>
    <w:rsid w:val="025E0DD8"/>
    <w:rsid w:val="02D870A3"/>
    <w:rsid w:val="034F7452"/>
    <w:rsid w:val="03B4531C"/>
    <w:rsid w:val="03C52189"/>
    <w:rsid w:val="03E32732"/>
    <w:rsid w:val="04062B5A"/>
    <w:rsid w:val="041A1B2E"/>
    <w:rsid w:val="046929B9"/>
    <w:rsid w:val="049A5843"/>
    <w:rsid w:val="04BE3881"/>
    <w:rsid w:val="051C42C3"/>
    <w:rsid w:val="05B00FCA"/>
    <w:rsid w:val="062E2840"/>
    <w:rsid w:val="063F4738"/>
    <w:rsid w:val="073549D8"/>
    <w:rsid w:val="075E3E2B"/>
    <w:rsid w:val="07913BAC"/>
    <w:rsid w:val="07B6137A"/>
    <w:rsid w:val="083B6907"/>
    <w:rsid w:val="08526B56"/>
    <w:rsid w:val="087F409B"/>
    <w:rsid w:val="08C55260"/>
    <w:rsid w:val="092659BA"/>
    <w:rsid w:val="09F9374C"/>
    <w:rsid w:val="0A2E631D"/>
    <w:rsid w:val="0A3E0126"/>
    <w:rsid w:val="0A7F3E44"/>
    <w:rsid w:val="0BC3466F"/>
    <w:rsid w:val="0C1A2F92"/>
    <w:rsid w:val="0C354A3B"/>
    <w:rsid w:val="0E54466D"/>
    <w:rsid w:val="0EC41B49"/>
    <w:rsid w:val="0EE0247C"/>
    <w:rsid w:val="0F4972DB"/>
    <w:rsid w:val="0F7850A6"/>
    <w:rsid w:val="0F7949C3"/>
    <w:rsid w:val="0FDA3648"/>
    <w:rsid w:val="100C449B"/>
    <w:rsid w:val="100E26A7"/>
    <w:rsid w:val="1035323F"/>
    <w:rsid w:val="103D2D37"/>
    <w:rsid w:val="1073703B"/>
    <w:rsid w:val="10C45922"/>
    <w:rsid w:val="11355FF0"/>
    <w:rsid w:val="1156776B"/>
    <w:rsid w:val="12161D55"/>
    <w:rsid w:val="1314606E"/>
    <w:rsid w:val="13156B06"/>
    <w:rsid w:val="132C5BF7"/>
    <w:rsid w:val="140F06C2"/>
    <w:rsid w:val="14550A07"/>
    <w:rsid w:val="147A7BAD"/>
    <w:rsid w:val="14946CE5"/>
    <w:rsid w:val="14BE50C3"/>
    <w:rsid w:val="15D96441"/>
    <w:rsid w:val="16663788"/>
    <w:rsid w:val="16EC768C"/>
    <w:rsid w:val="179558CA"/>
    <w:rsid w:val="180735DD"/>
    <w:rsid w:val="187A7DD8"/>
    <w:rsid w:val="18A76B2D"/>
    <w:rsid w:val="18CF6DB2"/>
    <w:rsid w:val="19407C54"/>
    <w:rsid w:val="1A8470E6"/>
    <w:rsid w:val="1AD676E6"/>
    <w:rsid w:val="1AE23044"/>
    <w:rsid w:val="1B264AAD"/>
    <w:rsid w:val="1B713205"/>
    <w:rsid w:val="1BE060DE"/>
    <w:rsid w:val="1C3B30F3"/>
    <w:rsid w:val="1C672847"/>
    <w:rsid w:val="1C956124"/>
    <w:rsid w:val="1CC20DC2"/>
    <w:rsid w:val="1D415530"/>
    <w:rsid w:val="1D552E2E"/>
    <w:rsid w:val="1D78359A"/>
    <w:rsid w:val="1ECA6B07"/>
    <w:rsid w:val="1ED31749"/>
    <w:rsid w:val="1F0F5FAA"/>
    <w:rsid w:val="1F2136EC"/>
    <w:rsid w:val="1F8006F0"/>
    <w:rsid w:val="1F857D48"/>
    <w:rsid w:val="1F9C6EAC"/>
    <w:rsid w:val="203639E3"/>
    <w:rsid w:val="204F4AC1"/>
    <w:rsid w:val="20851052"/>
    <w:rsid w:val="214E4685"/>
    <w:rsid w:val="22F06585"/>
    <w:rsid w:val="235A7010"/>
    <w:rsid w:val="23D67016"/>
    <w:rsid w:val="23D94EBE"/>
    <w:rsid w:val="25370D4C"/>
    <w:rsid w:val="25B52F31"/>
    <w:rsid w:val="25BC5D51"/>
    <w:rsid w:val="25E254EC"/>
    <w:rsid w:val="261137CA"/>
    <w:rsid w:val="261C7998"/>
    <w:rsid w:val="266C56A8"/>
    <w:rsid w:val="26797CC9"/>
    <w:rsid w:val="26D5657B"/>
    <w:rsid w:val="273676B6"/>
    <w:rsid w:val="27AA3BC1"/>
    <w:rsid w:val="27D25C62"/>
    <w:rsid w:val="285D58AC"/>
    <w:rsid w:val="288104FE"/>
    <w:rsid w:val="28952AAD"/>
    <w:rsid w:val="28C56849"/>
    <w:rsid w:val="28F37585"/>
    <w:rsid w:val="29E2439B"/>
    <w:rsid w:val="29F64DD2"/>
    <w:rsid w:val="2A6A606B"/>
    <w:rsid w:val="2AD36B33"/>
    <w:rsid w:val="2AD51CF7"/>
    <w:rsid w:val="2B8A0056"/>
    <w:rsid w:val="2BAD6219"/>
    <w:rsid w:val="2C9676F0"/>
    <w:rsid w:val="2DA87C1A"/>
    <w:rsid w:val="2DB87413"/>
    <w:rsid w:val="2E4C050F"/>
    <w:rsid w:val="2E8D7D2F"/>
    <w:rsid w:val="2EA04932"/>
    <w:rsid w:val="2EA66679"/>
    <w:rsid w:val="2EAC3366"/>
    <w:rsid w:val="2F3121C1"/>
    <w:rsid w:val="2F652C91"/>
    <w:rsid w:val="2F727BEB"/>
    <w:rsid w:val="2F984150"/>
    <w:rsid w:val="2FB13F2F"/>
    <w:rsid w:val="30173030"/>
    <w:rsid w:val="307909F5"/>
    <w:rsid w:val="31330842"/>
    <w:rsid w:val="321D5DC9"/>
    <w:rsid w:val="32210F5A"/>
    <w:rsid w:val="32300D7B"/>
    <w:rsid w:val="323B6D41"/>
    <w:rsid w:val="326C3ABD"/>
    <w:rsid w:val="3303247B"/>
    <w:rsid w:val="34350F39"/>
    <w:rsid w:val="348B67B2"/>
    <w:rsid w:val="34B5794F"/>
    <w:rsid w:val="34C249ED"/>
    <w:rsid w:val="358A2BF5"/>
    <w:rsid w:val="35CF70D5"/>
    <w:rsid w:val="36152FD7"/>
    <w:rsid w:val="36A42B7E"/>
    <w:rsid w:val="3764168B"/>
    <w:rsid w:val="37BA45DD"/>
    <w:rsid w:val="38185806"/>
    <w:rsid w:val="387244B3"/>
    <w:rsid w:val="38BC29E2"/>
    <w:rsid w:val="38ED1F5F"/>
    <w:rsid w:val="39482225"/>
    <w:rsid w:val="39B267B5"/>
    <w:rsid w:val="3B8F4D02"/>
    <w:rsid w:val="3BA37894"/>
    <w:rsid w:val="3BB30D00"/>
    <w:rsid w:val="3BEA0C59"/>
    <w:rsid w:val="3C2F458B"/>
    <w:rsid w:val="3C75315F"/>
    <w:rsid w:val="3CE8603A"/>
    <w:rsid w:val="3CEC79B3"/>
    <w:rsid w:val="3CED20A3"/>
    <w:rsid w:val="3D1F7818"/>
    <w:rsid w:val="3D5F4473"/>
    <w:rsid w:val="3D741E72"/>
    <w:rsid w:val="3E361E39"/>
    <w:rsid w:val="3E6D0FF9"/>
    <w:rsid w:val="3E8E1D50"/>
    <w:rsid w:val="3F035FA2"/>
    <w:rsid w:val="4014667E"/>
    <w:rsid w:val="408A5DCF"/>
    <w:rsid w:val="410E47EB"/>
    <w:rsid w:val="416E0D0B"/>
    <w:rsid w:val="41F8723A"/>
    <w:rsid w:val="4242506E"/>
    <w:rsid w:val="424A3D1C"/>
    <w:rsid w:val="42DD3310"/>
    <w:rsid w:val="430F4373"/>
    <w:rsid w:val="43325685"/>
    <w:rsid w:val="43AB0076"/>
    <w:rsid w:val="441954A4"/>
    <w:rsid w:val="44567C31"/>
    <w:rsid w:val="447D2F01"/>
    <w:rsid w:val="451C0B04"/>
    <w:rsid w:val="45B32254"/>
    <w:rsid w:val="46537E1E"/>
    <w:rsid w:val="46596752"/>
    <w:rsid w:val="46611E50"/>
    <w:rsid w:val="46C0579A"/>
    <w:rsid w:val="46F348A7"/>
    <w:rsid w:val="47337B88"/>
    <w:rsid w:val="47951D7D"/>
    <w:rsid w:val="47F00835"/>
    <w:rsid w:val="47FE1AA5"/>
    <w:rsid w:val="48144B48"/>
    <w:rsid w:val="48581E9C"/>
    <w:rsid w:val="492A7774"/>
    <w:rsid w:val="492E21AA"/>
    <w:rsid w:val="493E4C2C"/>
    <w:rsid w:val="499F3097"/>
    <w:rsid w:val="4AC240CE"/>
    <w:rsid w:val="4BA0108B"/>
    <w:rsid w:val="4C183012"/>
    <w:rsid w:val="4C2C14E4"/>
    <w:rsid w:val="4C534A46"/>
    <w:rsid w:val="4D075171"/>
    <w:rsid w:val="4D2151EC"/>
    <w:rsid w:val="4D9A67C1"/>
    <w:rsid w:val="4DD7520B"/>
    <w:rsid w:val="4DFE26A6"/>
    <w:rsid w:val="4ED96C18"/>
    <w:rsid w:val="4F2802FF"/>
    <w:rsid w:val="4F4C55D1"/>
    <w:rsid w:val="4F5D4369"/>
    <w:rsid w:val="4F6958AF"/>
    <w:rsid w:val="4F6D6CE0"/>
    <w:rsid w:val="4F8657FB"/>
    <w:rsid w:val="4F9F6D7C"/>
    <w:rsid w:val="4FD2303B"/>
    <w:rsid w:val="502D7B5F"/>
    <w:rsid w:val="50325168"/>
    <w:rsid w:val="50B12C8B"/>
    <w:rsid w:val="50CA4035"/>
    <w:rsid w:val="50CB0291"/>
    <w:rsid w:val="512E482E"/>
    <w:rsid w:val="51935E36"/>
    <w:rsid w:val="51C22051"/>
    <w:rsid w:val="520B1255"/>
    <w:rsid w:val="523F3141"/>
    <w:rsid w:val="52447517"/>
    <w:rsid w:val="528237A0"/>
    <w:rsid w:val="52DE7476"/>
    <w:rsid w:val="53043BE7"/>
    <w:rsid w:val="53414F99"/>
    <w:rsid w:val="5347027E"/>
    <w:rsid w:val="53755256"/>
    <w:rsid w:val="538C4C1A"/>
    <w:rsid w:val="53BD03E4"/>
    <w:rsid w:val="53E12F63"/>
    <w:rsid w:val="54F32AAD"/>
    <w:rsid w:val="55275981"/>
    <w:rsid w:val="56277BE8"/>
    <w:rsid w:val="567837CC"/>
    <w:rsid w:val="567B31FF"/>
    <w:rsid w:val="56B7196F"/>
    <w:rsid w:val="57A67939"/>
    <w:rsid w:val="57AD7B77"/>
    <w:rsid w:val="583637FD"/>
    <w:rsid w:val="588C3C46"/>
    <w:rsid w:val="597727A7"/>
    <w:rsid w:val="59B82529"/>
    <w:rsid w:val="59C70A2D"/>
    <w:rsid w:val="59CD2E7C"/>
    <w:rsid w:val="59FA7ACE"/>
    <w:rsid w:val="5A2055FA"/>
    <w:rsid w:val="5A9162C7"/>
    <w:rsid w:val="5BBE5D32"/>
    <w:rsid w:val="5C4864E5"/>
    <w:rsid w:val="5C6E7B33"/>
    <w:rsid w:val="5C7A6721"/>
    <w:rsid w:val="5CAE734B"/>
    <w:rsid w:val="5E66217E"/>
    <w:rsid w:val="5E8F4CFE"/>
    <w:rsid w:val="5EA36B71"/>
    <w:rsid w:val="5EA745C4"/>
    <w:rsid w:val="5EB41721"/>
    <w:rsid w:val="5F550F18"/>
    <w:rsid w:val="5F5A21B1"/>
    <w:rsid w:val="5F9240B8"/>
    <w:rsid w:val="5FC27567"/>
    <w:rsid w:val="60777162"/>
    <w:rsid w:val="60E5658B"/>
    <w:rsid w:val="61047630"/>
    <w:rsid w:val="614F74E7"/>
    <w:rsid w:val="61527613"/>
    <w:rsid w:val="61904AF7"/>
    <w:rsid w:val="62231BDA"/>
    <w:rsid w:val="624B66BE"/>
    <w:rsid w:val="626324CF"/>
    <w:rsid w:val="626A34E8"/>
    <w:rsid w:val="634E627D"/>
    <w:rsid w:val="63616C49"/>
    <w:rsid w:val="63AB7660"/>
    <w:rsid w:val="643B6153"/>
    <w:rsid w:val="649E47CB"/>
    <w:rsid w:val="650E4193"/>
    <w:rsid w:val="65524600"/>
    <w:rsid w:val="6562603E"/>
    <w:rsid w:val="66175FEA"/>
    <w:rsid w:val="669F4A33"/>
    <w:rsid w:val="69B347EA"/>
    <w:rsid w:val="6A6F363F"/>
    <w:rsid w:val="6A95270A"/>
    <w:rsid w:val="6B52252E"/>
    <w:rsid w:val="6B772BE3"/>
    <w:rsid w:val="6BCC516E"/>
    <w:rsid w:val="6CFA7795"/>
    <w:rsid w:val="6CFC0368"/>
    <w:rsid w:val="6D9B2C8F"/>
    <w:rsid w:val="6DD260B4"/>
    <w:rsid w:val="6DED79A2"/>
    <w:rsid w:val="6F381897"/>
    <w:rsid w:val="6F9E7ED2"/>
    <w:rsid w:val="70024AAD"/>
    <w:rsid w:val="701A510A"/>
    <w:rsid w:val="70232CBC"/>
    <w:rsid w:val="707B6214"/>
    <w:rsid w:val="709B56DD"/>
    <w:rsid w:val="70E50C0B"/>
    <w:rsid w:val="71EE5A30"/>
    <w:rsid w:val="725956F5"/>
    <w:rsid w:val="73116865"/>
    <w:rsid w:val="73343929"/>
    <w:rsid w:val="73D83A50"/>
    <w:rsid w:val="7447541E"/>
    <w:rsid w:val="7499252B"/>
    <w:rsid w:val="74B86110"/>
    <w:rsid w:val="7508001A"/>
    <w:rsid w:val="750F324B"/>
    <w:rsid w:val="75252D2D"/>
    <w:rsid w:val="75296802"/>
    <w:rsid w:val="75E33BE4"/>
    <w:rsid w:val="75EE1F37"/>
    <w:rsid w:val="76485B87"/>
    <w:rsid w:val="764D7715"/>
    <w:rsid w:val="7679632F"/>
    <w:rsid w:val="76D94EA2"/>
    <w:rsid w:val="77AC2415"/>
    <w:rsid w:val="791C5B9D"/>
    <w:rsid w:val="792B19EE"/>
    <w:rsid w:val="79327448"/>
    <w:rsid w:val="7A0E1F9B"/>
    <w:rsid w:val="7A100BD0"/>
    <w:rsid w:val="7A8C3469"/>
    <w:rsid w:val="7B3C0197"/>
    <w:rsid w:val="7B874AA9"/>
    <w:rsid w:val="7D482DB6"/>
    <w:rsid w:val="7E0C2EE2"/>
    <w:rsid w:val="7ED14631"/>
    <w:rsid w:val="7FCF30B9"/>
    <w:rsid w:val="7FF34EAA"/>
    <w:rsid w:val="7FF36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paragraph" w:styleId="5">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26"/>
    <w:unhideWhenUsed/>
    <w:qFormat/>
    <w:uiPriority w:val="99"/>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Normal Indent"/>
    <w:basedOn w:val="1"/>
    <w:link w:val="18"/>
    <w:qFormat/>
    <w:uiPriority w:val="0"/>
    <w:pPr>
      <w:ind w:firstLine="420" w:firstLineChars="200"/>
    </w:pPr>
    <w:rPr>
      <w:rFonts w:ascii="Times New Roman" w:hAnsi="Times New Roman"/>
      <w:szCs w:val="20"/>
    </w:rPr>
  </w:style>
  <w:style w:type="paragraph" w:styleId="7">
    <w:name w:val="Document Map"/>
    <w:basedOn w:val="1"/>
    <w:link w:val="19"/>
    <w:unhideWhenUsed/>
    <w:qFormat/>
    <w:uiPriority w:val="99"/>
    <w:rPr>
      <w:rFonts w:ascii="宋体"/>
      <w:sz w:val="18"/>
      <w:szCs w:val="18"/>
    </w:rPr>
  </w:style>
  <w:style w:type="paragraph" w:styleId="8">
    <w:name w:val="Plain Text"/>
    <w:basedOn w:val="1"/>
    <w:link w:val="21"/>
    <w:qFormat/>
    <w:uiPriority w:val="0"/>
    <w:rPr>
      <w:rFonts w:ascii="宋体" w:hAnsi="Courier New"/>
      <w:kern w:val="0"/>
      <w:sz w:val="20"/>
      <w:szCs w:val="20"/>
    </w:rPr>
  </w:style>
  <w:style w:type="paragraph" w:styleId="9">
    <w:name w:val="Balloon Text"/>
    <w:basedOn w:val="1"/>
    <w:link w:val="22"/>
    <w:unhideWhenUsed/>
    <w:qFormat/>
    <w:uiPriority w:val="99"/>
    <w:rPr>
      <w:sz w:val="18"/>
      <w:szCs w:val="18"/>
    </w:rPr>
  </w:style>
  <w:style w:type="paragraph" w:styleId="10">
    <w:name w:val="footer"/>
    <w:basedOn w:val="1"/>
    <w:link w:val="23"/>
    <w:unhideWhenUsed/>
    <w:qFormat/>
    <w:uiPriority w:val="99"/>
    <w:pPr>
      <w:tabs>
        <w:tab w:val="center" w:pos="4153"/>
        <w:tab w:val="right" w:pos="8306"/>
      </w:tabs>
      <w:snapToGrid w:val="0"/>
      <w:jc w:val="left"/>
    </w:pPr>
    <w:rPr>
      <w:kern w:val="0"/>
      <w:sz w:val="18"/>
      <w:szCs w:val="18"/>
    </w:rPr>
  </w:style>
  <w:style w:type="paragraph" w:styleId="11">
    <w:name w:val="header"/>
    <w:basedOn w:val="1"/>
    <w:link w:val="24"/>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13">
    <w:name w:val="Body Text First Indent"/>
    <w:basedOn w:val="1"/>
    <w:link w:val="25"/>
    <w:unhideWhenUsed/>
    <w:qFormat/>
    <w:uiPriority w:val="0"/>
    <w:pPr>
      <w:spacing w:beforeLines="50" w:line="360" w:lineRule="auto"/>
      <w:ind w:firstLine="200" w:firstLineChars="200"/>
    </w:pPr>
    <w:rPr>
      <w:rFonts w:ascii="Times New Roman" w:hAnsi="Times New Roman"/>
      <w:sz w:val="24"/>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unhideWhenUsed/>
    <w:qFormat/>
    <w:uiPriority w:val="99"/>
    <w:rPr>
      <w:color w:val="0000FF"/>
      <w:u w:val="single"/>
    </w:rPr>
  </w:style>
  <w:style w:type="character" w:customStyle="1" w:styleId="18">
    <w:name w:val="正文缩进 字符"/>
    <w:link w:val="6"/>
    <w:qFormat/>
    <w:uiPriority w:val="0"/>
    <w:rPr>
      <w:rFonts w:ascii="Times New Roman" w:hAnsi="Times New Roman"/>
      <w:kern w:val="2"/>
      <w:sz w:val="21"/>
    </w:rPr>
  </w:style>
  <w:style w:type="character" w:customStyle="1" w:styleId="19">
    <w:name w:val="文档结构图 字符"/>
    <w:link w:val="7"/>
    <w:semiHidden/>
    <w:qFormat/>
    <w:uiPriority w:val="99"/>
    <w:rPr>
      <w:rFonts w:ascii="宋体"/>
      <w:kern w:val="2"/>
      <w:sz w:val="18"/>
      <w:szCs w:val="18"/>
    </w:rPr>
  </w:style>
  <w:style w:type="character" w:customStyle="1" w:styleId="20">
    <w:name w:val="正文文本 Char"/>
    <w:semiHidden/>
    <w:qFormat/>
    <w:uiPriority w:val="99"/>
    <w:rPr>
      <w:kern w:val="2"/>
      <w:sz w:val="21"/>
      <w:szCs w:val="22"/>
    </w:rPr>
  </w:style>
  <w:style w:type="character" w:customStyle="1" w:styleId="21">
    <w:name w:val="纯文本 字符"/>
    <w:link w:val="8"/>
    <w:qFormat/>
    <w:uiPriority w:val="0"/>
    <w:rPr>
      <w:rFonts w:ascii="宋体" w:hAnsi="Courier New"/>
    </w:rPr>
  </w:style>
  <w:style w:type="character" w:customStyle="1" w:styleId="22">
    <w:name w:val="批注框文本 字符"/>
    <w:link w:val="9"/>
    <w:semiHidden/>
    <w:qFormat/>
    <w:uiPriority w:val="99"/>
    <w:rPr>
      <w:kern w:val="2"/>
      <w:sz w:val="18"/>
      <w:szCs w:val="18"/>
    </w:rPr>
  </w:style>
  <w:style w:type="character" w:customStyle="1" w:styleId="23">
    <w:name w:val="页脚 字符"/>
    <w:link w:val="10"/>
    <w:qFormat/>
    <w:uiPriority w:val="99"/>
    <w:rPr>
      <w:sz w:val="18"/>
      <w:szCs w:val="18"/>
    </w:rPr>
  </w:style>
  <w:style w:type="character" w:customStyle="1" w:styleId="24">
    <w:name w:val="页眉 字符"/>
    <w:link w:val="11"/>
    <w:qFormat/>
    <w:uiPriority w:val="99"/>
    <w:rPr>
      <w:sz w:val="18"/>
      <w:szCs w:val="18"/>
    </w:rPr>
  </w:style>
  <w:style w:type="character" w:customStyle="1" w:styleId="25">
    <w:name w:val="正文文本首行缩进 字符"/>
    <w:link w:val="13"/>
    <w:qFormat/>
    <w:uiPriority w:val="0"/>
    <w:rPr>
      <w:rFonts w:ascii="Times New Roman" w:hAnsi="Times New Roman"/>
      <w:kern w:val="2"/>
      <w:sz w:val="24"/>
      <w:szCs w:val="24"/>
    </w:rPr>
  </w:style>
  <w:style w:type="character" w:customStyle="1" w:styleId="26">
    <w:name w:val="正文文本 字符"/>
    <w:basedOn w:val="16"/>
    <w:link w:val="2"/>
    <w:qFormat/>
    <w:uiPriority w:val="0"/>
    <w:rPr>
      <w:rFonts w:hint="default" w:ascii="Times New Roman" w:hAnsi="Times New Roman" w:cs="Times New Roman"/>
      <w:kern w:val="2"/>
      <w:sz w:val="21"/>
      <w:szCs w:val="22"/>
    </w:rPr>
  </w:style>
  <w:style w:type="character" w:customStyle="1" w:styleId="27">
    <w:name w:val="font21"/>
    <w:basedOn w:val="16"/>
    <w:qFormat/>
    <w:uiPriority w:val="0"/>
    <w:rPr>
      <w:rFonts w:hint="eastAsia" w:ascii="宋体" w:hAnsi="宋体" w:eastAsia="宋体" w:cs="宋体"/>
      <w:b/>
      <w:color w:val="000000"/>
      <w:sz w:val="21"/>
      <w:szCs w:val="21"/>
      <w:u w:val="none"/>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纯文本 Char1"/>
    <w:semiHidden/>
    <w:qFormat/>
    <w:uiPriority w:val="99"/>
    <w:rPr>
      <w:rFonts w:ascii="宋体" w:hAnsi="Courier New" w:cs="Courier New"/>
      <w:kern w:val="2"/>
      <w:sz w:val="21"/>
      <w:szCs w:val="21"/>
    </w:rPr>
  </w:style>
  <w:style w:type="paragraph" w:customStyle="1" w:styleId="30">
    <w:name w:val="Other|1"/>
    <w:basedOn w:val="1"/>
    <w:qFormat/>
    <w:uiPriority w:val="0"/>
    <w:rPr>
      <w:rFonts w:ascii="宋体" w:hAnsi="宋体" w:cs="宋体"/>
      <w:sz w:val="19"/>
      <w:szCs w:val="19"/>
      <w:lang w:val="zh-TW" w:eastAsia="zh-TW" w:bidi="zh-TW"/>
    </w:rPr>
  </w:style>
  <w:style w:type="paragraph" w:customStyle="1" w:styleId="31">
    <w:name w:val="仅文号"/>
    <w:basedOn w:val="1"/>
    <w:qFormat/>
    <w:uiPriority w:val="0"/>
    <w:pPr>
      <w:suppressAutoHyphens/>
      <w:adjustRightInd w:val="0"/>
      <w:snapToGrid w:val="0"/>
      <w:spacing w:line="348" w:lineRule="auto"/>
      <w:jc w:val="center"/>
    </w:pPr>
    <w:rPr>
      <w:rFonts w:hint="eastAsia" w:ascii="仿宋_GB2312" w:hAnsi="Times New Roman" w:eastAsia="仿宋_GB2312" w:cs="Times New Roman"/>
      <w:kern w:val="0"/>
      <w:sz w:val="32"/>
      <w:szCs w:val="20"/>
    </w:rPr>
  </w:style>
  <w:style w:type="paragraph" w:styleId="3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447</Words>
  <Characters>2554</Characters>
  <Lines>21</Lines>
  <Paragraphs>5</Paragraphs>
  <TotalTime>4</TotalTime>
  <ScaleCrop>false</ScaleCrop>
  <LinksUpToDate>false</LinksUpToDate>
  <CharactersWithSpaces>2996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胡梦霖</cp:lastModifiedBy>
  <cp:lastPrinted>2022-07-20T02:30:00Z</cp:lastPrinted>
  <dcterms:modified xsi:type="dcterms:W3CDTF">2026-03-23T02:37:19Z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4A169FB9073041B3AC26DFC09B03DB3E</vt:lpwstr>
  </property>
</Properties>
</file>