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spacing w:line="578" w:lineRule="exact"/>
        <w:jc w:val="center"/>
        <w:rPr>
          <w:rFonts w:hint="eastAsia" w:ascii="方正小标宋简体" w:hAnsi="方正小标宋简体" w:eastAsia="方正小标宋简体" w:cs="方正小标宋简体"/>
          <w:spacing w:val="-7"/>
          <w:sz w:val="40"/>
          <w:szCs w:val="32"/>
          <w:lang w:val="en-US" w:eastAsia="zh-CN"/>
        </w:rPr>
      </w:pPr>
      <w:r>
        <w:rPr>
          <w:rFonts w:hint="eastAsia" w:ascii="方正小标宋简体" w:hAnsi="方正小标宋简体" w:eastAsia="方正小标宋简体" w:cs="方正小标宋简体"/>
          <w:spacing w:val="-7"/>
          <w:sz w:val="40"/>
          <w:szCs w:val="32"/>
          <w:lang w:val="en-US" w:eastAsia="zh-CN"/>
        </w:rPr>
        <w:t>云电监理公司2026年新购车辆内饰及新能源车辆车用物品零星采购方案</w:t>
      </w:r>
    </w:p>
    <w:p>
      <w:pPr>
        <w:bidi w:val="0"/>
        <w:spacing w:line="578" w:lineRule="exact"/>
        <w:ind w:firstLine="612" w:firstLineChars="200"/>
        <w:rPr>
          <w:rFonts w:hint="eastAsia" w:ascii="黑体" w:hAnsi="黑体" w:eastAsia="黑体" w:cs="黑体"/>
          <w:b w:val="0"/>
          <w:spacing w:val="-7"/>
          <w:kern w:val="2"/>
          <w:sz w:val="32"/>
          <w:szCs w:val="24"/>
          <w:lang w:val="en-US" w:eastAsia="zh-CN" w:bidi="ar-SA"/>
        </w:rPr>
      </w:pPr>
    </w:p>
    <w:p>
      <w:pPr>
        <w:bidi w:val="0"/>
        <w:spacing w:line="578" w:lineRule="exact"/>
        <w:ind w:firstLine="612" w:firstLineChars="200"/>
        <w:rPr>
          <w:rFonts w:hint="eastAsia" w:ascii="黑体" w:hAnsi="黑体" w:eastAsia="黑体" w:cs="黑体"/>
          <w:b w:val="0"/>
          <w:spacing w:val="-7"/>
          <w:sz w:val="32"/>
          <w:lang w:val="en-US" w:eastAsia="zh-CN"/>
        </w:rPr>
      </w:pPr>
      <w:r>
        <w:rPr>
          <w:rFonts w:hint="eastAsia" w:ascii="黑体" w:hAnsi="黑体" w:eastAsia="黑体" w:cs="黑体"/>
          <w:b w:val="0"/>
          <w:spacing w:val="-7"/>
          <w:kern w:val="2"/>
          <w:sz w:val="32"/>
          <w:szCs w:val="24"/>
          <w:lang w:val="en-US" w:eastAsia="zh-CN" w:bidi="ar-SA"/>
        </w:rPr>
        <w:t>一、</w:t>
      </w:r>
      <w:r>
        <w:rPr>
          <w:rFonts w:hint="eastAsia" w:ascii="黑体" w:hAnsi="黑体" w:eastAsia="黑体" w:cs="黑体"/>
          <w:b w:val="0"/>
          <w:spacing w:val="-7"/>
          <w:sz w:val="32"/>
          <w:lang w:val="en-US" w:eastAsia="zh-CN"/>
        </w:rPr>
        <w:t>项目概述</w:t>
      </w:r>
    </w:p>
    <w:p>
      <w:pPr>
        <w:bidi w:val="0"/>
        <w:spacing w:line="578" w:lineRule="exact"/>
        <w:ind w:firstLine="612" w:firstLineChars="200"/>
        <w:rPr>
          <w:rFonts w:hint="eastAsia" w:ascii="仿宋" w:hAnsi="仿宋" w:eastAsia="仿宋" w:cs="仿宋"/>
          <w:spacing w:val="-7"/>
          <w:sz w:val="32"/>
          <w:lang w:val="en-US" w:eastAsia="zh-CN"/>
        </w:rPr>
      </w:pPr>
      <w:r>
        <w:rPr>
          <w:rFonts w:hint="eastAsia" w:ascii="仿宋" w:hAnsi="仿宋" w:eastAsia="仿宋" w:cs="仿宋"/>
          <w:spacing w:val="-7"/>
          <w:sz w:val="32"/>
          <w:lang w:val="en-US" w:eastAsia="zh-CN"/>
        </w:rPr>
        <w:t>为满足公司新购车辆内饰需求，现需对6辆新能源车辆张贴车膜，配备脚垫，坐垫服务，及公司新能源车辆的随车充线(交流充电线)，车辆应急启动电源等物品，对所有服务进行统一采购。</w:t>
      </w:r>
    </w:p>
    <w:p>
      <w:pPr>
        <w:bidi w:val="0"/>
        <w:spacing w:line="578" w:lineRule="exact"/>
        <w:ind w:firstLine="612" w:firstLineChars="200"/>
        <w:rPr>
          <w:rFonts w:hint="eastAsia" w:ascii="黑体" w:hAnsi="黑体" w:eastAsia="黑体" w:cs="黑体"/>
          <w:b w:val="0"/>
          <w:spacing w:val="-7"/>
          <w:sz w:val="32"/>
          <w:lang w:val="en-US" w:eastAsia="zh-CN"/>
        </w:rPr>
      </w:pPr>
      <w:r>
        <w:rPr>
          <w:rFonts w:hint="eastAsia" w:ascii="黑体" w:hAnsi="黑体" w:eastAsia="黑体" w:cs="黑体"/>
          <w:b w:val="0"/>
          <w:spacing w:val="-7"/>
          <w:sz w:val="32"/>
          <w:lang w:val="en-US" w:eastAsia="zh-CN"/>
        </w:rPr>
        <w:t>二.资质要求</w:t>
      </w:r>
    </w:p>
    <w:p>
      <w:pPr>
        <w:numPr>
          <w:ilvl w:val="0"/>
          <w:numId w:val="0"/>
        </w:numPr>
        <w:spacing w:line="578" w:lineRule="exact"/>
        <w:ind w:firstLine="612" w:firstLineChars="200"/>
        <w:rPr>
          <w:rFonts w:hint="eastAsia" w:ascii="仿宋" w:hAnsi="仿宋" w:eastAsia="仿宋" w:cs="仿宋"/>
          <w:spacing w:val="-7"/>
          <w:sz w:val="32"/>
          <w:lang w:val="en-US" w:eastAsia="zh-CN"/>
        </w:rPr>
      </w:pPr>
      <w:r>
        <w:rPr>
          <w:rFonts w:hint="eastAsia" w:ascii="仿宋" w:hAnsi="仿宋" w:eastAsia="仿宋" w:cs="仿宋"/>
          <w:spacing w:val="-7"/>
          <w:sz w:val="32"/>
          <w:lang w:val="en-US" w:eastAsia="zh-CN"/>
        </w:rPr>
        <w:t>服务商具有独立法人资格且为中华人民共和国境内注册的法人、持有合法有效的企业法人营业执照、组织机构代码证、税务登记证或有工商行政管理部门核发统一社会信用代码的企业法人营业执照。具有履行合同所必需的专业技术能力；参加投标的供应商三年内无违法违规经营行为，不得是南方电网公司供货商黑名单企业或法人。</w:t>
      </w:r>
    </w:p>
    <w:p>
      <w:pPr>
        <w:bidi w:val="0"/>
        <w:spacing w:line="578" w:lineRule="exact"/>
        <w:ind w:firstLine="612" w:firstLineChars="200"/>
        <w:rPr>
          <w:rFonts w:hint="default" w:ascii="黑体" w:hAnsi="黑体" w:eastAsia="黑体" w:cs="黑体"/>
          <w:b w:val="0"/>
          <w:spacing w:val="-7"/>
          <w:sz w:val="32"/>
          <w:lang w:val="en-US" w:eastAsia="zh-CN"/>
        </w:rPr>
      </w:pPr>
      <w:r>
        <w:rPr>
          <w:rFonts w:hint="eastAsia" w:ascii="黑体" w:hAnsi="黑体" w:eastAsia="黑体" w:cs="黑体"/>
          <w:b w:val="0"/>
          <w:spacing w:val="-7"/>
          <w:sz w:val="32"/>
          <w:lang w:val="en-US" w:eastAsia="zh-CN"/>
        </w:rPr>
        <w:t>三、产品要求</w:t>
      </w:r>
    </w:p>
    <w:p>
      <w:pPr>
        <w:numPr>
          <w:ilvl w:val="0"/>
          <w:numId w:val="0"/>
        </w:numPr>
        <w:spacing w:line="578" w:lineRule="exact"/>
        <w:ind w:firstLine="612" w:firstLineChars="200"/>
        <w:rPr>
          <w:rFonts w:hint="eastAsia" w:ascii="仿宋" w:hAnsi="仿宋" w:eastAsia="仿宋" w:cs="仿宋"/>
          <w:spacing w:val="-7"/>
          <w:sz w:val="32"/>
          <w:lang w:val="en-US" w:eastAsia="zh-CN"/>
        </w:rPr>
      </w:pPr>
      <w:r>
        <w:rPr>
          <w:rFonts w:hint="eastAsia" w:ascii="仿宋" w:hAnsi="仿宋" w:eastAsia="仿宋" w:cs="仿宋"/>
          <w:spacing w:val="-7"/>
          <w:sz w:val="32"/>
          <w:lang w:val="en-US" w:eastAsia="zh-CN"/>
        </w:rPr>
        <w:t>（一）车辆装饰</w:t>
      </w:r>
    </w:p>
    <w:p>
      <w:pPr>
        <w:numPr>
          <w:ilvl w:val="0"/>
          <w:numId w:val="0"/>
        </w:numPr>
        <w:spacing w:line="578" w:lineRule="exact"/>
        <w:ind w:firstLine="612" w:firstLineChars="200"/>
        <w:rPr>
          <w:rFonts w:hint="default" w:ascii="仿宋" w:hAnsi="仿宋" w:eastAsia="仿宋" w:cs="仿宋"/>
          <w:spacing w:val="-7"/>
          <w:sz w:val="32"/>
          <w:lang w:val="en-US" w:eastAsia="zh-CN"/>
        </w:rPr>
      </w:pPr>
      <w:r>
        <w:rPr>
          <w:rFonts w:hint="eastAsia" w:ascii="仿宋" w:hAnsi="仿宋" w:eastAsia="仿宋" w:cs="仿宋"/>
          <w:spacing w:val="-7"/>
          <w:sz w:val="32"/>
          <w:lang w:val="en-US" w:eastAsia="zh-CN"/>
        </w:rPr>
        <w:t>1.车窗贴膜</w:t>
      </w:r>
    </w:p>
    <w:p>
      <w:pPr>
        <w:numPr>
          <w:ilvl w:val="0"/>
          <w:numId w:val="0"/>
        </w:numPr>
        <w:spacing w:line="578" w:lineRule="exact"/>
        <w:ind w:firstLine="612" w:firstLineChars="200"/>
        <w:rPr>
          <w:rFonts w:hint="eastAsia" w:ascii="仿宋" w:hAnsi="仿宋" w:eastAsia="仿宋" w:cs="仿宋"/>
          <w:spacing w:val="-7"/>
          <w:sz w:val="32"/>
          <w:lang w:val="en-US" w:eastAsia="zh-CN"/>
        </w:rPr>
      </w:pPr>
      <w:r>
        <w:rPr>
          <w:rFonts w:hint="eastAsia" w:ascii="仿宋" w:hAnsi="仿宋" w:eastAsia="仿宋" w:cs="仿宋"/>
          <w:spacing w:val="-7"/>
          <w:sz w:val="32"/>
          <w:lang w:val="en-US" w:eastAsia="zh-CN"/>
        </w:rPr>
        <w:t>（1）品牌膜，质保3年。</w:t>
      </w:r>
    </w:p>
    <w:p>
      <w:pPr>
        <w:numPr>
          <w:ilvl w:val="0"/>
          <w:numId w:val="0"/>
        </w:numPr>
        <w:spacing w:line="578" w:lineRule="exact"/>
        <w:ind w:firstLine="612" w:firstLineChars="200"/>
        <w:rPr>
          <w:rFonts w:hint="eastAsia" w:ascii="仿宋" w:hAnsi="仿宋" w:eastAsia="仿宋" w:cs="仿宋"/>
          <w:spacing w:val="-7"/>
          <w:sz w:val="32"/>
          <w:lang w:val="en-US" w:eastAsia="zh-CN"/>
        </w:rPr>
      </w:pPr>
      <w:r>
        <w:rPr>
          <w:rFonts w:hint="eastAsia" w:ascii="仿宋" w:hAnsi="仿宋" w:eastAsia="仿宋" w:cs="仿宋"/>
          <w:spacing w:val="-7"/>
          <w:sz w:val="32"/>
          <w:lang w:val="en-US" w:eastAsia="zh-CN"/>
        </w:rPr>
        <w:t>（2）汽车隔热膜要求：厚度在1.5mil左右（mil为英制单位，1mil等于一千分之一英寸，即0.0254mm）；透光率在85%以上，紫外线阻隔率一般不低于98%；窗膜隔热性能要高，反射红外线，抗冲击性能强，韧性强，玻璃破裂后可被膜粘牢不会飞溅伤人。</w:t>
      </w:r>
    </w:p>
    <w:p>
      <w:pPr>
        <w:numPr>
          <w:ilvl w:val="0"/>
          <w:numId w:val="0"/>
        </w:numPr>
        <w:spacing w:line="578" w:lineRule="exact"/>
        <w:ind w:firstLine="612" w:firstLineChars="200"/>
        <w:rPr>
          <w:rFonts w:hint="eastAsia" w:ascii="仿宋" w:hAnsi="仿宋" w:eastAsia="仿宋" w:cs="仿宋"/>
          <w:spacing w:val="-7"/>
          <w:sz w:val="32"/>
          <w:lang w:val="en-US" w:eastAsia="zh-CN"/>
        </w:rPr>
      </w:pPr>
      <w:r>
        <w:rPr>
          <w:rFonts w:hint="eastAsia" w:ascii="仿宋" w:hAnsi="仿宋" w:eastAsia="仿宋" w:cs="仿宋"/>
          <w:spacing w:val="-7"/>
          <w:kern w:val="2"/>
          <w:sz w:val="32"/>
          <w:szCs w:val="24"/>
          <w:lang w:val="en-US" w:eastAsia="zh-CN" w:bidi="ar-SA"/>
        </w:rPr>
        <w:t>（3）</w:t>
      </w:r>
      <w:r>
        <w:rPr>
          <w:rFonts w:hint="eastAsia" w:ascii="仿宋" w:hAnsi="仿宋" w:eastAsia="仿宋" w:cs="仿宋"/>
          <w:spacing w:val="-7"/>
          <w:sz w:val="32"/>
          <w:lang w:val="en-US" w:eastAsia="zh-CN"/>
        </w:rPr>
        <w:t>所有贴膜后的玻璃不能有水泡，水必须刮干净（从玻璃的左右两侧分别观察，可以看得很清楚），坐在驾驶位，透过前挡看车外的景物不存在模糊、色差现象。</w:t>
      </w:r>
    </w:p>
    <w:p>
      <w:pPr>
        <w:numPr>
          <w:ilvl w:val="0"/>
          <w:numId w:val="0"/>
        </w:numPr>
        <w:spacing w:line="578" w:lineRule="exact"/>
        <w:ind w:firstLine="612" w:firstLineChars="200"/>
        <w:rPr>
          <w:rFonts w:hint="eastAsia" w:ascii="仿宋" w:hAnsi="仿宋" w:eastAsia="仿宋" w:cs="仿宋"/>
          <w:spacing w:val="-7"/>
          <w:sz w:val="32"/>
          <w:lang w:val="en-US" w:eastAsia="zh-CN"/>
        </w:rPr>
      </w:pPr>
      <w:r>
        <w:rPr>
          <w:rFonts w:hint="eastAsia" w:ascii="仿宋" w:hAnsi="仿宋" w:eastAsia="仿宋" w:cs="仿宋"/>
          <w:spacing w:val="-7"/>
          <w:kern w:val="2"/>
          <w:sz w:val="32"/>
          <w:szCs w:val="24"/>
          <w:lang w:val="en-US" w:eastAsia="zh-CN" w:bidi="ar-SA"/>
        </w:rPr>
        <w:t>（4）</w:t>
      </w:r>
      <w:r>
        <w:rPr>
          <w:rFonts w:hint="eastAsia" w:ascii="仿宋" w:hAnsi="仿宋" w:eastAsia="仿宋" w:cs="仿宋"/>
          <w:spacing w:val="-7"/>
          <w:sz w:val="32"/>
          <w:lang w:val="en-US" w:eastAsia="zh-CN"/>
        </w:rPr>
        <w:t>侧窗上端的膜裁切平直，侧窗玻璃升到顶部不能漏光；侧窗玻璃两边不能漏光（膜在胶条以外；有光线透过为漏光）；副窗玻璃边缘充许漏光，但最大距离不超过1mm。</w:t>
      </w:r>
    </w:p>
    <w:p>
      <w:pPr>
        <w:numPr>
          <w:ilvl w:val="0"/>
          <w:numId w:val="0"/>
        </w:numPr>
        <w:spacing w:line="578" w:lineRule="exact"/>
        <w:ind w:firstLine="612" w:firstLineChars="200"/>
        <w:rPr>
          <w:rFonts w:hint="eastAsia" w:ascii="仿宋" w:hAnsi="仿宋" w:eastAsia="仿宋" w:cs="仿宋"/>
          <w:spacing w:val="-7"/>
          <w:sz w:val="32"/>
          <w:lang w:val="en-US" w:eastAsia="zh-CN"/>
        </w:rPr>
      </w:pPr>
      <w:r>
        <w:rPr>
          <w:rFonts w:hint="eastAsia" w:ascii="仿宋" w:hAnsi="仿宋" w:eastAsia="仿宋" w:cs="仿宋"/>
          <w:spacing w:val="-7"/>
          <w:kern w:val="2"/>
          <w:sz w:val="32"/>
          <w:szCs w:val="24"/>
          <w:lang w:val="en-US" w:eastAsia="zh-CN" w:bidi="ar-SA"/>
        </w:rPr>
        <w:t>（5）</w:t>
      </w:r>
      <w:r>
        <w:rPr>
          <w:rFonts w:hint="eastAsia" w:ascii="仿宋" w:hAnsi="仿宋" w:eastAsia="仿宋" w:cs="仿宋"/>
          <w:spacing w:val="-7"/>
          <w:sz w:val="32"/>
          <w:lang w:val="en-US" w:eastAsia="zh-CN"/>
        </w:rPr>
        <w:t>贴膜处玻璃不能有明显的划痕，侧窗胶条不能有新划痕。</w:t>
      </w:r>
    </w:p>
    <w:p>
      <w:pPr>
        <w:numPr>
          <w:ilvl w:val="0"/>
          <w:numId w:val="0"/>
        </w:numPr>
        <w:spacing w:line="578" w:lineRule="exact"/>
        <w:ind w:firstLine="612" w:firstLineChars="200"/>
        <w:rPr>
          <w:rFonts w:hint="eastAsia" w:ascii="仿宋" w:hAnsi="仿宋" w:eastAsia="仿宋" w:cs="仿宋"/>
          <w:spacing w:val="-7"/>
          <w:sz w:val="32"/>
          <w:lang w:val="en-US" w:eastAsia="zh-CN"/>
        </w:rPr>
      </w:pPr>
      <w:r>
        <w:rPr>
          <w:rFonts w:hint="eastAsia" w:ascii="仿宋" w:hAnsi="仿宋" w:eastAsia="仿宋" w:cs="仿宋"/>
          <w:spacing w:val="-7"/>
          <w:kern w:val="2"/>
          <w:sz w:val="32"/>
          <w:szCs w:val="24"/>
          <w:lang w:val="en-US" w:eastAsia="zh-CN" w:bidi="ar-SA"/>
        </w:rPr>
        <w:t>（6）</w:t>
      </w:r>
      <w:r>
        <w:rPr>
          <w:rFonts w:hint="eastAsia" w:ascii="仿宋" w:hAnsi="仿宋" w:eastAsia="仿宋" w:cs="仿宋"/>
          <w:spacing w:val="-7"/>
          <w:sz w:val="32"/>
          <w:lang w:val="en-US" w:eastAsia="zh-CN"/>
        </w:rPr>
        <w:t>贴膜是高风险的服务项目，因技术水平或玻璃的缺陷，存在玻璃破裂可能，在贴膜中或贴膜后24小时内出现玻璃破裂的现象，服务商负责更换。</w:t>
      </w:r>
    </w:p>
    <w:p>
      <w:pPr>
        <w:numPr>
          <w:ilvl w:val="0"/>
          <w:numId w:val="0"/>
        </w:numPr>
        <w:spacing w:line="578" w:lineRule="exact"/>
        <w:ind w:firstLine="612" w:firstLineChars="200"/>
        <w:rPr>
          <w:rFonts w:hint="eastAsia" w:ascii="仿宋" w:hAnsi="仿宋" w:eastAsia="仿宋" w:cs="仿宋"/>
          <w:spacing w:val="-7"/>
          <w:sz w:val="32"/>
          <w:lang w:val="en-US" w:eastAsia="zh-CN"/>
        </w:rPr>
      </w:pPr>
      <w:r>
        <w:rPr>
          <w:rFonts w:hint="eastAsia" w:ascii="仿宋" w:hAnsi="仿宋" w:eastAsia="仿宋" w:cs="仿宋"/>
          <w:spacing w:val="-7"/>
          <w:kern w:val="2"/>
          <w:sz w:val="32"/>
          <w:szCs w:val="24"/>
          <w:lang w:val="en-US" w:eastAsia="zh-CN" w:bidi="ar-SA"/>
        </w:rPr>
        <w:t>2.</w:t>
      </w:r>
      <w:r>
        <w:rPr>
          <w:rFonts w:hint="eastAsia" w:ascii="仿宋" w:hAnsi="仿宋" w:eastAsia="仿宋" w:cs="仿宋"/>
          <w:spacing w:val="-7"/>
          <w:sz w:val="32"/>
          <w:u w:val="none"/>
          <w:lang w:val="en-US" w:eastAsia="zh-CN"/>
        </w:rPr>
        <w:t>脚垫及坐垫要求</w:t>
      </w:r>
    </w:p>
    <w:p>
      <w:pPr>
        <w:numPr>
          <w:ilvl w:val="0"/>
          <w:numId w:val="0"/>
        </w:numPr>
        <w:spacing w:line="578" w:lineRule="exact"/>
        <w:ind w:firstLine="612" w:firstLineChars="200"/>
        <w:rPr>
          <w:rFonts w:hint="eastAsia" w:ascii="仿宋" w:hAnsi="仿宋" w:eastAsia="仿宋" w:cs="仿宋"/>
          <w:spacing w:val="-7"/>
          <w:sz w:val="32"/>
          <w:lang w:val="en-US" w:eastAsia="zh-CN"/>
        </w:rPr>
      </w:pPr>
      <w:r>
        <w:rPr>
          <w:rFonts w:hint="eastAsia" w:ascii="仿宋" w:hAnsi="仿宋" w:eastAsia="仿宋" w:cs="仿宋"/>
          <w:spacing w:val="-7"/>
          <w:sz w:val="32"/>
          <w:lang w:val="en-US" w:eastAsia="zh-CN"/>
        </w:rPr>
        <w:t>（1）品牌彩云之南。</w:t>
      </w:r>
      <w:r>
        <w:rPr>
          <w:rFonts w:hint="eastAsia" w:ascii="仿宋" w:hAnsi="仿宋" w:eastAsia="仿宋" w:cs="仿宋"/>
          <w:spacing w:val="-7"/>
          <w:sz w:val="32"/>
          <w:u w:val="none"/>
          <w:lang w:val="en-US" w:eastAsia="zh-CN"/>
        </w:rPr>
        <w:t>颜色现场定。</w:t>
      </w:r>
    </w:p>
    <w:p>
      <w:pPr>
        <w:numPr>
          <w:ilvl w:val="0"/>
          <w:numId w:val="0"/>
        </w:numPr>
        <w:spacing w:line="578" w:lineRule="exact"/>
        <w:ind w:firstLine="612" w:firstLineChars="200"/>
        <w:rPr>
          <w:rFonts w:hint="eastAsia" w:ascii="仿宋" w:hAnsi="仿宋" w:eastAsia="仿宋" w:cs="仿宋"/>
          <w:spacing w:val="-7"/>
          <w:sz w:val="32"/>
          <w:lang w:val="en-US" w:eastAsia="zh-CN"/>
        </w:rPr>
      </w:pPr>
      <w:r>
        <w:rPr>
          <w:rFonts w:hint="eastAsia" w:ascii="仿宋" w:hAnsi="仿宋" w:eastAsia="仿宋" w:cs="仿宋"/>
          <w:spacing w:val="-7"/>
          <w:sz w:val="32"/>
          <w:lang w:val="en-US" w:eastAsia="zh-CN"/>
        </w:rPr>
        <w:t>（2）车辆脚垫项目含360软包脚垫上层含丝圈脚垫、后厢垫，</w:t>
      </w:r>
      <w:r>
        <w:rPr>
          <w:rFonts w:hint="eastAsia" w:ascii="仿宋" w:hAnsi="仿宋" w:eastAsia="仿宋" w:cs="仿宋"/>
          <w:spacing w:val="-7"/>
          <w:sz w:val="32"/>
          <w:u w:val="none"/>
          <w:lang w:val="en-US" w:eastAsia="zh-CN"/>
        </w:rPr>
        <w:t>车辆四季五座座垫五座带靠背。</w:t>
      </w:r>
    </w:p>
    <w:p>
      <w:pPr>
        <w:numPr>
          <w:ilvl w:val="0"/>
          <w:numId w:val="0"/>
        </w:numPr>
        <w:spacing w:line="578" w:lineRule="exact"/>
        <w:ind w:firstLine="612" w:firstLineChars="200"/>
        <w:rPr>
          <w:rFonts w:hint="eastAsia" w:ascii="仿宋" w:hAnsi="仿宋" w:eastAsia="仿宋" w:cs="仿宋"/>
          <w:spacing w:val="-7"/>
          <w:sz w:val="32"/>
          <w:lang w:val="en-US" w:eastAsia="zh-CN"/>
        </w:rPr>
      </w:pPr>
      <w:r>
        <w:rPr>
          <w:rFonts w:hint="eastAsia" w:ascii="仿宋" w:hAnsi="仿宋" w:eastAsia="仿宋" w:cs="仿宋"/>
          <w:spacing w:val="-7"/>
          <w:sz w:val="32"/>
          <w:lang w:val="en-US" w:eastAsia="zh-CN"/>
        </w:rPr>
        <w:t>（3）脚垫材料具备合规的检测报告，异味少，挥散时间短，用料厚实，噪音低。</w:t>
      </w:r>
    </w:p>
    <w:p>
      <w:pPr>
        <w:numPr>
          <w:ilvl w:val="0"/>
          <w:numId w:val="0"/>
        </w:numPr>
        <w:spacing w:line="578" w:lineRule="exact"/>
        <w:ind w:firstLine="612" w:firstLineChars="200"/>
        <w:rPr>
          <w:rFonts w:hint="eastAsia" w:ascii="仿宋" w:hAnsi="仿宋" w:eastAsia="仿宋" w:cs="仿宋"/>
          <w:spacing w:val="-7"/>
          <w:sz w:val="32"/>
          <w:lang w:val="en-US" w:eastAsia="zh-CN"/>
        </w:rPr>
      </w:pPr>
      <w:r>
        <w:rPr>
          <w:rFonts w:hint="eastAsia" w:ascii="仿宋" w:hAnsi="仿宋" w:eastAsia="仿宋" w:cs="仿宋"/>
          <w:spacing w:val="-7"/>
          <w:sz w:val="32"/>
          <w:lang w:val="en-US" w:eastAsia="zh-CN"/>
        </w:rPr>
        <w:t>（4）脚垫安装应与车底部贴合紧密，不易滑动。</w:t>
      </w:r>
    </w:p>
    <w:p>
      <w:pPr>
        <w:numPr>
          <w:ilvl w:val="0"/>
          <w:numId w:val="0"/>
        </w:numPr>
        <w:spacing w:line="578" w:lineRule="exact"/>
        <w:ind w:firstLine="612" w:firstLineChars="200"/>
        <w:rPr>
          <w:rFonts w:hint="eastAsia" w:ascii="仿宋" w:hAnsi="仿宋" w:eastAsia="仿宋" w:cs="仿宋"/>
          <w:spacing w:val="-7"/>
          <w:sz w:val="32"/>
          <w:lang w:val="en-US" w:eastAsia="zh-CN"/>
        </w:rPr>
      </w:pPr>
      <w:r>
        <w:rPr>
          <w:rFonts w:hint="eastAsia" w:ascii="仿宋" w:hAnsi="仿宋" w:eastAsia="仿宋" w:cs="仿宋"/>
          <w:spacing w:val="-7"/>
          <w:sz w:val="32"/>
          <w:lang w:val="en-US" w:eastAsia="zh-CN"/>
        </w:rPr>
        <w:t>3.工期要求</w:t>
      </w:r>
    </w:p>
    <w:p>
      <w:pPr>
        <w:numPr>
          <w:ilvl w:val="0"/>
          <w:numId w:val="0"/>
        </w:numPr>
        <w:spacing w:line="578" w:lineRule="exact"/>
        <w:ind w:firstLine="612" w:firstLineChars="200"/>
        <w:rPr>
          <w:rFonts w:hint="eastAsia" w:ascii="仿宋" w:hAnsi="仿宋" w:eastAsia="仿宋" w:cs="仿宋"/>
          <w:spacing w:val="-7"/>
          <w:sz w:val="32"/>
          <w:lang w:val="en-US" w:eastAsia="zh-CN"/>
        </w:rPr>
      </w:pPr>
      <w:r>
        <w:rPr>
          <w:rFonts w:hint="eastAsia" w:ascii="仿宋" w:hAnsi="仿宋" w:eastAsia="仿宋" w:cs="仿宋"/>
          <w:spacing w:val="-7"/>
          <w:sz w:val="32"/>
          <w:lang w:val="en-US" w:eastAsia="zh-CN"/>
        </w:rPr>
        <w:t>服务时间须提供车辆后3天内完成全部工作，否则赔偿损失。</w:t>
      </w:r>
    </w:p>
    <w:p>
      <w:pPr>
        <w:numPr>
          <w:ilvl w:val="0"/>
          <w:numId w:val="0"/>
        </w:numPr>
        <w:spacing w:line="578" w:lineRule="exact"/>
        <w:ind w:firstLine="612" w:firstLineChars="200"/>
        <w:rPr>
          <w:rFonts w:hint="eastAsia" w:ascii="仿宋" w:hAnsi="仿宋" w:eastAsia="仿宋" w:cs="仿宋"/>
          <w:spacing w:val="-7"/>
          <w:sz w:val="32"/>
          <w:lang w:val="en-US" w:eastAsia="zh-CN"/>
        </w:rPr>
      </w:pPr>
      <w:r>
        <w:rPr>
          <w:rFonts w:hint="eastAsia" w:ascii="仿宋" w:hAnsi="仿宋" w:eastAsia="仿宋" w:cs="仿宋"/>
          <w:spacing w:val="-7"/>
          <w:sz w:val="32"/>
          <w:lang w:val="en-US" w:eastAsia="zh-CN"/>
        </w:rPr>
        <w:t>4.车辆明细</w:t>
      </w:r>
    </w:p>
    <w:p>
      <w:pPr>
        <w:numPr>
          <w:ilvl w:val="0"/>
          <w:numId w:val="0"/>
        </w:numPr>
        <w:spacing w:line="578" w:lineRule="exact"/>
        <w:ind w:firstLine="612" w:firstLineChars="200"/>
        <w:rPr>
          <w:rFonts w:hint="eastAsia" w:ascii="仿宋" w:hAnsi="仿宋" w:eastAsia="仿宋" w:cs="仿宋"/>
          <w:spacing w:val="-7"/>
          <w:sz w:val="32"/>
          <w:lang w:val="en-US" w:eastAsia="zh-CN"/>
        </w:rPr>
      </w:pPr>
      <w:r>
        <w:rPr>
          <w:rFonts w:hint="eastAsia" w:ascii="仿宋" w:hAnsi="仿宋" w:eastAsia="仿宋" w:cs="仿宋"/>
          <w:spacing w:val="-7"/>
          <w:sz w:val="32"/>
          <w:lang w:val="en-US" w:eastAsia="zh-CN"/>
        </w:rPr>
        <w:t>混合力SUV/长安启源Q07-21旗舰PLUS（6辆）。</w:t>
      </w:r>
    </w:p>
    <w:p>
      <w:pPr>
        <w:numPr>
          <w:ilvl w:val="0"/>
          <w:numId w:val="0"/>
        </w:numPr>
        <w:spacing w:line="578" w:lineRule="exact"/>
        <w:ind w:firstLine="612" w:firstLineChars="200"/>
        <w:rPr>
          <w:rFonts w:hint="eastAsia" w:ascii="仿宋" w:hAnsi="仿宋" w:eastAsia="仿宋" w:cs="仿宋"/>
          <w:spacing w:val="-7"/>
          <w:sz w:val="32"/>
          <w:lang w:val="en-US" w:eastAsia="zh-CN"/>
        </w:rPr>
      </w:pPr>
    </w:p>
    <w:p>
      <w:pPr>
        <w:numPr>
          <w:ilvl w:val="0"/>
          <w:numId w:val="0"/>
        </w:numPr>
        <w:spacing w:line="578" w:lineRule="exact"/>
        <w:ind w:firstLine="612" w:firstLineChars="200"/>
        <w:rPr>
          <w:rFonts w:hint="eastAsia" w:ascii="仿宋" w:hAnsi="仿宋" w:eastAsia="仿宋" w:cs="仿宋"/>
          <w:spacing w:val="-7"/>
          <w:sz w:val="32"/>
          <w:lang w:val="en-US" w:eastAsia="zh-CN"/>
        </w:rPr>
      </w:pPr>
      <w:r>
        <w:rPr>
          <w:rFonts w:hint="eastAsia" w:ascii="仿宋" w:hAnsi="仿宋" w:eastAsia="仿宋" w:cs="仿宋"/>
          <w:spacing w:val="-7"/>
          <w:sz w:val="32"/>
          <w:lang w:val="en-US" w:eastAsia="zh-CN"/>
        </w:rPr>
        <w:t>（二）随车充便携式充电枪</w:t>
      </w:r>
    </w:p>
    <w:p>
      <w:pPr>
        <w:numPr>
          <w:ilvl w:val="0"/>
          <w:numId w:val="0"/>
        </w:numPr>
        <w:spacing w:line="578" w:lineRule="exact"/>
        <w:ind w:firstLine="612" w:firstLineChars="200"/>
        <w:rPr>
          <w:rFonts w:hint="default" w:ascii="仿宋" w:hAnsi="仿宋" w:eastAsia="仿宋" w:cs="仿宋"/>
          <w:spacing w:val="-7"/>
          <w:sz w:val="32"/>
          <w:lang w:val="en-US" w:eastAsia="zh-CN"/>
        </w:rPr>
      </w:pPr>
      <w:r>
        <w:rPr>
          <w:rFonts w:hint="eastAsia" w:ascii="仿宋" w:hAnsi="仿宋" w:eastAsia="仿宋" w:cs="仿宋"/>
          <w:spacing w:val="-7"/>
          <w:sz w:val="32"/>
          <w:lang w:val="en-US" w:eastAsia="zh-CN"/>
        </w:rPr>
        <w:t>公牛小劲风SE款，3.5kW峰值输出，额定充电电流大于16A，支持预约充电，含充电状态显示，防护等级IP55及以上防水防尘，适应户外/停车场环境使用。通过3C认证，由PICC承保1年，工作温度-30~50℃，枪线长度10m，纯铜线缆。新国标7孔枪头，铜镀银端子，插拔超10000次，接口材质耐高温、阻燃、防锈铜合金触点，提升插拔寿命，充满自断电。具备防漏电、防短路、防雷、防欠压、防过流等保护功能，实时检测插头控制盒温度，防止充电过温。支持蓝牙通信连接App，实时查看充电状态。额定输入电压220V AC、16A。</w:t>
      </w:r>
    </w:p>
    <w:p>
      <w:pPr>
        <w:numPr>
          <w:ilvl w:val="0"/>
          <w:numId w:val="0"/>
        </w:numPr>
        <w:spacing w:line="578" w:lineRule="exact"/>
        <w:ind w:firstLine="612" w:firstLineChars="200"/>
        <w:rPr>
          <w:rFonts w:hint="eastAsia" w:ascii="仿宋" w:hAnsi="仿宋" w:eastAsia="仿宋" w:cs="仿宋"/>
          <w:spacing w:val="-7"/>
          <w:sz w:val="32"/>
          <w:lang w:val="en-US" w:eastAsia="zh-CN"/>
        </w:rPr>
      </w:pPr>
      <w:r>
        <w:rPr>
          <w:rFonts w:hint="eastAsia" w:ascii="仿宋" w:hAnsi="仿宋" w:eastAsia="仿宋" w:cs="仿宋"/>
          <w:spacing w:val="-7"/>
          <w:sz w:val="32"/>
          <w:lang w:val="en-US" w:eastAsia="zh-CN"/>
        </w:rPr>
        <w:t>（三）车辆应急启动电源（含充气泵）</w:t>
      </w:r>
    </w:p>
    <w:p>
      <w:pPr>
        <w:numPr>
          <w:ilvl w:val="0"/>
          <w:numId w:val="0"/>
        </w:numPr>
        <w:spacing w:line="578" w:lineRule="exact"/>
        <w:ind w:firstLine="612" w:firstLineChars="200"/>
        <w:rPr>
          <w:rFonts w:hint="default" w:ascii="仿宋" w:hAnsi="仿宋" w:eastAsia="仿宋" w:cs="仿宋"/>
          <w:spacing w:val="-7"/>
          <w:sz w:val="32"/>
          <w:lang w:val="en-US" w:eastAsia="zh-CN"/>
        </w:rPr>
      </w:pPr>
      <w:r>
        <w:rPr>
          <w:rFonts w:hint="eastAsia" w:ascii="仿宋" w:hAnsi="仿宋" w:eastAsia="仿宋" w:cs="仿宋"/>
          <w:spacing w:val="-7"/>
          <w:sz w:val="32"/>
          <w:lang w:val="en-US" w:eastAsia="zh-CN"/>
        </w:rPr>
        <w:t>必须通过CCC认证，耐寒耐高温。可用交流220V充电和12~14.2V汽车发电机反充，2-3分钟智能急速反充。磷酸铁铝电池容量≥36000mAh，启动电流2800A，峰值电流4000A，工作电压12.8V~13.3V。工作温度-40℃~80℃。防火阻燃塑料外壳，12平方铜线，加大加宽鳄鱼夹。智能测压，0.01Bar高精度，40S快速打气。</w:t>
      </w:r>
    </w:p>
    <w:p>
      <w:pPr>
        <w:bidi w:val="0"/>
        <w:spacing w:line="578" w:lineRule="exact"/>
        <w:ind w:firstLine="918" w:firstLineChars="300"/>
        <w:rPr>
          <w:rFonts w:hint="default" w:ascii="黑体" w:hAnsi="黑体" w:eastAsia="黑体" w:cs="黑体"/>
          <w:b w:val="0"/>
          <w:spacing w:val="-7"/>
          <w:sz w:val="32"/>
          <w:lang w:val="en-US" w:eastAsia="zh-CN"/>
        </w:rPr>
      </w:pPr>
      <w:r>
        <w:rPr>
          <w:rFonts w:hint="eastAsia" w:ascii="黑体" w:hAnsi="黑体" w:eastAsia="黑体" w:cs="黑体"/>
          <w:b w:val="0"/>
          <w:spacing w:val="-7"/>
          <w:sz w:val="32"/>
          <w:lang w:val="en-US" w:eastAsia="zh-CN"/>
        </w:rPr>
        <w:t>四、报价要求</w:t>
      </w:r>
    </w:p>
    <w:p>
      <w:pPr>
        <w:numPr>
          <w:ilvl w:val="0"/>
          <w:numId w:val="0"/>
        </w:numPr>
        <w:spacing w:line="578" w:lineRule="exact"/>
        <w:ind w:firstLine="612" w:firstLineChars="200"/>
        <w:rPr>
          <w:rFonts w:hint="eastAsia" w:ascii="仿宋" w:hAnsi="仿宋" w:eastAsia="仿宋" w:cs="仿宋"/>
          <w:spacing w:val="-7"/>
          <w:sz w:val="32"/>
          <w:lang w:val="en-US" w:eastAsia="zh-CN"/>
        </w:rPr>
      </w:pPr>
      <w:r>
        <w:rPr>
          <w:rFonts w:hint="eastAsia" w:ascii="仿宋" w:hAnsi="仿宋" w:eastAsia="仿宋" w:cs="仿宋"/>
          <w:spacing w:val="-7"/>
          <w:sz w:val="32"/>
          <w:lang w:val="en-US" w:eastAsia="zh-CN"/>
        </w:rPr>
        <w:t>本价格为包干费用，包含采购清单中所有项目材料、工时费、税费等在内，应开具增值税专用发票，列出费用明细。</w:t>
      </w:r>
      <w:r>
        <w:rPr>
          <w:rFonts w:hint="eastAsia" w:ascii="仿宋" w:hAnsi="仿宋" w:eastAsia="仿宋" w:cs="仿宋"/>
          <w:b/>
          <w:bCs/>
          <w:spacing w:val="-7"/>
          <w:sz w:val="32"/>
          <w:lang w:val="en-US" w:eastAsia="zh-CN"/>
        </w:rPr>
        <w:t>本项目限价3万元，总报价应分别填报含税价和不含税价，以不含税报价及服务能力综合择优选择供应商。</w:t>
      </w:r>
      <w:r>
        <w:rPr>
          <w:rFonts w:hint="eastAsia" w:ascii="仿宋" w:hAnsi="仿宋" w:eastAsia="仿宋" w:cs="仿宋"/>
          <w:spacing w:val="-7"/>
          <w:sz w:val="32"/>
          <w:lang w:val="en-US" w:eastAsia="zh-CN"/>
        </w:rPr>
        <w:t>报价文件中应同时要求提供企业资质文件彩色复印件或扫描件，提供近2年业绩证明和服务能力证明。因考虑到服务时间及今后施工时的配合服务，在同等报价情况下本地企业优先考虑。供应商应确保产品和安装质量，符合国家及行业规范，经验收合格后一次性付款。</w:t>
      </w:r>
    </w:p>
    <w:p>
      <w:pPr>
        <w:numPr>
          <w:ilvl w:val="0"/>
          <w:numId w:val="0"/>
        </w:numPr>
        <w:spacing w:line="578" w:lineRule="exact"/>
        <w:ind w:firstLine="612" w:firstLineChars="200"/>
        <w:jc w:val="center"/>
        <w:rPr>
          <w:rFonts w:hint="eastAsia" w:ascii="黑体" w:hAnsi="黑体" w:eastAsia="黑体" w:cs="黑体"/>
          <w:spacing w:val="-7"/>
          <w:sz w:val="32"/>
          <w:lang w:val="en-US" w:eastAsia="zh-CN"/>
        </w:rPr>
      </w:pPr>
      <w:r>
        <w:rPr>
          <w:rFonts w:hint="eastAsia" w:ascii="黑体" w:hAnsi="黑体" w:eastAsia="黑体" w:cs="黑体"/>
          <w:spacing w:val="-7"/>
          <w:sz w:val="32"/>
          <w:lang w:val="en-US" w:eastAsia="zh-CN"/>
        </w:rPr>
        <w:t>报价明细表</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65"/>
        <w:gridCol w:w="1245"/>
        <w:gridCol w:w="1245"/>
        <w:gridCol w:w="1352"/>
        <w:gridCol w:w="11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39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beforeLines="0" w:afterLines="0" w:line="300" w:lineRule="exact"/>
              <w:ind w:firstLine="480" w:firstLineChars="200"/>
              <w:jc w:val="center"/>
              <w:textAlignment w:val="auto"/>
              <w:rPr>
                <w:rFonts w:hint="eastAsia" w:ascii="国标仿宋" w:hAnsi="国标仿宋" w:eastAsia="国标仿宋" w:cs="国标仿宋"/>
                <w:sz w:val="24"/>
                <w:szCs w:val="24"/>
                <w:lang w:val="en-US" w:eastAsia="zh-CN"/>
              </w:rPr>
            </w:pPr>
            <w:r>
              <w:rPr>
                <w:rFonts w:hint="eastAsia" w:ascii="国标仿宋" w:hAnsi="国标仿宋" w:eastAsia="国标仿宋" w:cs="国标仿宋"/>
                <w:sz w:val="24"/>
                <w:szCs w:val="24"/>
                <w:lang w:val="en-US" w:eastAsia="zh-CN"/>
              </w:rPr>
              <w:t>采购项目</w:t>
            </w:r>
          </w:p>
        </w:tc>
        <w:tc>
          <w:tcPr>
            <w:tcW w:w="1245" w:type="dxa"/>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beforeLines="0" w:afterLines="0" w:line="300" w:lineRule="exact"/>
              <w:jc w:val="center"/>
              <w:textAlignment w:val="auto"/>
              <w:rPr>
                <w:rFonts w:hint="eastAsia" w:ascii="国标仿宋" w:hAnsi="国标仿宋" w:eastAsia="国标仿宋" w:cs="国标仿宋"/>
                <w:sz w:val="24"/>
                <w:szCs w:val="24"/>
                <w:lang w:val="en-US" w:eastAsia="zh-CN"/>
              </w:rPr>
            </w:pPr>
            <w:r>
              <w:rPr>
                <w:rFonts w:hint="eastAsia" w:ascii="国标仿宋" w:hAnsi="国标仿宋" w:eastAsia="国标仿宋" w:cs="国标仿宋"/>
                <w:sz w:val="24"/>
                <w:szCs w:val="24"/>
                <w:lang w:val="en-US" w:eastAsia="zh-CN"/>
              </w:rPr>
              <w:t>数量</w:t>
            </w:r>
          </w:p>
        </w:tc>
        <w:tc>
          <w:tcPr>
            <w:tcW w:w="1245" w:type="dxa"/>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beforeLines="0" w:afterLines="0" w:line="300" w:lineRule="exact"/>
              <w:jc w:val="center"/>
              <w:textAlignment w:val="auto"/>
              <w:rPr>
                <w:rFonts w:hint="eastAsia" w:ascii="国标仿宋" w:hAnsi="国标仿宋" w:eastAsia="国标仿宋" w:cs="国标仿宋"/>
                <w:sz w:val="24"/>
                <w:szCs w:val="24"/>
                <w:lang w:val="en-US" w:eastAsia="zh-CN"/>
              </w:rPr>
            </w:pPr>
            <w:r>
              <w:rPr>
                <w:rFonts w:hint="eastAsia" w:ascii="国标仿宋" w:hAnsi="国标仿宋" w:eastAsia="国标仿宋" w:cs="国标仿宋"/>
                <w:sz w:val="24"/>
                <w:szCs w:val="24"/>
                <w:lang w:val="en-US" w:eastAsia="zh-CN"/>
              </w:rPr>
              <w:t>含税单价（元）</w:t>
            </w:r>
          </w:p>
        </w:tc>
        <w:tc>
          <w:tcPr>
            <w:tcW w:w="1352" w:type="dxa"/>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beforeLines="0" w:afterLines="0" w:line="300" w:lineRule="exact"/>
              <w:jc w:val="center"/>
              <w:textAlignment w:val="auto"/>
              <w:rPr>
                <w:rFonts w:hint="eastAsia" w:ascii="国标仿宋" w:hAnsi="国标仿宋" w:eastAsia="国标仿宋" w:cs="国标仿宋"/>
                <w:sz w:val="24"/>
                <w:szCs w:val="24"/>
                <w:lang w:val="en-US" w:eastAsia="zh-CN"/>
              </w:rPr>
            </w:pPr>
            <w:r>
              <w:rPr>
                <w:rFonts w:hint="eastAsia" w:ascii="国标仿宋" w:hAnsi="国标仿宋" w:eastAsia="国标仿宋" w:cs="国标仿宋"/>
                <w:sz w:val="24"/>
                <w:szCs w:val="24"/>
                <w:lang w:val="en-US" w:eastAsia="zh-CN"/>
              </w:rPr>
              <w:t>不含税单价（元）</w:t>
            </w:r>
          </w:p>
        </w:tc>
        <w:tc>
          <w:tcPr>
            <w:tcW w:w="1195" w:type="dxa"/>
            <w:tcBorders>
              <w:top w:val="single" w:color="auto" w:sz="4" w:space="0"/>
              <w:left w:val="single" w:color="auto" w:sz="4" w:space="0"/>
              <w:bottom w:val="single" w:color="auto" w:sz="4" w:space="0"/>
              <w:right w:val="single" w:color="auto" w:sz="4" w:space="0"/>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beforeLines="0" w:afterLines="0" w:line="300" w:lineRule="exact"/>
              <w:jc w:val="center"/>
              <w:textAlignment w:val="auto"/>
              <w:rPr>
                <w:rFonts w:hint="eastAsia" w:ascii="国标仿宋" w:hAnsi="国标仿宋" w:eastAsia="国标仿宋" w:cs="国标仿宋"/>
                <w:sz w:val="24"/>
                <w:szCs w:val="24"/>
                <w:lang w:eastAsia="zh-CN"/>
              </w:rPr>
            </w:pPr>
            <w:r>
              <w:rPr>
                <w:rFonts w:hint="eastAsia" w:ascii="国标仿宋" w:hAnsi="国标仿宋" w:eastAsia="国标仿宋" w:cs="国标仿宋"/>
                <w:sz w:val="24"/>
                <w:szCs w:val="24"/>
                <w:lang w:val="en-US" w:eastAsia="zh-CN"/>
              </w:rPr>
              <w:t>小计（不含税）（元）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3965" w:type="dxa"/>
            <w:tcBorders>
              <w:top w:val="single" w:color="auto" w:sz="4" w:space="0"/>
              <w:left w:val="single" w:color="auto" w:sz="4" w:space="0"/>
              <w:bottom w:val="single" w:color="auto" w:sz="4" w:space="0"/>
              <w:right w:val="single" w:color="auto" w:sz="4" w:space="0"/>
              <w:tl2br w:val="nil"/>
              <w:tr2bl w:val="nil"/>
            </w:tcBorders>
            <w:noWrap w:val="0"/>
            <w:vAlign w:val="top"/>
          </w:tcPr>
          <w:p>
            <w:pPr>
              <w:keepNext w:val="0"/>
              <w:keepLines w:val="0"/>
              <w:pageBreakBefore w:val="0"/>
              <w:widowControl w:val="0"/>
              <w:kinsoku/>
              <w:wordWrap/>
              <w:overflowPunct/>
              <w:topLinePunct w:val="0"/>
              <w:autoSpaceDE/>
              <w:autoSpaceDN/>
              <w:bidi w:val="0"/>
              <w:adjustRightInd/>
              <w:snapToGrid/>
              <w:spacing w:beforeLines="0" w:afterLines="0" w:line="300" w:lineRule="exact"/>
              <w:jc w:val="both"/>
              <w:textAlignment w:val="auto"/>
              <w:rPr>
                <w:rFonts w:hint="eastAsia" w:ascii="国标仿宋" w:hAnsi="国标仿宋" w:eastAsia="国标仿宋" w:cs="国标仿宋"/>
                <w:sz w:val="24"/>
                <w:szCs w:val="24"/>
                <w:lang w:val="en-US" w:eastAsia="zh-CN"/>
              </w:rPr>
            </w:pPr>
            <w:r>
              <w:rPr>
                <w:rFonts w:hint="eastAsia" w:ascii="国标仿宋" w:hAnsi="国标仿宋" w:eastAsia="国标仿宋" w:cs="国标仿宋"/>
                <w:sz w:val="24"/>
                <w:szCs w:val="24"/>
                <w:lang w:val="en-US" w:eastAsia="zh-CN"/>
              </w:rPr>
              <w:t>混合力SUV/长安启源Q07-21旗舰PLUS，车膜、脚垫及坐垫</w:t>
            </w:r>
          </w:p>
        </w:tc>
        <w:tc>
          <w:tcPr>
            <w:tcW w:w="1245" w:type="dxa"/>
            <w:tcBorders>
              <w:top w:val="single" w:color="auto" w:sz="4" w:space="0"/>
              <w:left w:val="single" w:color="auto" w:sz="4" w:space="0"/>
              <w:bottom w:val="single" w:color="auto" w:sz="4" w:space="0"/>
              <w:right w:val="single" w:color="auto" w:sz="4" w:space="0"/>
              <w:tl2br w:val="nil"/>
              <w:tr2bl w:val="nil"/>
            </w:tcBorders>
            <w:noWrap w:val="0"/>
            <w:vAlign w:val="top"/>
          </w:tcPr>
          <w:p>
            <w:pPr>
              <w:keepNext w:val="0"/>
              <w:keepLines w:val="0"/>
              <w:pageBreakBefore w:val="0"/>
              <w:widowControl w:val="0"/>
              <w:kinsoku/>
              <w:wordWrap/>
              <w:overflowPunct/>
              <w:topLinePunct w:val="0"/>
              <w:autoSpaceDE/>
              <w:autoSpaceDN/>
              <w:bidi w:val="0"/>
              <w:adjustRightInd/>
              <w:snapToGrid/>
              <w:spacing w:beforeLines="0" w:afterLines="0" w:line="300" w:lineRule="exact"/>
              <w:jc w:val="center"/>
              <w:textAlignment w:val="auto"/>
              <w:rPr>
                <w:rFonts w:hint="eastAsia" w:ascii="国标仿宋" w:hAnsi="国标仿宋" w:eastAsia="国标仿宋" w:cs="国标仿宋"/>
                <w:sz w:val="24"/>
                <w:szCs w:val="24"/>
                <w:lang w:val="en-US" w:eastAsia="zh-CN"/>
              </w:rPr>
            </w:pPr>
            <w:r>
              <w:rPr>
                <w:rFonts w:hint="eastAsia" w:ascii="国标仿宋" w:hAnsi="国标仿宋" w:eastAsia="国标仿宋" w:cs="国标仿宋"/>
                <w:sz w:val="24"/>
                <w:szCs w:val="24"/>
                <w:lang w:val="en-US" w:eastAsia="zh-CN"/>
              </w:rPr>
              <w:t>6</w:t>
            </w:r>
          </w:p>
        </w:tc>
        <w:tc>
          <w:tcPr>
            <w:tcW w:w="1245" w:type="dxa"/>
            <w:tcBorders>
              <w:top w:val="single" w:color="auto" w:sz="4" w:space="0"/>
              <w:left w:val="single" w:color="auto" w:sz="4" w:space="0"/>
              <w:bottom w:val="single" w:color="auto" w:sz="4" w:space="0"/>
              <w:right w:val="single" w:color="auto" w:sz="4" w:space="0"/>
              <w:tl2br w:val="nil"/>
              <w:tr2bl w:val="nil"/>
            </w:tcBorders>
            <w:noWrap w:val="0"/>
            <w:vAlign w:val="top"/>
          </w:tcPr>
          <w:p>
            <w:pPr>
              <w:keepNext w:val="0"/>
              <w:keepLines w:val="0"/>
              <w:pageBreakBefore w:val="0"/>
              <w:widowControl w:val="0"/>
              <w:kinsoku/>
              <w:wordWrap/>
              <w:overflowPunct/>
              <w:topLinePunct w:val="0"/>
              <w:autoSpaceDE/>
              <w:autoSpaceDN/>
              <w:bidi w:val="0"/>
              <w:adjustRightInd/>
              <w:snapToGrid/>
              <w:spacing w:beforeLines="0" w:afterLines="0" w:line="300" w:lineRule="exact"/>
              <w:textAlignment w:val="auto"/>
              <w:rPr>
                <w:rFonts w:hint="eastAsia" w:ascii="国标仿宋" w:hAnsi="国标仿宋" w:eastAsia="国标仿宋" w:cs="国标仿宋"/>
                <w:sz w:val="24"/>
                <w:szCs w:val="24"/>
                <w:lang w:val="en-US" w:eastAsia="zh-CN"/>
              </w:rPr>
            </w:pPr>
          </w:p>
        </w:tc>
        <w:tc>
          <w:tcPr>
            <w:tcW w:w="1352" w:type="dxa"/>
            <w:tcBorders>
              <w:top w:val="single" w:color="auto" w:sz="4" w:space="0"/>
              <w:left w:val="single" w:color="auto" w:sz="4" w:space="0"/>
              <w:bottom w:val="single" w:color="auto" w:sz="4" w:space="0"/>
              <w:right w:val="single" w:color="auto" w:sz="4" w:space="0"/>
              <w:tl2br w:val="nil"/>
              <w:tr2bl w:val="nil"/>
            </w:tcBorders>
            <w:noWrap w:val="0"/>
            <w:vAlign w:val="top"/>
          </w:tcPr>
          <w:p>
            <w:pPr>
              <w:keepNext w:val="0"/>
              <w:keepLines w:val="0"/>
              <w:pageBreakBefore w:val="0"/>
              <w:widowControl w:val="0"/>
              <w:kinsoku/>
              <w:wordWrap/>
              <w:overflowPunct/>
              <w:topLinePunct w:val="0"/>
              <w:autoSpaceDE/>
              <w:autoSpaceDN/>
              <w:bidi w:val="0"/>
              <w:adjustRightInd/>
              <w:snapToGrid/>
              <w:spacing w:beforeLines="0" w:afterLines="0" w:line="300" w:lineRule="exact"/>
              <w:textAlignment w:val="auto"/>
              <w:rPr>
                <w:rFonts w:hint="eastAsia" w:ascii="国标仿宋" w:hAnsi="国标仿宋" w:eastAsia="国标仿宋" w:cs="国标仿宋"/>
                <w:sz w:val="24"/>
                <w:szCs w:val="24"/>
                <w:lang w:val="en-US" w:eastAsia="zh-CN"/>
              </w:rPr>
            </w:pPr>
            <w:r>
              <w:rPr>
                <w:rFonts w:hint="eastAsia" w:ascii="国标仿宋" w:hAnsi="国标仿宋" w:eastAsia="国标仿宋" w:cs="国标仿宋"/>
                <w:sz w:val="24"/>
                <w:szCs w:val="24"/>
                <w:lang w:val="en-US" w:eastAsia="zh-CN"/>
              </w:rPr>
              <w:t>/</w:t>
            </w:r>
          </w:p>
        </w:tc>
        <w:tc>
          <w:tcPr>
            <w:tcW w:w="1195" w:type="dxa"/>
            <w:tcBorders>
              <w:top w:val="single" w:color="auto" w:sz="4" w:space="0"/>
              <w:left w:val="single" w:color="auto" w:sz="4" w:space="0"/>
              <w:bottom w:val="single" w:color="auto" w:sz="4" w:space="0"/>
              <w:right w:val="single" w:color="auto" w:sz="4" w:space="0"/>
              <w:tl2br w:val="nil"/>
              <w:tr2bl w:val="nil"/>
            </w:tcBorders>
            <w:noWrap w:val="0"/>
            <w:vAlign w:val="top"/>
          </w:tcPr>
          <w:p>
            <w:pPr>
              <w:keepNext w:val="0"/>
              <w:keepLines w:val="0"/>
              <w:pageBreakBefore w:val="0"/>
              <w:widowControl w:val="0"/>
              <w:kinsoku/>
              <w:wordWrap/>
              <w:overflowPunct/>
              <w:topLinePunct w:val="0"/>
              <w:autoSpaceDE/>
              <w:autoSpaceDN/>
              <w:bidi w:val="0"/>
              <w:adjustRightInd/>
              <w:snapToGrid/>
              <w:spacing w:beforeLines="0" w:afterLines="0" w:line="300" w:lineRule="exact"/>
              <w:textAlignment w:val="auto"/>
              <w:rPr>
                <w:rFonts w:hint="eastAsia" w:ascii="国标仿宋" w:hAnsi="国标仿宋" w:eastAsia="国标仿宋" w:cs="国标仿宋"/>
                <w:sz w:val="24"/>
                <w:szCs w:val="24"/>
                <w:lang w:val="en-US" w:eastAsia="zh-CN"/>
              </w:rPr>
            </w:pPr>
            <w:r>
              <w:rPr>
                <w:rFonts w:hint="eastAsia" w:ascii="国标仿宋" w:hAnsi="国标仿宋" w:eastAsia="国标仿宋" w:cs="国标仿宋"/>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3965" w:type="dxa"/>
            <w:tcBorders>
              <w:top w:val="single" w:color="auto" w:sz="4" w:space="0"/>
              <w:left w:val="single" w:color="auto" w:sz="4" w:space="0"/>
              <w:bottom w:val="single" w:color="auto" w:sz="4" w:space="0"/>
              <w:right w:val="single" w:color="auto" w:sz="4" w:space="0"/>
              <w:tl2br w:val="nil"/>
              <w:tr2bl w:val="nil"/>
            </w:tcBorders>
            <w:noWrap w:val="0"/>
            <w:vAlign w:val="top"/>
          </w:tcPr>
          <w:p>
            <w:pPr>
              <w:keepNext w:val="0"/>
              <w:keepLines w:val="0"/>
              <w:pageBreakBefore w:val="0"/>
              <w:widowControl w:val="0"/>
              <w:kinsoku/>
              <w:wordWrap/>
              <w:overflowPunct/>
              <w:topLinePunct w:val="0"/>
              <w:autoSpaceDE/>
              <w:autoSpaceDN/>
              <w:bidi w:val="0"/>
              <w:adjustRightInd/>
              <w:snapToGrid/>
              <w:spacing w:beforeLines="0" w:afterLines="0" w:line="300" w:lineRule="exact"/>
              <w:jc w:val="both"/>
              <w:textAlignment w:val="auto"/>
              <w:rPr>
                <w:rFonts w:hint="eastAsia" w:ascii="国标仿宋" w:hAnsi="国标仿宋" w:eastAsia="国标仿宋" w:cs="国标仿宋"/>
                <w:sz w:val="24"/>
                <w:szCs w:val="24"/>
                <w:lang w:val="en-US" w:eastAsia="zh-CN"/>
              </w:rPr>
            </w:pPr>
            <w:r>
              <w:rPr>
                <w:rFonts w:hint="eastAsia" w:ascii="国标仿宋" w:hAnsi="国标仿宋" w:eastAsia="国标仿宋" w:cs="国标仿宋"/>
                <w:sz w:val="24"/>
                <w:szCs w:val="24"/>
                <w:lang w:val="en-US" w:eastAsia="zh-CN"/>
              </w:rPr>
              <w:t>220v交流充电线</w:t>
            </w:r>
          </w:p>
        </w:tc>
        <w:tc>
          <w:tcPr>
            <w:tcW w:w="1245" w:type="dxa"/>
            <w:tcBorders>
              <w:top w:val="single" w:color="auto" w:sz="4" w:space="0"/>
              <w:left w:val="single" w:color="auto" w:sz="4" w:space="0"/>
              <w:bottom w:val="single" w:color="auto" w:sz="4" w:space="0"/>
              <w:right w:val="single" w:color="auto" w:sz="4" w:space="0"/>
              <w:tl2br w:val="nil"/>
              <w:tr2bl w:val="nil"/>
            </w:tcBorders>
            <w:noWrap w:val="0"/>
            <w:vAlign w:val="top"/>
          </w:tcPr>
          <w:p>
            <w:pPr>
              <w:keepNext w:val="0"/>
              <w:keepLines w:val="0"/>
              <w:pageBreakBefore w:val="0"/>
              <w:widowControl w:val="0"/>
              <w:kinsoku/>
              <w:wordWrap/>
              <w:overflowPunct/>
              <w:topLinePunct w:val="0"/>
              <w:autoSpaceDE/>
              <w:autoSpaceDN/>
              <w:bidi w:val="0"/>
              <w:adjustRightInd/>
              <w:snapToGrid/>
              <w:spacing w:beforeLines="0" w:afterLines="0" w:line="300" w:lineRule="exact"/>
              <w:jc w:val="center"/>
              <w:textAlignment w:val="auto"/>
              <w:rPr>
                <w:rFonts w:hint="eastAsia" w:ascii="国标仿宋" w:hAnsi="国标仿宋" w:eastAsia="国标仿宋" w:cs="国标仿宋"/>
                <w:sz w:val="24"/>
                <w:szCs w:val="24"/>
                <w:lang w:val="en-US" w:eastAsia="zh-CN"/>
              </w:rPr>
            </w:pPr>
            <w:r>
              <w:rPr>
                <w:rFonts w:hint="eastAsia" w:ascii="国标仿宋" w:hAnsi="国标仿宋" w:eastAsia="国标仿宋" w:cs="国标仿宋"/>
                <w:sz w:val="24"/>
                <w:szCs w:val="24"/>
                <w:lang w:val="en-US" w:eastAsia="zh-CN"/>
              </w:rPr>
              <w:t>15</w:t>
            </w:r>
          </w:p>
        </w:tc>
        <w:tc>
          <w:tcPr>
            <w:tcW w:w="1245" w:type="dxa"/>
            <w:tcBorders>
              <w:top w:val="single" w:color="auto" w:sz="4" w:space="0"/>
              <w:left w:val="single" w:color="auto" w:sz="4" w:space="0"/>
              <w:bottom w:val="single" w:color="auto" w:sz="4" w:space="0"/>
              <w:right w:val="single" w:color="auto" w:sz="4" w:space="0"/>
              <w:tl2br w:val="nil"/>
              <w:tr2bl w:val="nil"/>
            </w:tcBorders>
            <w:noWrap w:val="0"/>
            <w:vAlign w:val="top"/>
          </w:tcPr>
          <w:p>
            <w:pPr>
              <w:keepNext w:val="0"/>
              <w:keepLines w:val="0"/>
              <w:pageBreakBefore w:val="0"/>
              <w:widowControl w:val="0"/>
              <w:kinsoku/>
              <w:wordWrap/>
              <w:overflowPunct/>
              <w:topLinePunct w:val="0"/>
              <w:autoSpaceDE/>
              <w:autoSpaceDN/>
              <w:bidi w:val="0"/>
              <w:adjustRightInd/>
              <w:snapToGrid/>
              <w:spacing w:beforeLines="0" w:afterLines="0" w:line="300" w:lineRule="exact"/>
              <w:textAlignment w:val="auto"/>
              <w:rPr>
                <w:rFonts w:hint="eastAsia" w:ascii="国标仿宋" w:hAnsi="国标仿宋" w:eastAsia="国标仿宋" w:cs="国标仿宋"/>
                <w:sz w:val="24"/>
                <w:szCs w:val="24"/>
                <w:lang w:val="en-US" w:eastAsia="zh-CN"/>
              </w:rPr>
            </w:pPr>
          </w:p>
        </w:tc>
        <w:tc>
          <w:tcPr>
            <w:tcW w:w="1352" w:type="dxa"/>
            <w:tcBorders>
              <w:top w:val="single" w:color="auto" w:sz="4" w:space="0"/>
              <w:left w:val="single" w:color="auto" w:sz="4" w:space="0"/>
              <w:bottom w:val="single" w:color="auto" w:sz="4" w:space="0"/>
              <w:right w:val="single" w:color="auto" w:sz="4" w:space="0"/>
              <w:tl2br w:val="nil"/>
              <w:tr2bl w:val="nil"/>
            </w:tcBorders>
            <w:noWrap w:val="0"/>
            <w:vAlign w:val="top"/>
          </w:tcPr>
          <w:p>
            <w:pPr>
              <w:keepNext w:val="0"/>
              <w:keepLines w:val="0"/>
              <w:pageBreakBefore w:val="0"/>
              <w:widowControl w:val="0"/>
              <w:kinsoku/>
              <w:wordWrap/>
              <w:overflowPunct/>
              <w:topLinePunct w:val="0"/>
              <w:autoSpaceDE/>
              <w:autoSpaceDN/>
              <w:bidi w:val="0"/>
              <w:adjustRightInd/>
              <w:snapToGrid/>
              <w:spacing w:beforeLines="0" w:afterLines="0" w:line="300" w:lineRule="exact"/>
              <w:textAlignment w:val="auto"/>
              <w:rPr>
                <w:rFonts w:hint="eastAsia" w:ascii="国标仿宋" w:hAnsi="国标仿宋" w:eastAsia="国标仿宋" w:cs="国标仿宋"/>
                <w:sz w:val="24"/>
                <w:szCs w:val="24"/>
                <w:lang w:val="en-US" w:eastAsia="zh-CN"/>
              </w:rPr>
            </w:pPr>
            <w:r>
              <w:rPr>
                <w:rFonts w:hint="eastAsia" w:ascii="国标仿宋" w:hAnsi="国标仿宋" w:eastAsia="国标仿宋" w:cs="国标仿宋"/>
                <w:sz w:val="24"/>
                <w:szCs w:val="24"/>
                <w:lang w:val="en-US" w:eastAsia="zh-CN"/>
              </w:rPr>
              <w:t>/</w:t>
            </w:r>
          </w:p>
        </w:tc>
        <w:tc>
          <w:tcPr>
            <w:tcW w:w="1195" w:type="dxa"/>
            <w:tcBorders>
              <w:top w:val="single" w:color="auto" w:sz="4" w:space="0"/>
              <w:left w:val="single" w:color="auto" w:sz="4" w:space="0"/>
              <w:bottom w:val="single" w:color="auto" w:sz="4" w:space="0"/>
              <w:right w:val="single" w:color="auto" w:sz="4" w:space="0"/>
              <w:tl2br w:val="nil"/>
              <w:tr2bl w:val="nil"/>
            </w:tcBorders>
            <w:noWrap w:val="0"/>
            <w:vAlign w:val="top"/>
          </w:tcPr>
          <w:p>
            <w:pPr>
              <w:keepNext w:val="0"/>
              <w:keepLines w:val="0"/>
              <w:pageBreakBefore w:val="0"/>
              <w:widowControl w:val="0"/>
              <w:kinsoku/>
              <w:wordWrap/>
              <w:overflowPunct/>
              <w:topLinePunct w:val="0"/>
              <w:autoSpaceDE/>
              <w:autoSpaceDN/>
              <w:bidi w:val="0"/>
              <w:adjustRightInd/>
              <w:snapToGrid/>
              <w:spacing w:beforeLines="0" w:afterLines="0" w:line="300" w:lineRule="exact"/>
              <w:textAlignment w:val="auto"/>
              <w:rPr>
                <w:rFonts w:hint="eastAsia" w:ascii="国标仿宋" w:hAnsi="国标仿宋" w:eastAsia="国标仿宋" w:cs="国标仿宋"/>
                <w:sz w:val="24"/>
                <w:szCs w:val="24"/>
                <w:lang w:val="en-US" w:eastAsia="zh-CN"/>
              </w:rPr>
            </w:pPr>
            <w:r>
              <w:rPr>
                <w:rFonts w:hint="eastAsia" w:ascii="国标仿宋" w:hAnsi="国标仿宋" w:eastAsia="国标仿宋" w:cs="国标仿宋"/>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3965" w:type="dxa"/>
            <w:tcBorders>
              <w:top w:val="single" w:color="auto" w:sz="4" w:space="0"/>
              <w:left w:val="single" w:color="auto" w:sz="4" w:space="0"/>
              <w:bottom w:val="single" w:color="auto" w:sz="4" w:space="0"/>
              <w:right w:val="single" w:color="auto" w:sz="4" w:space="0"/>
              <w:tl2br w:val="nil"/>
              <w:tr2bl w:val="nil"/>
            </w:tcBorders>
            <w:noWrap w:val="0"/>
            <w:vAlign w:val="top"/>
          </w:tcPr>
          <w:p>
            <w:pPr>
              <w:keepNext w:val="0"/>
              <w:keepLines w:val="0"/>
              <w:pageBreakBefore w:val="0"/>
              <w:widowControl w:val="0"/>
              <w:kinsoku/>
              <w:wordWrap/>
              <w:overflowPunct/>
              <w:topLinePunct w:val="0"/>
              <w:autoSpaceDE/>
              <w:autoSpaceDN/>
              <w:bidi w:val="0"/>
              <w:adjustRightInd/>
              <w:snapToGrid/>
              <w:spacing w:beforeLines="0" w:afterLines="0" w:line="300" w:lineRule="exact"/>
              <w:jc w:val="both"/>
              <w:textAlignment w:val="auto"/>
              <w:rPr>
                <w:rFonts w:hint="eastAsia" w:ascii="国标仿宋" w:hAnsi="国标仿宋" w:eastAsia="国标仿宋" w:cs="国标仿宋"/>
                <w:sz w:val="24"/>
                <w:szCs w:val="24"/>
                <w:lang w:val="en-US" w:eastAsia="zh-CN"/>
              </w:rPr>
            </w:pPr>
            <w:r>
              <w:rPr>
                <w:rFonts w:hint="eastAsia" w:ascii="国标仿宋" w:hAnsi="国标仿宋" w:eastAsia="国标仿宋" w:cs="国标仿宋"/>
                <w:sz w:val="24"/>
                <w:szCs w:val="24"/>
                <w:lang w:val="en-US" w:eastAsia="zh-CN"/>
              </w:rPr>
              <w:t>车辆应急启动电源（含充气泵）</w:t>
            </w:r>
          </w:p>
        </w:tc>
        <w:tc>
          <w:tcPr>
            <w:tcW w:w="1245" w:type="dxa"/>
            <w:tcBorders>
              <w:top w:val="single" w:color="auto" w:sz="4" w:space="0"/>
              <w:left w:val="single" w:color="auto" w:sz="4" w:space="0"/>
              <w:bottom w:val="single" w:color="auto" w:sz="4" w:space="0"/>
              <w:right w:val="single" w:color="auto" w:sz="4" w:space="0"/>
              <w:tl2br w:val="nil"/>
              <w:tr2bl w:val="nil"/>
            </w:tcBorders>
            <w:noWrap w:val="0"/>
            <w:vAlign w:val="top"/>
          </w:tcPr>
          <w:p>
            <w:pPr>
              <w:keepNext w:val="0"/>
              <w:keepLines w:val="0"/>
              <w:pageBreakBefore w:val="0"/>
              <w:widowControl w:val="0"/>
              <w:kinsoku/>
              <w:wordWrap/>
              <w:overflowPunct/>
              <w:topLinePunct w:val="0"/>
              <w:autoSpaceDE/>
              <w:autoSpaceDN/>
              <w:bidi w:val="0"/>
              <w:adjustRightInd/>
              <w:snapToGrid/>
              <w:spacing w:beforeLines="0" w:afterLines="0" w:line="300" w:lineRule="exact"/>
              <w:jc w:val="center"/>
              <w:textAlignment w:val="auto"/>
              <w:rPr>
                <w:rFonts w:hint="eastAsia" w:ascii="国标仿宋" w:hAnsi="国标仿宋" w:eastAsia="国标仿宋" w:cs="国标仿宋"/>
                <w:sz w:val="24"/>
                <w:szCs w:val="24"/>
                <w:lang w:val="en-US" w:eastAsia="zh-CN"/>
              </w:rPr>
            </w:pPr>
            <w:r>
              <w:rPr>
                <w:rFonts w:hint="eastAsia" w:ascii="国标仿宋" w:hAnsi="国标仿宋" w:eastAsia="国标仿宋" w:cs="国标仿宋"/>
                <w:sz w:val="24"/>
                <w:szCs w:val="24"/>
                <w:lang w:val="en-US" w:eastAsia="zh-CN"/>
              </w:rPr>
              <w:t>5</w:t>
            </w:r>
          </w:p>
        </w:tc>
        <w:tc>
          <w:tcPr>
            <w:tcW w:w="1245" w:type="dxa"/>
            <w:tcBorders>
              <w:top w:val="single" w:color="auto" w:sz="4" w:space="0"/>
              <w:left w:val="single" w:color="auto" w:sz="4" w:space="0"/>
              <w:bottom w:val="single" w:color="auto" w:sz="4" w:space="0"/>
              <w:right w:val="single" w:color="auto" w:sz="4" w:space="0"/>
              <w:tl2br w:val="nil"/>
              <w:tr2bl w:val="nil"/>
            </w:tcBorders>
            <w:noWrap w:val="0"/>
            <w:vAlign w:val="top"/>
          </w:tcPr>
          <w:p>
            <w:pPr>
              <w:keepNext w:val="0"/>
              <w:keepLines w:val="0"/>
              <w:pageBreakBefore w:val="0"/>
              <w:widowControl w:val="0"/>
              <w:kinsoku/>
              <w:wordWrap/>
              <w:overflowPunct/>
              <w:topLinePunct w:val="0"/>
              <w:autoSpaceDE/>
              <w:autoSpaceDN/>
              <w:bidi w:val="0"/>
              <w:adjustRightInd/>
              <w:snapToGrid/>
              <w:spacing w:beforeLines="0" w:afterLines="0" w:line="300" w:lineRule="exact"/>
              <w:textAlignment w:val="auto"/>
              <w:rPr>
                <w:rFonts w:hint="eastAsia" w:ascii="国标仿宋" w:hAnsi="国标仿宋" w:eastAsia="国标仿宋" w:cs="国标仿宋"/>
                <w:sz w:val="24"/>
                <w:szCs w:val="24"/>
                <w:lang w:val="en-US" w:eastAsia="zh-CN"/>
              </w:rPr>
            </w:pPr>
          </w:p>
        </w:tc>
        <w:tc>
          <w:tcPr>
            <w:tcW w:w="1352" w:type="dxa"/>
            <w:tcBorders>
              <w:top w:val="single" w:color="auto" w:sz="4" w:space="0"/>
              <w:left w:val="single" w:color="auto" w:sz="4" w:space="0"/>
              <w:bottom w:val="single" w:color="auto" w:sz="4" w:space="0"/>
              <w:right w:val="single" w:color="auto" w:sz="4" w:space="0"/>
              <w:tl2br w:val="nil"/>
              <w:tr2bl w:val="nil"/>
            </w:tcBorders>
            <w:noWrap w:val="0"/>
            <w:vAlign w:val="top"/>
          </w:tcPr>
          <w:p>
            <w:pPr>
              <w:keepNext w:val="0"/>
              <w:keepLines w:val="0"/>
              <w:pageBreakBefore w:val="0"/>
              <w:widowControl w:val="0"/>
              <w:kinsoku/>
              <w:wordWrap/>
              <w:overflowPunct/>
              <w:topLinePunct w:val="0"/>
              <w:autoSpaceDE/>
              <w:autoSpaceDN/>
              <w:bidi w:val="0"/>
              <w:adjustRightInd/>
              <w:snapToGrid/>
              <w:spacing w:beforeLines="0" w:afterLines="0" w:line="300" w:lineRule="exact"/>
              <w:textAlignment w:val="auto"/>
              <w:rPr>
                <w:rFonts w:hint="eastAsia" w:ascii="国标仿宋" w:hAnsi="国标仿宋" w:eastAsia="国标仿宋" w:cs="国标仿宋"/>
                <w:sz w:val="24"/>
                <w:szCs w:val="24"/>
                <w:lang w:val="en-US" w:eastAsia="zh-CN"/>
              </w:rPr>
            </w:pPr>
            <w:r>
              <w:rPr>
                <w:rFonts w:hint="eastAsia" w:ascii="国标仿宋" w:hAnsi="国标仿宋" w:eastAsia="国标仿宋" w:cs="国标仿宋"/>
                <w:sz w:val="24"/>
                <w:szCs w:val="24"/>
                <w:lang w:val="en-US" w:eastAsia="zh-CN"/>
              </w:rPr>
              <w:t>/</w:t>
            </w:r>
          </w:p>
        </w:tc>
        <w:tc>
          <w:tcPr>
            <w:tcW w:w="1195" w:type="dxa"/>
            <w:tcBorders>
              <w:top w:val="single" w:color="auto" w:sz="4" w:space="0"/>
              <w:left w:val="single" w:color="auto" w:sz="4" w:space="0"/>
              <w:bottom w:val="single" w:color="auto" w:sz="4" w:space="0"/>
              <w:right w:val="single" w:color="auto" w:sz="4" w:space="0"/>
              <w:tl2br w:val="nil"/>
              <w:tr2bl w:val="nil"/>
            </w:tcBorders>
            <w:noWrap w:val="0"/>
            <w:vAlign w:val="top"/>
          </w:tcPr>
          <w:p>
            <w:pPr>
              <w:keepNext w:val="0"/>
              <w:keepLines w:val="0"/>
              <w:pageBreakBefore w:val="0"/>
              <w:widowControl w:val="0"/>
              <w:kinsoku/>
              <w:wordWrap/>
              <w:overflowPunct/>
              <w:topLinePunct w:val="0"/>
              <w:autoSpaceDE/>
              <w:autoSpaceDN/>
              <w:bidi w:val="0"/>
              <w:adjustRightInd/>
              <w:snapToGrid/>
              <w:spacing w:beforeLines="0" w:afterLines="0" w:line="300" w:lineRule="exact"/>
              <w:textAlignment w:val="auto"/>
              <w:rPr>
                <w:rFonts w:hint="eastAsia" w:ascii="国标仿宋" w:hAnsi="国标仿宋" w:eastAsia="国标仿宋" w:cs="国标仿宋"/>
                <w:sz w:val="24"/>
                <w:szCs w:val="24"/>
                <w:lang w:val="en-US" w:eastAsia="zh-CN"/>
              </w:rPr>
            </w:pPr>
            <w:r>
              <w:rPr>
                <w:rFonts w:hint="eastAsia" w:ascii="国标仿宋" w:hAnsi="国标仿宋" w:eastAsia="国标仿宋" w:cs="国标仿宋"/>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trPr>
        <w:tc>
          <w:tcPr>
            <w:tcW w:w="3965" w:type="dxa"/>
            <w:tcBorders>
              <w:top w:val="single" w:color="auto" w:sz="4" w:space="0"/>
              <w:left w:val="single" w:color="auto" w:sz="4" w:space="0"/>
              <w:bottom w:val="single" w:color="auto" w:sz="4" w:space="0"/>
              <w:right w:val="single" w:color="auto" w:sz="4" w:space="0"/>
              <w:tl2br w:val="nil"/>
              <w:tr2bl w:val="nil"/>
            </w:tcBorders>
            <w:noWrap w:val="0"/>
            <w:vAlign w:val="top"/>
          </w:tcPr>
          <w:p>
            <w:pPr>
              <w:keepNext w:val="0"/>
              <w:keepLines w:val="0"/>
              <w:pageBreakBefore w:val="0"/>
              <w:widowControl w:val="0"/>
              <w:kinsoku/>
              <w:wordWrap/>
              <w:overflowPunct/>
              <w:topLinePunct w:val="0"/>
              <w:autoSpaceDE/>
              <w:autoSpaceDN/>
              <w:bidi w:val="0"/>
              <w:adjustRightInd/>
              <w:snapToGrid/>
              <w:spacing w:beforeLines="0" w:afterLines="0" w:line="300" w:lineRule="exact"/>
              <w:jc w:val="center"/>
              <w:textAlignment w:val="auto"/>
              <w:rPr>
                <w:rFonts w:hint="eastAsia" w:ascii="国标仿宋" w:hAnsi="国标仿宋" w:eastAsia="国标仿宋" w:cs="国标仿宋"/>
                <w:sz w:val="24"/>
                <w:szCs w:val="24"/>
                <w:lang w:val="en-US" w:eastAsia="zh-CN"/>
              </w:rPr>
            </w:pPr>
            <w:r>
              <w:rPr>
                <w:rFonts w:hint="eastAsia" w:ascii="国标仿宋" w:hAnsi="国标仿宋" w:eastAsia="国标仿宋" w:cs="国标仿宋"/>
                <w:sz w:val="24"/>
                <w:szCs w:val="24"/>
                <w:lang w:val="en-US" w:eastAsia="zh-CN"/>
              </w:rPr>
              <w:t>合计（元）</w:t>
            </w:r>
          </w:p>
        </w:tc>
        <w:tc>
          <w:tcPr>
            <w:tcW w:w="1245" w:type="dxa"/>
            <w:tcBorders>
              <w:top w:val="single" w:color="auto" w:sz="4" w:space="0"/>
              <w:left w:val="single" w:color="auto" w:sz="4" w:space="0"/>
              <w:bottom w:val="single" w:color="auto" w:sz="4" w:space="0"/>
              <w:right w:val="single" w:color="auto" w:sz="4" w:space="0"/>
              <w:tl2br w:val="nil"/>
              <w:tr2bl w:val="nil"/>
            </w:tcBorders>
            <w:noWrap w:val="0"/>
            <w:vAlign w:val="top"/>
          </w:tcPr>
          <w:p>
            <w:pPr>
              <w:keepNext w:val="0"/>
              <w:keepLines w:val="0"/>
              <w:pageBreakBefore w:val="0"/>
              <w:widowControl w:val="0"/>
              <w:kinsoku/>
              <w:wordWrap/>
              <w:overflowPunct/>
              <w:topLinePunct w:val="0"/>
              <w:autoSpaceDE/>
              <w:autoSpaceDN/>
              <w:bidi w:val="0"/>
              <w:adjustRightInd/>
              <w:snapToGrid/>
              <w:spacing w:beforeLines="0" w:afterLines="0" w:line="300" w:lineRule="exact"/>
              <w:textAlignment w:val="auto"/>
              <w:rPr>
                <w:rFonts w:hint="eastAsia" w:ascii="国标仿宋" w:hAnsi="国标仿宋" w:eastAsia="国标仿宋" w:cs="国标仿宋"/>
                <w:sz w:val="24"/>
                <w:szCs w:val="24"/>
                <w:lang w:val="en-US" w:eastAsia="zh-CN"/>
              </w:rPr>
            </w:pPr>
          </w:p>
        </w:tc>
        <w:tc>
          <w:tcPr>
            <w:tcW w:w="1245" w:type="dxa"/>
            <w:tcBorders>
              <w:top w:val="single" w:color="auto" w:sz="4" w:space="0"/>
              <w:left w:val="single" w:color="auto" w:sz="4" w:space="0"/>
              <w:bottom w:val="single" w:color="auto" w:sz="4" w:space="0"/>
              <w:right w:val="single" w:color="auto" w:sz="4" w:space="0"/>
              <w:tl2br w:val="nil"/>
              <w:tr2bl w:val="nil"/>
            </w:tcBorders>
            <w:noWrap w:val="0"/>
            <w:vAlign w:val="top"/>
          </w:tcPr>
          <w:p>
            <w:pPr>
              <w:keepNext w:val="0"/>
              <w:keepLines w:val="0"/>
              <w:pageBreakBefore w:val="0"/>
              <w:widowControl w:val="0"/>
              <w:kinsoku/>
              <w:wordWrap/>
              <w:overflowPunct/>
              <w:topLinePunct w:val="0"/>
              <w:autoSpaceDE/>
              <w:autoSpaceDN/>
              <w:bidi w:val="0"/>
              <w:adjustRightInd/>
              <w:snapToGrid/>
              <w:spacing w:beforeLines="0" w:afterLines="0" w:line="300" w:lineRule="exact"/>
              <w:textAlignment w:val="auto"/>
              <w:rPr>
                <w:rFonts w:hint="eastAsia" w:ascii="国标仿宋" w:hAnsi="国标仿宋" w:eastAsia="国标仿宋" w:cs="国标仿宋"/>
                <w:sz w:val="24"/>
                <w:szCs w:val="24"/>
                <w:lang w:val="en-US" w:eastAsia="zh-CN"/>
              </w:rPr>
            </w:pPr>
          </w:p>
        </w:tc>
        <w:tc>
          <w:tcPr>
            <w:tcW w:w="1352" w:type="dxa"/>
            <w:tcBorders>
              <w:top w:val="single" w:color="auto" w:sz="4" w:space="0"/>
              <w:left w:val="single" w:color="auto" w:sz="4" w:space="0"/>
              <w:bottom w:val="single" w:color="auto" w:sz="4" w:space="0"/>
              <w:right w:val="single" w:color="auto" w:sz="4" w:space="0"/>
              <w:tl2br w:val="nil"/>
              <w:tr2bl w:val="nil"/>
            </w:tcBorders>
            <w:noWrap w:val="0"/>
            <w:vAlign w:val="top"/>
          </w:tcPr>
          <w:p>
            <w:pPr>
              <w:keepNext w:val="0"/>
              <w:keepLines w:val="0"/>
              <w:pageBreakBefore w:val="0"/>
              <w:widowControl w:val="0"/>
              <w:kinsoku/>
              <w:wordWrap/>
              <w:overflowPunct/>
              <w:topLinePunct w:val="0"/>
              <w:autoSpaceDE/>
              <w:autoSpaceDN/>
              <w:bidi w:val="0"/>
              <w:adjustRightInd/>
              <w:snapToGrid/>
              <w:spacing w:beforeLines="0" w:afterLines="0" w:line="300" w:lineRule="exact"/>
              <w:textAlignment w:val="auto"/>
              <w:rPr>
                <w:rFonts w:hint="eastAsia" w:ascii="国标仿宋" w:hAnsi="国标仿宋" w:eastAsia="国标仿宋" w:cs="国标仿宋"/>
                <w:sz w:val="24"/>
                <w:szCs w:val="24"/>
                <w:lang w:val="en-US" w:eastAsia="zh-CN"/>
              </w:rPr>
            </w:pPr>
          </w:p>
        </w:tc>
        <w:tc>
          <w:tcPr>
            <w:tcW w:w="1195" w:type="dxa"/>
            <w:tcBorders>
              <w:top w:val="single" w:color="auto" w:sz="4" w:space="0"/>
              <w:left w:val="single" w:color="auto" w:sz="4" w:space="0"/>
              <w:bottom w:val="single" w:color="auto" w:sz="4" w:space="0"/>
              <w:right w:val="single" w:color="auto" w:sz="4" w:space="0"/>
              <w:tl2br w:val="nil"/>
              <w:tr2bl w:val="nil"/>
            </w:tcBorders>
            <w:noWrap w:val="0"/>
            <w:vAlign w:val="top"/>
          </w:tcPr>
          <w:p>
            <w:pPr>
              <w:keepNext w:val="0"/>
              <w:keepLines w:val="0"/>
              <w:pageBreakBefore w:val="0"/>
              <w:widowControl w:val="0"/>
              <w:kinsoku/>
              <w:wordWrap/>
              <w:overflowPunct/>
              <w:topLinePunct w:val="0"/>
              <w:autoSpaceDE/>
              <w:autoSpaceDN/>
              <w:bidi w:val="0"/>
              <w:adjustRightInd/>
              <w:snapToGrid/>
              <w:spacing w:beforeLines="0" w:afterLines="0" w:line="300" w:lineRule="exact"/>
              <w:textAlignment w:val="auto"/>
              <w:rPr>
                <w:rFonts w:hint="eastAsia" w:ascii="国标仿宋" w:hAnsi="国标仿宋" w:eastAsia="国标仿宋" w:cs="国标仿宋"/>
                <w:sz w:val="24"/>
                <w:szCs w:val="24"/>
              </w:rPr>
            </w:pPr>
          </w:p>
        </w:tc>
      </w:tr>
    </w:tbl>
    <w:p>
      <w:pPr>
        <w:numPr>
          <w:ilvl w:val="0"/>
          <w:numId w:val="1"/>
        </w:numPr>
        <w:bidi w:val="0"/>
        <w:spacing w:line="578" w:lineRule="exact"/>
        <w:ind w:firstLine="612" w:firstLineChars="200"/>
        <w:rPr>
          <w:rFonts w:hint="eastAsia" w:ascii="黑体" w:hAnsi="黑体" w:eastAsia="黑体" w:cs="黑体"/>
          <w:b w:val="0"/>
          <w:spacing w:val="-7"/>
          <w:sz w:val="32"/>
          <w:lang w:val="en-US" w:eastAsia="zh-CN"/>
        </w:rPr>
      </w:pPr>
      <w:r>
        <w:rPr>
          <w:rFonts w:hint="eastAsia" w:ascii="黑体" w:hAnsi="黑体" w:eastAsia="黑体" w:cs="黑体"/>
          <w:b w:val="0"/>
          <w:spacing w:val="-7"/>
          <w:sz w:val="32"/>
          <w:lang w:val="en-US" w:eastAsia="zh-CN"/>
        </w:rPr>
        <w:t>监督要求</w:t>
      </w:r>
    </w:p>
    <w:p>
      <w:pPr>
        <w:numPr>
          <w:ilvl w:val="0"/>
          <w:numId w:val="0"/>
        </w:numPr>
        <w:spacing w:line="578" w:lineRule="exact"/>
        <w:ind w:firstLine="612" w:firstLineChars="200"/>
        <w:rPr>
          <w:rFonts w:hint="default" w:ascii="仿宋" w:hAnsi="仿宋" w:eastAsia="仿宋" w:cs="仿宋"/>
          <w:spacing w:val="-7"/>
          <w:sz w:val="32"/>
          <w:lang w:val="en-US" w:eastAsia="zh-CN"/>
        </w:rPr>
      </w:pPr>
      <w:r>
        <w:rPr>
          <w:rFonts w:hint="default" w:ascii="仿宋" w:hAnsi="仿宋" w:eastAsia="仿宋" w:cs="仿宋"/>
          <w:spacing w:val="-7"/>
          <w:sz w:val="32"/>
          <w:lang w:val="en-US" w:eastAsia="zh-CN"/>
        </w:rPr>
        <w:t>在采购过程中发现违规违纪问题，需要反映线索的请联系：监督电话党群部杨晓梅：13518721885</w:t>
      </w:r>
      <w:r>
        <w:rPr>
          <w:rFonts w:hint="eastAsia" w:ascii="仿宋" w:hAnsi="仿宋" w:eastAsia="仿宋" w:cs="仿宋"/>
          <w:spacing w:val="-7"/>
          <w:sz w:val="32"/>
          <w:lang w:val="en-US" w:eastAsia="zh-CN"/>
        </w:rPr>
        <w:t>，</w:t>
      </w:r>
      <w:r>
        <w:rPr>
          <w:rFonts w:hint="default" w:ascii="仿宋" w:hAnsi="仿宋" w:eastAsia="仿宋" w:cs="仿宋"/>
          <w:spacing w:val="-7"/>
          <w:sz w:val="32"/>
          <w:lang w:val="en-US" w:eastAsia="zh-CN"/>
        </w:rPr>
        <w:t>监督电话综合办公室（党办）马丽：13700635385</w:t>
      </w:r>
      <w:r>
        <w:rPr>
          <w:rFonts w:hint="eastAsia" w:ascii="仿宋" w:hAnsi="仿宋" w:eastAsia="仿宋" w:cs="仿宋"/>
          <w:spacing w:val="-7"/>
          <w:sz w:val="32"/>
          <w:lang w:val="en-US" w:eastAsia="zh-CN"/>
        </w:rPr>
        <w:t>。</w:t>
      </w:r>
      <w:bookmarkStart w:id="0" w:name="_GoBack"/>
    </w:p>
    <w:bookmarkEnd w:id="0"/>
    <w:p>
      <w:pPr>
        <w:tabs>
          <w:tab w:val="left" w:pos="7251"/>
        </w:tabs>
        <w:bidi w:val="0"/>
        <w:spacing w:line="578" w:lineRule="exact"/>
        <w:ind w:left="3780" w:leftChars="1800" w:right="0" w:rightChars="0" w:firstLine="0" w:firstLineChars="0"/>
        <w:jc w:val="center"/>
        <w:rPr>
          <w:rFonts w:hint="eastAsia" w:ascii="仿宋" w:hAnsi="仿宋" w:eastAsia="仿宋" w:cs="仿宋"/>
          <w:b w:val="0"/>
          <w:bCs w:val="0"/>
          <w:i w:val="0"/>
          <w:iCs w:val="0"/>
          <w:caps w:val="0"/>
          <w:color w:val="auto"/>
          <w:spacing w:val="-7"/>
          <w:sz w:val="32"/>
          <w:szCs w:val="28"/>
          <w:highlight w:val="none"/>
          <w:lang w:val="en-US" w:eastAsia="zh-CN"/>
        </w:rPr>
      </w:pPr>
    </w:p>
    <w:p>
      <w:pPr>
        <w:tabs>
          <w:tab w:val="left" w:pos="7251"/>
        </w:tabs>
        <w:bidi w:val="0"/>
        <w:spacing w:line="578" w:lineRule="exact"/>
        <w:ind w:left="3780" w:leftChars="1800" w:right="0" w:rightChars="0" w:firstLine="0" w:firstLineChars="0"/>
        <w:jc w:val="center"/>
        <w:rPr>
          <w:rFonts w:hint="eastAsia" w:ascii="仿宋" w:hAnsi="仿宋" w:eastAsia="仿宋" w:cs="仿宋"/>
          <w:b w:val="0"/>
          <w:bCs w:val="0"/>
          <w:i w:val="0"/>
          <w:iCs w:val="0"/>
          <w:caps w:val="0"/>
          <w:color w:val="auto"/>
          <w:spacing w:val="-7"/>
          <w:sz w:val="32"/>
          <w:szCs w:val="28"/>
          <w:highlight w:val="none"/>
          <w:lang w:val="en-US" w:eastAsia="zh-CN"/>
        </w:rPr>
      </w:pPr>
    </w:p>
    <w:p>
      <w:pPr>
        <w:tabs>
          <w:tab w:val="left" w:pos="7251"/>
        </w:tabs>
        <w:bidi w:val="0"/>
        <w:spacing w:line="578" w:lineRule="exact"/>
        <w:ind w:left="3780" w:leftChars="1800" w:right="0" w:rightChars="0" w:firstLine="0" w:firstLineChars="0"/>
        <w:jc w:val="center"/>
        <w:rPr>
          <w:rFonts w:hint="eastAsia" w:ascii="仿宋" w:hAnsi="仿宋" w:eastAsia="仿宋" w:cs="仿宋"/>
          <w:b w:val="0"/>
          <w:bCs w:val="0"/>
          <w:i w:val="0"/>
          <w:iCs w:val="0"/>
          <w:caps w:val="0"/>
          <w:color w:val="auto"/>
          <w:spacing w:val="-7"/>
          <w:sz w:val="32"/>
          <w:szCs w:val="28"/>
          <w:highlight w:val="none"/>
          <w:lang w:val="en-US" w:eastAsia="zh-CN"/>
        </w:rPr>
      </w:pPr>
      <w:r>
        <w:rPr>
          <w:rFonts w:hint="eastAsia" w:ascii="仿宋" w:hAnsi="仿宋" w:eastAsia="仿宋" w:cs="仿宋"/>
          <w:b w:val="0"/>
          <w:bCs w:val="0"/>
          <w:i w:val="0"/>
          <w:iCs w:val="0"/>
          <w:caps w:val="0"/>
          <w:color w:val="auto"/>
          <w:spacing w:val="-7"/>
          <w:sz w:val="32"/>
          <w:szCs w:val="28"/>
          <w:highlight w:val="none"/>
          <w:lang w:val="en-US" w:eastAsia="zh-CN"/>
        </w:rPr>
        <w:t>云南电力建设监理咨询有限责任公司</w:t>
      </w:r>
    </w:p>
    <w:p>
      <w:pPr>
        <w:tabs>
          <w:tab w:val="left" w:pos="7251"/>
        </w:tabs>
        <w:bidi w:val="0"/>
        <w:spacing w:line="578" w:lineRule="exact"/>
        <w:ind w:left="5040" w:leftChars="2400" w:right="1260" w:rightChars="600" w:firstLine="0" w:firstLineChars="0"/>
        <w:jc w:val="center"/>
        <w:rPr>
          <w:rFonts w:hint="eastAsia" w:ascii="仿宋" w:hAnsi="仿宋" w:eastAsia="仿宋" w:cs="仿宋"/>
          <w:spacing w:val="-7"/>
          <w:sz w:val="32"/>
          <w:lang w:val="en-US" w:eastAsia="zh-CN"/>
        </w:rPr>
      </w:pPr>
      <w:r>
        <w:rPr>
          <w:rFonts w:hint="eastAsia" w:ascii="仿宋" w:hAnsi="仿宋" w:eastAsia="仿宋" w:cs="仿宋"/>
          <w:b w:val="0"/>
          <w:bCs w:val="0"/>
          <w:i w:val="0"/>
          <w:iCs w:val="0"/>
          <w:caps w:val="0"/>
          <w:color w:val="auto"/>
          <w:spacing w:val="-7"/>
          <w:sz w:val="32"/>
          <w:szCs w:val="28"/>
          <w:highlight w:val="none"/>
        </w:rPr>
        <w:t>202</w:t>
      </w:r>
      <w:r>
        <w:rPr>
          <w:rFonts w:hint="eastAsia" w:ascii="仿宋" w:hAnsi="仿宋" w:eastAsia="仿宋" w:cs="仿宋"/>
          <w:b w:val="0"/>
          <w:bCs w:val="0"/>
          <w:i w:val="0"/>
          <w:iCs w:val="0"/>
          <w:caps w:val="0"/>
          <w:color w:val="auto"/>
          <w:spacing w:val="-7"/>
          <w:sz w:val="32"/>
          <w:szCs w:val="28"/>
          <w:highlight w:val="none"/>
          <w:lang w:val="en-US" w:eastAsia="zh-CN"/>
        </w:rPr>
        <w:t>6</w:t>
      </w:r>
      <w:r>
        <w:rPr>
          <w:rFonts w:hint="eastAsia" w:ascii="仿宋" w:hAnsi="仿宋" w:eastAsia="仿宋" w:cs="仿宋"/>
          <w:b w:val="0"/>
          <w:bCs w:val="0"/>
          <w:i w:val="0"/>
          <w:iCs w:val="0"/>
          <w:caps w:val="0"/>
          <w:color w:val="auto"/>
          <w:spacing w:val="-7"/>
          <w:sz w:val="32"/>
          <w:szCs w:val="28"/>
          <w:highlight w:val="none"/>
        </w:rPr>
        <w:t>年</w:t>
      </w:r>
      <w:r>
        <w:rPr>
          <w:rFonts w:hint="eastAsia" w:ascii="仿宋" w:hAnsi="仿宋" w:eastAsia="仿宋" w:cs="仿宋"/>
          <w:b w:val="0"/>
          <w:bCs w:val="0"/>
          <w:i w:val="0"/>
          <w:iCs w:val="0"/>
          <w:caps w:val="0"/>
          <w:color w:val="auto"/>
          <w:spacing w:val="-7"/>
          <w:sz w:val="32"/>
          <w:szCs w:val="28"/>
          <w:highlight w:val="none"/>
          <w:lang w:val="en-US" w:eastAsia="zh-CN"/>
        </w:rPr>
        <w:t>3</w:t>
      </w:r>
      <w:r>
        <w:rPr>
          <w:rFonts w:hint="eastAsia" w:ascii="仿宋" w:hAnsi="仿宋" w:eastAsia="仿宋" w:cs="仿宋"/>
          <w:b w:val="0"/>
          <w:bCs w:val="0"/>
          <w:i w:val="0"/>
          <w:iCs w:val="0"/>
          <w:caps w:val="0"/>
          <w:color w:val="auto"/>
          <w:spacing w:val="-7"/>
          <w:sz w:val="32"/>
          <w:szCs w:val="28"/>
          <w:highlight w:val="none"/>
        </w:rPr>
        <w:t>月</w:t>
      </w:r>
      <w:r>
        <w:rPr>
          <w:rFonts w:hint="eastAsia" w:ascii="仿宋" w:hAnsi="仿宋" w:eastAsia="仿宋" w:cs="仿宋"/>
          <w:b w:val="0"/>
          <w:bCs w:val="0"/>
          <w:i w:val="0"/>
          <w:iCs w:val="0"/>
          <w:caps w:val="0"/>
          <w:color w:val="auto"/>
          <w:spacing w:val="-7"/>
          <w:sz w:val="32"/>
          <w:szCs w:val="28"/>
          <w:highlight w:val="none"/>
          <w:lang w:val="en-US" w:eastAsia="zh-CN"/>
        </w:rPr>
        <w:t>25</w:t>
      </w:r>
      <w:r>
        <w:rPr>
          <w:rFonts w:hint="eastAsia" w:ascii="仿宋" w:hAnsi="仿宋" w:eastAsia="仿宋" w:cs="仿宋"/>
          <w:b w:val="0"/>
          <w:bCs w:val="0"/>
          <w:i w:val="0"/>
          <w:iCs w:val="0"/>
          <w:caps w:val="0"/>
          <w:color w:val="auto"/>
          <w:spacing w:val="-7"/>
          <w:sz w:val="32"/>
          <w:szCs w:val="28"/>
          <w:highlight w:val="none"/>
        </w:rPr>
        <w:t>日</w:t>
      </w:r>
    </w:p>
    <w:sectPr>
      <w:headerReference r:id="rId3" w:type="default"/>
      <w:footerReference r:id="rId4" w:type="default"/>
      <w:pgSz w:w="11906" w:h="16838"/>
      <w:pgMar w:top="2098" w:right="1531" w:bottom="1985" w:left="1588" w:header="851" w:footer="1501"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roman"/>
    <w:pitch w:val="default"/>
    <w:sig w:usb0="00000000" w:usb1="00000000" w:usb2="00000009" w:usb3="00000000" w:csb0="400001FF" w:csb1="FFFF0000"/>
  </w:font>
  <w:font w:name="宋体">
    <w:altName w:val="方正书宋_GBK"/>
    <w:panose1 w:val="02010600030101010101"/>
    <w:charset w:val="50"/>
    <w:family w:val="auto"/>
    <w:pitch w:val="default"/>
    <w:sig w:usb0="00000000" w:usb1="00000000" w:usb2="00000006" w:usb3="00000000" w:csb0="00040001"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仿宋">
    <w:altName w:val="方正仿宋_GBK"/>
    <w:panose1 w:val="02010609060101010101"/>
    <w:charset w:val="86"/>
    <w:family w:val="auto"/>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国标仿宋">
    <w:panose1 w:val="02000500000000000000"/>
    <w:charset w:val="86"/>
    <w:family w:val="auto"/>
    <w:pitch w:val="default"/>
    <w:sig w:usb0="A00002BF" w:usb1="38C77CFA" w:usb2="00000016"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outside" w:y="1"/>
      <w:pBdr>
        <w:top w:val="none" w:color="auto" w:sz="0" w:space="0"/>
        <w:left w:val="none" w:color="auto" w:sz="0" w:space="0"/>
        <w:bottom w:val="none" w:color="auto" w:sz="0" w:space="0"/>
        <w:right w:val="none" w:color="auto" w:sz="0" w:space="0"/>
        <w:between w:val="none" w:color="auto" w:sz="0" w:space="0"/>
      </w:pBdr>
      <w:spacing w:after="0" w:afterLines="0"/>
      <w:ind w:left="315" w:leftChars="150" w:right="315" w:rightChars="150" w:firstLine="0" w:firstLineChars="0"/>
      <w:rPr>
        <w:rFonts w:hint="eastAsia" w:eastAsia="宋体"/>
        <w:lang w:eastAsia="zh-CN"/>
      </w:rPr>
    </w:pPr>
    <w:r>
      <w:rPr>
        <w:rStyle w:val="9"/>
        <w:rFonts w:hint="eastAsia" w:ascii="宋体" w:hAnsi="宋体" w:eastAsia="宋体" w:cs="宋体"/>
        <w:sz w:val="28"/>
        <w:lang w:eastAsia="zh-CN"/>
      </w:rPr>
      <w:t xml:space="preserve">— </w:t>
    </w:r>
    <w:r>
      <w:rPr>
        <w:rStyle w:val="9"/>
        <w:rFonts w:hint="eastAsia" w:ascii="宋体" w:hAnsi="宋体" w:eastAsia="宋体" w:cs="宋体"/>
        <w:sz w:val="28"/>
        <w:lang w:eastAsia="zh-CN"/>
      </w:rPr>
      <w:fldChar w:fldCharType="begin"/>
    </w:r>
    <w:r>
      <w:rPr>
        <w:rStyle w:val="9"/>
        <w:rFonts w:hint="eastAsia" w:ascii="宋体" w:hAnsi="宋体" w:eastAsia="宋体" w:cs="宋体"/>
        <w:sz w:val="28"/>
        <w:lang w:eastAsia="zh-CN"/>
      </w:rPr>
      <w:instrText xml:space="preserve"> PAGE  </w:instrText>
    </w:r>
    <w:r>
      <w:rPr>
        <w:rStyle w:val="9"/>
        <w:rFonts w:hint="eastAsia" w:ascii="宋体" w:hAnsi="宋体" w:eastAsia="宋体" w:cs="宋体"/>
        <w:sz w:val="28"/>
        <w:lang w:eastAsia="zh-CN"/>
      </w:rPr>
      <w:fldChar w:fldCharType="separate"/>
    </w:r>
    <w:r>
      <w:rPr>
        <w:rStyle w:val="9"/>
        <w:rFonts w:hint="eastAsia" w:ascii="宋体" w:hAnsi="宋体" w:eastAsia="宋体" w:cs="宋体"/>
        <w:sz w:val="28"/>
        <w:lang w:eastAsia="zh-CN"/>
      </w:rPr>
      <w:t>1</w:t>
    </w:r>
    <w:r>
      <w:rPr>
        <w:rStyle w:val="9"/>
        <w:rFonts w:hint="eastAsia" w:ascii="宋体" w:hAnsi="宋体" w:eastAsia="宋体" w:cs="宋体"/>
        <w:sz w:val="28"/>
        <w:lang w:eastAsia="zh-CN"/>
      </w:rPr>
      <w:fldChar w:fldCharType="end"/>
    </w:r>
    <w:r>
      <w:rPr>
        <w:rStyle w:val="9"/>
        <w:rFonts w:hint="eastAsia" w:ascii="宋体" w:hAnsi="宋体" w:eastAsia="宋体" w:cs="宋体"/>
        <w:sz w:val="28"/>
        <w:lang w:eastAsia="zh-CN"/>
      </w:rPr>
      <w:t xml:space="preserve"> —</w:t>
    </w:r>
  </w:p>
  <w:p>
    <w:pPr>
      <w:pStyle w:val="4"/>
      <w:ind w:right="360" w:firstLine="360" w:firstLineChars="0"/>
      <w:rPr>
        <w:rFonts w:hint="eastAsia" w:eastAsia="宋体"/>
        <w:lang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882BFE"/>
    <w:multiLevelType w:val="singleLevel"/>
    <w:tmpl w:val="9C882BFE"/>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1"/>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34720E"/>
    <w:rsid w:val="007A1416"/>
    <w:rsid w:val="00B91C95"/>
    <w:rsid w:val="01367047"/>
    <w:rsid w:val="01814FCF"/>
    <w:rsid w:val="020F2190"/>
    <w:rsid w:val="03BF60C4"/>
    <w:rsid w:val="03F70920"/>
    <w:rsid w:val="0444100C"/>
    <w:rsid w:val="04490D17"/>
    <w:rsid w:val="04790B4B"/>
    <w:rsid w:val="05226C2F"/>
    <w:rsid w:val="053840CA"/>
    <w:rsid w:val="056516C2"/>
    <w:rsid w:val="05770CA8"/>
    <w:rsid w:val="05913CFA"/>
    <w:rsid w:val="05FB36DC"/>
    <w:rsid w:val="062B1E8B"/>
    <w:rsid w:val="06832BC0"/>
    <w:rsid w:val="069C129E"/>
    <w:rsid w:val="06C7548F"/>
    <w:rsid w:val="07D8540D"/>
    <w:rsid w:val="07E45603"/>
    <w:rsid w:val="08405032"/>
    <w:rsid w:val="09FA7E2C"/>
    <w:rsid w:val="0A1D7923"/>
    <w:rsid w:val="0A5A0F34"/>
    <w:rsid w:val="0A8947BA"/>
    <w:rsid w:val="0AC57968"/>
    <w:rsid w:val="0AF52517"/>
    <w:rsid w:val="0B8E3347"/>
    <w:rsid w:val="0BE402C7"/>
    <w:rsid w:val="0BE62165"/>
    <w:rsid w:val="0C07015E"/>
    <w:rsid w:val="0C121CF2"/>
    <w:rsid w:val="0C4E7DBD"/>
    <w:rsid w:val="0C7C7E9A"/>
    <w:rsid w:val="0CB54DC5"/>
    <w:rsid w:val="0CB92439"/>
    <w:rsid w:val="0D971774"/>
    <w:rsid w:val="0DF02EAA"/>
    <w:rsid w:val="0E137DCC"/>
    <w:rsid w:val="0F5E3ADD"/>
    <w:rsid w:val="0F753653"/>
    <w:rsid w:val="10500745"/>
    <w:rsid w:val="10554544"/>
    <w:rsid w:val="10723DDF"/>
    <w:rsid w:val="109E09C7"/>
    <w:rsid w:val="10D5058E"/>
    <w:rsid w:val="11082021"/>
    <w:rsid w:val="11165813"/>
    <w:rsid w:val="12551CB0"/>
    <w:rsid w:val="13AE731A"/>
    <w:rsid w:val="13E84013"/>
    <w:rsid w:val="14107517"/>
    <w:rsid w:val="14841919"/>
    <w:rsid w:val="14911CBD"/>
    <w:rsid w:val="150910DD"/>
    <w:rsid w:val="15731E8C"/>
    <w:rsid w:val="15A80C47"/>
    <w:rsid w:val="165B18CD"/>
    <w:rsid w:val="16826C11"/>
    <w:rsid w:val="169E0BC8"/>
    <w:rsid w:val="16FE01EB"/>
    <w:rsid w:val="171D585E"/>
    <w:rsid w:val="18B54467"/>
    <w:rsid w:val="18E33EAA"/>
    <w:rsid w:val="18ED378F"/>
    <w:rsid w:val="19700837"/>
    <w:rsid w:val="199F1235"/>
    <w:rsid w:val="19F66F6A"/>
    <w:rsid w:val="1B76092C"/>
    <w:rsid w:val="1BCD1267"/>
    <w:rsid w:val="1D24094B"/>
    <w:rsid w:val="1D5B2720"/>
    <w:rsid w:val="1D7D3792"/>
    <w:rsid w:val="1E275B87"/>
    <w:rsid w:val="1E75300D"/>
    <w:rsid w:val="1F1D0418"/>
    <w:rsid w:val="1F5A3729"/>
    <w:rsid w:val="1F9C0CFC"/>
    <w:rsid w:val="1FF37379"/>
    <w:rsid w:val="20321586"/>
    <w:rsid w:val="20487886"/>
    <w:rsid w:val="208C0068"/>
    <w:rsid w:val="20992665"/>
    <w:rsid w:val="21B85A62"/>
    <w:rsid w:val="21CB192E"/>
    <w:rsid w:val="21E71EFC"/>
    <w:rsid w:val="22097297"/>
    <w:rsid w:val="228E2BE5"/>
    <w:rsid w:val="23133923"/>
    <w:rsid w:val="23EC3E8F"/>
    <w:rsid w:val="241B5F4A"/>
    <w:rsid w:val="24A73BF8"/>
    <w:rsid w:val="24C24FC7"/>
    <w:rsid w:val="24CF3128"/>
    <w:rsid w:val="26277902"/>
    <w:rsid w:val="26357FCA"/>
    <w:rsid w:val="264901FA"/>
    <w:rsid w:val="264D08F8"/>
    <w:rsid w:val="270C0173"/>
    <w:rsid w:val="27656913"/>
    <w:rsid w:val="278F7FC9"/>
    <w:rsid w:val="27ED0D8F"/>
    <w:rsid w:val="28996992"/>
    <w:rsid w:val="28B51C3B"/>
    <w:rsid w:val="290C0893"/>
    <w:rsid w:val="292B6A75"/>
    <w:rsid w:val="293C522D"/>
    <w:rsid w:val="29AA1DA3"/>
    <w:rsid w:val="29DF074D"/>
    <w:rsid w:val="29E86CDE"/>
    <w:rsid w:val="2A7B1637"/>
    <w:rsid w:val="2A837488"/>
    <w:rsid w:val="2ADB1AFA"/>
    <w:rsid w:val="2B1F23C2"/>
    <w:rsid w:val="2B6625EF"/>
    <w:rsid w:val="2B7318B2"/>
    <w:rsid w:val="2C29436B"/>
    <w:rsid w:val="2D7321A8"/>
    <w:rsid w:val="2E3252F4"/>
    <w:rsid w:val="2EA66C9A"/>
    <w:rsid w:val="2EC96767"/>
    <w:rsid w:val="2F246250"/>
    <w:rsid w:val="2F26435B"/>
    <w:rsid w:val="2FC01CB5"/>
    <w:rsid w:val="2FD13981"/>
    <w:rsid w:val="303C58F5"/>
    <w:rsid w:val="30BF00C1"/>
    <w:rsid w:val="30DC54D6"/>
    <w:rsid w:val="31983DFD"/>
    <w:rsid w:val="31EA3B9C"/>
    <w:rsid w:val="31FF1D12"/>
    <w:rsid w:val="32187CA5"/>
    <w:rsid w:val="32D021AE"/>
    <w:rsid w:val="3439203F"/>
    <w:rsid w:val="345D2765"/>
    <w:rsid w:val="34756113"/>
    <w:rsid w:val="34A938FB"/>
    <w:rsid w:val="34B10747"/>
    <w:rsid w:val="35E7464F"/>
    <w:rsid w:val="36743ACB"/>
    <w:rsid w:val="370B7887"/>
    <w:rsid w:val="37713E73"/>
    <w:rsid w:val="37B53394"/>
    <w:rsid w:val="37EA7033"/>
    <w:rsid w:val="381C0C20"/>
    <w:rsid w:val="38880642"/>
    <w:rsid w:val="389752B7"/>
    <w:rsid w:val="38A96F1D"/>
    <w:rsid w:val="38AF423A"/>
    <w:rsid w:val="396B03F8"/>
    <w:rsid w:val="39D5785C"/>
    <w:rsid w:val="3A1B39A2"/>
    <w:rsid w:val="3B0A52DA"/>
    <w:rsid w:val="3B3F4D89"/>
    <w:rsid w:val="3BE3251F"/>
    <w:rsid w:val="3C023A95"/>
    <w:rsid w:val="3C0526D0"/>
    <w:rsid w:val="3C1040FD"/>
    <w:rsid w:val="3D4E47C3"/>
    <w:rsid w:val="3D563698"/>
    <w:rsid w:val="3DB76A70"/>
    <w:rsid w:val="3DEC68DB"/>
    <w:rsid w:val="3E1B16AD"/>
    <w:rsid w:val="3E415A73"/>
    <w:rsid w:val="3E4354EC"/>
    <w:rsid w:val="3ED0393E"/>
    <w:rsid w:val="3ED370FA"/>
    <w:rsid w:val="3EF768E2"/>
    <w:rsid w:val="3F972DA4"/>
    <w:rsid w:val="402C0953"/>
    <w:rsid w:val="4071428F"/>
    <w:rsid w:val="411C1E3C"/>
    <w:rsid w:val="41C04FFF"/>
    <w:rsid w:val="42B524F1"/>
    <w:rsid w:val="42E50839"/>
    <w:rsid w:val="4304151E"/>
    <w:rsid w:val="431F3A03"/>
    <w:rsid w:val="433C0F3D"/>
    <w:rsid w:val="43865CFE"/>
    <w:rsid w:val="439B7688"/>
    <w:rsid w:val="43EC5335"/>
    <w:rsid w:val="441E28A3"/>
    <w:rsid w:val="44C61DB1"/>
    <w:rsid w:val="45AC03A4"/>
    <w:rsid w:val="462D7778"/>
    <w:rsid w:val="47265D49"/>
    <w:rsid w:val="47552C52"/>
    <w:rsid w:val="47DC09E3"/>
    <w:rsid w:val="480D244D"/>
    <w:rsid w:val="485D55AE"/>
    <w:rsid w:val="489736B0"/>
    <w:rsid w:val="48B03406"/>
    <w:rsid w:val="4A84221C"/>
    <w:rsid w:val="4A9B05B9"/>
    <w:rsid w:val="4B386E61"/>
    <w:rsid w:val="4B687566"/>
    <w:rsid w:val="4B6F6D11"/>
    <w:rsid w:val="4BAD7085"/>
    <w:rsid w:val="4C763AC4"/>
    <w:rsid w:val="4C877924"/>
    <w:rsid w:val="4D365E63"/>
    <w:rsid w:val="4D5601E1"/>
    <w:rsid w:val="4DB265E4"/>
    <w:rsid w:val="4DE77AD8"/>
    <w:rsid w:val="4E8959AE"/>
    <w:rsid w:val="503E62AA"/>
    <w:rsid w:val="50DC016C"/>
    <w:rsid w:val="50EF4054"/>
    <w:rsid w:val="50FD5952"/>
    <w:rsid w:val="51B5563F"/>
    <w:rsid w:val="52883E90"/>
    <w:rsid w:val="531501E8"/>
    <w:rsid w:val="532C3E77"/>
    <w:rsid w:val="54625C01"/>
    <w:rsid w:val="54FF762A"/>
    <w:rsid w:val="553BB54A"/>
    <w:rsid w:val="554B46AD"/>
    <w:rsid w:val="55BB0195"/>
    <w:rsid w:val="55CC51F1"/>
    <w:rsid w:val="568C3731"/>
    <w:rsid w:val="568C486E"/>
    <w:rsid w:val="56B27A66"/>
    <w:rsid w:val="56BE16E0"/>
    <w:rsid w:val="570A7D1E"/>
    <w:rsid w:val="57D4334B"/>
    <w:rsid w:val="5847745A"/>
    <w:rsid w:val="585D2FA3"/>
    <w:rsid w:val="585F2606"/>
    <w:rsid w:val="58C77CB7"/>
    <w:rsid w:val="59102803"/>
    <w:rsid w:val="59335001"/>
    <w:rsid w:val="59617707"/>
    <w:rsid w:val="597F17B2"/>
    <w:rsid w:val="5991761E"/>
    <w:rsid w:val="5A297E8D"/>
    <w:rsid w:val="5A77782B"/>
    <w:rsid w:val="5ACE1D8D"/>
    <w:rsid w:val="5B0931E9"/>
    <w:rsid w:val="5B266A38"/>
    <w:rsid w:val="5B3802E9"/>
    <w:rsid w:val="5DA95A5B"/>
    <w:rsid w:val="5E53288B"/>
    <w:rsid w:val="5ED36F78"/>
    <w:rsid w:val="5F15360C"/>
    <w:rsid w:val="5F1A1BB6"/>
    <w:rsid w:val="5F8B1E93"/>
    <w:rsid w:val="609D0057"/>
    <w:rsid w:val="60B5313B"/>
    <w:rsid w:val="60F728A4"/>
    <w:rsid w:val="61BA6082"/>
    <w:rsid w:val="61E76D04"/>
    <w:rsid w:val="62CE2C12"/>
    <w:rsid w:val="63A86631"/>
    <w:rsid w:val="63BE4393"/>
    <w:rsid w:val="63D138E6"/>
    <w:rsid w:val="63FE7893"/>
    <w:rsid w:val="6402375C"/>
    <w:rsid w:val="649707B5"/>
    <w:rsid w:val="64B6620C"/>
    <w:rsid w:val="64C37069"/>
    <w:rsid w:val="64CC5112"/>
    <w:rsid w:val="6619344C"/>
    <w:rsid w:val="669F3BDF"/>
    <w:rsid w:val="671F792C"/>
    <w:rsid w:val="674B1ED0"/>
    <w:rsid w:val="67BD2FD7"/>
    <w:rsid w:val="6855393D"/>
    <w:rsid w:val="68FC5484"/>
    <w:rsid w:val="695E180B"/>
    <w:rsid w:val="695F3DC4"/>
    <w:rsid w:val="6A0B4586"/>
    <w:rsid w:val="6A68276C"/>
    <w:rsid w:val="6AC05176"/>
    <w:rsid w:val="6B1740BF"/>
    <w:rsid w:val="6B8B74D1"/>
    <w:rsid w:val="6BAF0FDF"/>
    <w:rsid w:val="6BE9635E"/>
    <w:rsid w:val="6CAA23AF"/>
    <w:rsid w:val="6CD631AD"/>
    <w:rsid w:val="6CE61B5F"/>
    <w:rsid w:val="6D0F7A4C"/>
    <w:rsid w:val="6D2D116F"/>
    <w:rsid w:val="6D3A42AD"/>
    <w:rsid w:val="6DB759E1"/>
    <w:rsid w:val="6E6165BC"/>
    <w:rsid w:val="6E685C10"/>
    <w:rsid w:val="6F4E0E1A"/>
    <w:rsid w:val="702637A4"/>
    <w:rsid w:val="708E3584"/>
    <w:rsid w:val="71296764"/>
    <w:rsid w:val="71352B2B"/>
    <w:rsid w:val="717B20B4"/>
    <w:rsid w:val="720B7544"/>
    <w:rsid w:val="72DE42B3"/>
    <w:rsid w:val="732144E6"/>
    <w:rsid w:val="739D4C6B"/>
    <w:rsid w:val="73FC4602"/>
    <w:rsid w:val="744664E0"/>
    <w:rsid w:val="745F6AB4"/>
    <w:rsid w:val="758B300C"/>
    <w:rsid w:val="75C5135E"/>
    <w:rsid w:val="75EC469F"/>
    <w:rsid w:val="75F57434"/>
    <w:rsid w:val="763F1FEA"/>
    <w:rsid w:val="7663553A"/>
    <w:rsid w:val="76754E9D"/>
    <w:rsid w:val="768D4DF5"/>
    <w:rsid w:val="76D91CC6"/>
    <w:rsid w:val="77170858"/>
    <w:rsid w:val="775C50DC"/>
    <w:rsid w:val="77DD1DA1"/>
    <w:rsid w:val="77FD59FB"/>
    <w:rsid w:val="78F57EB1"/>
    <w:rsid w:val="790074D7"/>
    <w:rsid w:val="796968F7"/>
    <w:rsid w:val="797E53EE"/>
    <w:rsid w:val="79B04CCB"/>
    <w:rsid w:val="79D175BA"/>
    <w:rsid w:val="7AAA5D70"/>
    <w:rsid w:val="7AF71931"/>
    <w:rsid w:val="7B896C91"/>
    <w:rsid w:val="7BD56C6E"/>
    <w:rsid w:val="7BE134DB"/>
    <w:rsid w:val="7C586975"/>
    <w:rsid w:val="7CD94B21"/>
    <w:rsid w:val="7CF264EB"/>
    <w:rsid w:val="7D3D5A55"/>
    <w:rsid w:val="7D8B660D"/>
    <w:rsid w:val="7DCA57EA"/>
    <w:rsid w:val="7DD3636D"/>
    <w:rsid w:val="7E4133B3"/>
    <w:rsid w:val="7EF963B0"/>
    <w:rsid w:val="7F147A09"/>
    <w:rsid w:val="7F160C15"/>
    <w:rsid w:val="7F542016"/>
    <w:rsid w:val="7F926A96"/>
    <w:rsid w:val="7FF71A2A"/>
    <w:rsid w:val="D29F84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宋体" w:asciiTheme="minorAscii" w:hAnsiTheme="minorAscii"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9">
    <w:name w:val="page number"/>
    <w:basedOn w:val="8"/>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1</Lines>
  <Paragraphs>1</Paragraphs>
  <TotalTime>27</TotalTime>
  <ScaleCrop>false</ScaleCrop>
  <LinksUpToDate>false</LinksUpToDate>
  <CharactersWithSpaces>0</CharactersWithSpaces>
  <Application>WPS Office_11.8.2.12019_F1E327BC-269C-435d-A152-05C5408002CA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2023-05-23T21:26:00Z</dcterms:created>
  <dc:creator>djjladmin</dc:creator>
  <cp:lastModifiedBy>djjladmin</cp:lastModifiedBy>
  <dcterms:modified xsi:type="dcterms:W3CDTF">2026-03-25T14:30:17Z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2052-11.8.2.12019</vt:lpwstr>
  </property>
  <property fmtid="{D5CDD505-2E9C-101B-9397-08002B2CF9AE}" pid="3" name="ICV">
    <vt:lpwstr>463D109D6A1742B9A627369DA0961596</vt:lpwstr>
  </property>
</Properties>
</file>