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b/>
          <w:sz w:val="52"/>
          <w:szCs w:val="52"/>
        </w:rPr>
      </w:pPr>
      <w:r>
        <w:rPr>
          <w:szCs w:val="21"/>
        </w:rPr>
        <w:drawing>
          <wp:anchor distT="0" distB="0" distL="114300" distR="114300" simplePos="0" relativeHeight="251659264" behindDoc="0" locked="0" layoutInCell="1" allowOverlap="1">
            <wp:simplePos x="0" y="0"/>
            <wp:positionH relativeFrom="column">
              <wp:posOffset>-1080135</wp:posOffset>
            </wp:positionH>
            <wp:positionV relativeFrom="paragraph">
              <wp:posOffset>-911860</wp:posOffset>
            </wp:positionV>
            <wp:extent cx="7654290" cy="2349500"/>
            <wp:effectExtent l="0" t="0" r="3810" b="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654290" cy="2349500"/>
                    </a:xfrm>
                    <a:prstGeom prst="rect">
                      <a:avLst/>
                    </a:prstGeom>
                    <a:noFill/>
                    <a:ln w="9525">
                      <a:noFill/>
                    </a:ln>
                  </pic:spPr>
                </pic:pic>
              </a:graphicData>
            </a:graphic>
          </wp:anchor>
        </w:drawing>
      </w:r>
    </w:p>
    <w:p>
      <w:pPr>
        <w:pStyle w:val="54"/>
        <w:ind w:firstLine="1044"/>
        <w:rPr>
          <w:b/>
          <w:sz w:val="52"/>
          <w:szCs w:val="52"/>
        </w:rPr>
      </w:pPr>
    </w:p>
    <w:p>
      <w:pPr>
        <w:pStyle w:val="54"/>
        <w:ind w:firstLine="1044"/>
        <w:rPr>
          <w:b/>
          <w:sz w:val="52"/>
          <w:szCs w:val="52"/>
        </w:rPr>
      </w:pPr>
    </w:p>
    <w:p>
      <w:pPr>
        <w:pStyle w:val="54"/>
        <w:ind w:firstLine="1044"/>
        <w:rPr>
          <w:b/>
          <w:sz w:val="52"/>
          <w:szCs w:val="52"/>
        </w:rPr>
      </w:pPr>
    </w:p>
    <w:p>
      <w:pPr>
        <w:pStyle w:val="54"/>
        <w:ind w:firstLine="1044"/>
        <w:rPr>
          <w:b/>
          <w:sz w:val="52"/>
          <w:szCs w:val="52"/>
        </w:rPr>
      </w:pPr>
    </w:p>
    <w:p>
      <w:pPr>
        <w:spacing w:line="360" w:lineRule="auto"/>
        <w:jc w:val="center"/>
        <w:rPr>
          <w:b/>
          <w:sz w:val="48"/>
          <w:szCs w:val="21"/>
        </w:rPr>
      </w:pPr>
      <w:r>
        <w:rPr>
          <w:rFonts w:hint="eastAsia"/>
          <w:b/>
          <w:sz w:val="48"/>
          <w:szCs w:val="21"/>
        </w:rPr>
        <w:t>数字电网公司2026年综保模块测试硬件板卡</w:t>
      </w:r>
      <w:r>
        <w:rPr>
          <w:rFonts w:hint="eastAsia"/>
          <w:b/>
          <w:sz w:val="48"/>
          <w:szCs w:val="21"/>
          <w:lang w:val="en-US" w:eastAsia="zh-CN"/>
        </w:rPr>
        <w:t>首次</w:t>
      </w:r>
      <w:r>
        <w:rPr>
          <w:rFonts w:hint="eastAsia"/>
          <w:b/>
          <w:sz w:val="48"/>
          <w:szCs w:val="21"/>
        </w:rPr>
        <w:t>试制项目</w:t>
      </w:r>
    </w:p>
    <w:p>
      <w:pPr>
        <w:spacing w:before="480" w:beforeLines="200"/>
        <w:jc w:val="center"/>
        <w:rPr>
          <w:b/>
          <w:sz w:val="40"/>
          <w:szCs w:val="21"/>
        </w:rPr>
      </w:pPr>
      <w:r>
        <w:rPr>
          <w:rFonts w:hint="eastAsia"/>
          <w:b/>
          <w:sz w:val="40"/>
          <w:szCs w:val="21"/>
        </w:rPr>
        <w:t>技术规范书</w:t>
      </w:r>
    </w:p>
    <w:p>
      <w:pPr>
        <w:spacing w:line="360" w:lineRule="auto"/>
        <w:jc w:val="center"/>
        <w:rPr>
          <w:b/>
          <w:sz w:val="32"/>
          <w:szCs w:val="52"/>
        </w:rPr>
      </w:pPr>
    </w:p>
    <w:p>
      <w:pPr>
        <w:spacing w:line="360" w:lineRule="auto"/>
        <w:jc w:val="center"/>
        <w:rPr>
          <w:b/>
          <w:sz w:val="32"/>
          <w:szCs w:val="52"/>
        </w:rPr>
      </w:pPr>
    </w:p>
    <w:p>
      <w:pPr>
        <w:spacing w:line="360" w:lineRule="auto"/>
        <w:jc w:val="center"/>
        <w:rPr>
          <w:b/>
          <w:sz w:val="32"/>
          <w:szCs w:val="52"/>
        </w:rPr>
      </w:pPr>
    </w:p>
    <w:p>
      <w:pPr>
        <w:spacing w:line="360" w:lineRule="auto"/>
        <w:rPr>
          <w:b/>
          <w:sz w:val="32"/>
          <w:szCs w:val="52"/>
        </w:rPr>
      </w:pPr>
    </w:p>
    <w:p>
      <w:pPr>
        <w:spacing w:line="360" w:lineRule="auto"/>
        <w:rPr>
          <w:b/>
          <w:sz w:val="32"/>
          <w:szCs w:val="52"/>
        </w:rPr>
      </w:pPr>
    </w:p>
    <w:p>
      <w:pPr>
        <w:pStyle w:val="54"/>
        <w:ind w:firstLine="600"/>
      </w:pPr>
    </w:p>
    <w:p>
      <w:pPr>
        <w:pStyle w:val="54"/>
        <w:ind w:firstLine="600"/>
      </w:pPr>
    </w:p>
    <w:p>
      <w:pPr>
        <w:spacing w:line="360" w:lineRule="auto"/>
        <w:jc w:val="center"/>
        <w:rPr>
          <w:b/>
          <w:sz w:val="32"/>
          <w:szCs w:val="52"/>
        </w:rPr>
      </w:pPr>
    </w:p>
    <w:p>
      <w:pPr>
        <w:spacing w:line="360" w:lineRule="auto"/>
        <w:jc w:val="center"/>
        <w:rPr>
          <w:b/>
          <w:sz w:val="32"/>
          <w:szCs w:val="52"/>
        </w:rPr>
      </w:pPr>
    </w:p>
    <w:p>
      <w:pPr>
        <w:jc w:val="center"/>
        <w:rPr>
          <w:b/>
          <w:sz w:val="36"/>
          <w:szCs w:val="21"/>
        </w:rPr>
      </w:pPr>
      <w:r>
        <w:rPr>
          <w:rFonts w:hint="eastAsia"/>
          <w:b/>
          <w:sz w:val="36"/>
          <w:szCs w:val="21"/>
        </w:rPr>
        <w:t>南方电网数字电网科技（广东）有限公司</w:t>
      </w:r>
    </w:p>
    <w:p>
      <w:pPr>
        <w:pStyle w:val="20"/>
      </w:pPr>
    </w:p>
    <w:p>
      <w:pPr>
        <w:jc w:val="center"/>
        <w:rPr>
          <w:b/>
          <w:sz w:val="36"/>
          <w:szCs w:val="21"/>
        </w:rPr>
      </w:pPr>
      <w:r>
        <w:rPr>
          <w:rFonts w:hint="eastAsia"/>
          <w:b/>
          <w:sz w:val="36"/>
          <w:szCs w:val="21"/>
        </w:rPr>
        <w:t>2026年3月</w:t>
      </w:r>
    </w:p>
    <w:p>
      <w:pPr>
        <w:tabs>
          <w:tab w:val="right" w:leader="dot" w:pos="9063"/>
        </w:tabs>
        <w:spacing w:line="360" w:lineRule="auto"/>
        <w:jc w:val="center"/>
        <w:rPr>
          <w:sz w:val="32"/>
          <w:szCs w:val="21"/>
        </w:rPr>
      </w:pPr>
      <w:r>
        <w:br w:type="page"/>
      </w:r>
      <w:r>
        <w:rPr>
          <w:sz w:val="32"/>
          <w:szCs w:val="21"/>
        </w:rPr>
        <w:t>目录</w:t>
      </w:r>
      <w:bookmarkStart w:id="0" w:name="_Toc13618"/>
      <w:bookmarkStart w:id="1" w:name="_Toc516148940"/>
      <w:bookmarkStart w:id="2" w:name="_Toc440887068"/>
      <w:bookmarkStart w:id="3" w:name="_Toc26491"/>
      <w:bookmarkStart w:id="4" w:name="_Toc9207"/>
      <w:bookmarkStart w:id="5" w:name="_Toc388627241"/>
      <w:bookmarkStart w:id="6" w:name="_Toc388627295"/>
      <w:bookmarkStart w:id="7" w:name="_Toc17371"/>
      <w:bookmarkStart w:id="8" w:name="_Toc9002"/>
      <w:bookmarkStart w:id="9" w:name="_Toc6688"/>
      <w:bookmarkStart w:id="10" w:name="_Toc736"/>
      <w:bookmarkStart w:id="11" w:name="_Toc25919"/>
      <w:bookmarkStart w:id="12" w:name="_Toc17860"/>
      <w:bookmarkStart w:id="13" w:name="_Toc9690"/>
      <w:bookmarkStart w:id="14" w:name="_Toc27962"/>
      <w:bookmarkStart w:id="15" w:name="_Toc16396"/>
      <w:bookmarkStart w:id="16" w:name="_Toc4360"/>
      <w:bookmarkStart w:id="17" w:name="_Toc7810"/>
      <w:bookmarkStart w:id="18" w:name="_Toc28424"/>
      <w:bookmarkStart w:id="19" w:name="_Toc12993"/>
      <w:bookmarkStart w:id="20" w:name="_Toc21742"/>
      <w:r>
        <w:rPr>
          <w:sz w:val="32"/>
          <w:szCs w:val="21"/>
        </w:rPr>
        <w:fldChar w:fldCharType="begin"/>
      </w:r>
      <w:r>
        <w:rPr>
          <w:sz w:val="32"/>
          <w:szCs w:val="21"/>
        </w:rPr>
        <w:instrText xml:space="preserve"> TOC \o "1-2" \h \z \u </w:instrText>
      </w:r>
      <w:r>
        <w:rPr>
          <w:sz w:val="32"/>
          <w:szCs w:val="21"/>
        </w:rPr>
        <w:fldChar w:fldCharType="separate"/>
      </w:r>
    </w:p>
    <w:p>
      <w:pPr>
        <w:pStyle w:val="32"/>
        <w:tabs>
          <w:tab w:val="right" w:leader="dot" w:pos="9073"/>
        </w:tabs>
      </w:pPr>
      <w:r>
        <w:fldChar w:fldCharType="begin"/>
      </w:r>
      <w:r>
        <w:instrText xml:space="preserve"> HYPERLINK \l "_Toc28587" </w:instrText>
      </w:r>
      <w:r>
        <w:fldChar w:fldCharType="separate"/>
      </w:r>
      <w:r>
        <w:t>1. 总则</w:t>
      </w:r>
      <w:r>
        <w:tab/>
      </w:r>
      <w:r>
        <w:fldChar w:fldCharType="begin"/>
      </w:r>
      <w:r>
        <w:instrText xml:space="preserve"> PAGEREF _Toc28587 \h </w:instrText>
      </w:r>
      <w:r>
        <w:fldChar w:fldCharType="separate"/>
      </w:r>
      <w:r>
        <w:t>3</w:t>
      </w:r>
      <w:r>
        <w:fldChar w:fldCharType="end"/>
      </w:r>
      <w:r>
        <w:fldChar w:fldCharType="end"/>
      </w:r>
    </w:p>
    <w:p>
      <w:pPr>
        <w:pStyle w:val="38"/>
        <w:tabs>
          <w:tab w:val="right" w:leader="dot" w:pos="9073"/>
        </w:tabs>
      </w:pPr>
      <w:r>
        <w:fldChar w:fldCharType="begin"/>
      </w:r>
      <w:r>
        <w:instrText xml:space="preserve"> HYPERLINK \l "_Toc21263" </w:instrText>
      </w:r>
      <w:r>
        <w:fldChar w:fldCharType="separate"/>
      </w:r>
      <w:r>
        <w:rPr>
          <w:lang w:val="zh-CN"/>
        </w:rPr>
        <w:t xml:space="preserve">1.1. </w:t>
      </w:r>
      <w:r>
        <w:rPr>
          <w:rFonts w:hint="eastAsia"/>
          <w:szCs w:val="24"/>
        </w:rPr>
        <w:t>响应须知</w:t>
      </w:r>
      <w:r>
        <w:tab/>
      </w:r>
      <w:r>
        <w:fldChar w:fldCharType="begin"/>
      </w:r>
      <w:r>
        <w:instrText xml:space="preserve"> PAGEREF _Toc21263 \h </w:instrText>
      </w:r>
      <w:r>
        <w:fldChar w:fldCharType="separate"/>
      </w:r>
      <w:r>
        <w:t>3</w:t>
      </w:r>
      <w:r>
        <w:fldChar w:fldCharType="end"/>
      </w:r>
      <w:r>
        <w:fldChar w:fldCharType="end"/>
      </w:r>
    </w:p>
    <w:p>
      <w:pPr>
        <w:pStyle w:val="38"/>
        <w:tabs>
          <w:tab w:val="right" w:leader="dot" w:pos="9073"/>
        </w:tabs>
      </w:pPr>
      <w:r>
        <w:fldChar w:fldCharType="begin"/>
      </w:r>
      <w:r>
        <w:instrText xml:space="preserve"> HYPERLINK \l "_Toc3175" </w:instrText>
      </w:r>
      <w:r>
        <w:fldChar w:fldCharType="separate"/>
      </w:r>
      <w:r>
        <w:rPr>
          <w:szCs w:val="24"/>
        </w:rPr>
        <w:t xml:space="preserve">1.2. </w:t>
      </w:r>
      <w:r>
        <w:rPr>
          <w:rFonts w:hint="eastAsia"/>
          <w:szCs w:val="24"/>
        </w:rPr>
        <w:t>一般要求</w:t>
      </w:r>
      <w:r>
        <w:tab/>
      </w:r>
      <w:r>
        <w:fldChar w:fldCharType="begin"/>
      </w:r>
      <w:r>
        <w:instrText xml:space="preserve"> PAGEREF _Toc3175 \h </w:instrText>
      </w:r>
      <w:r>
        <w:fldChar w:fldCharType="separate"/>
      </w:r>
      <w:r>
        <w:t>3</w:t>
      </w:r>
      <w:r>
        <w:fldChar w:fldCharType="end"/>
      </w:r>
      <w:r>
        <w:fldChar w:fldCharType="end"/>
      </w:r>
    </w:p>
    <w:p>
      <w:pPr>
        <w:pStyle w:val="32"/>
        <w:tabs>
          <w:tab w:val="right" w:leader="dot" w:pos="9073"/>
        </w:tabs>
      </w:pPr>
      <w:r>
        <w:fldChar w:fldCharType="begin"/>
      </w:r>
      <w:r>
        <w:instrText xml:space="preserve"> HYPERLINK \l "_Toc27908" </w:instrText>
      </w:r>
      <w:r>
        <w:fldChar w:fldCharType="separate"/>
      </w:r>
      <w:r>
        <w:t>2. 应遵循的主要标准</w:t>
      </w:r>
      <w:r>
        <w:tab/>
      </w:r>
      <w:r>
        <w:fldChar w:fldCharType="begin"/>
      </w:r>
      <w:r>
        <w:instrText xml:space="preserve"> PAGEREF _Toc27908 \h </w:instrText>
      </w:r>
      <w:r>
        <w:fldChar w:fldCharType="separate"/>
      </w:r>
      <w:r>
        <w:t>4</w:t>
      </w:r>
      <w:r>
        <w:fldChar w:fldCharType="end"/>
      </w:r>
      <w:r>
        <w:fldChar w:fldCharType="end"/>
      </w:r>
    </w:p>
    <w:p>
      <w:pPr>
        <w:pStyle w:val="32"/>
        <w:tabs>
          <w:tab w:val="right" w:leader="dot" w:pos="9073"/>
        </w:tabs>
      </w:pPr>
      <w:r>
        <w:fldChar w:fldCharType="begin"/>
      </w:r>
      <w:r>
        <w:instrText xml:space="preserve"> HYPERLINK \l "_Toc16306" </w:instrText>
      </w:r>
      <w:r>
        <w:fldChar w:fldCharType="separate"/>
      </w:r>
      <w:r>
        <w:t xml:space="preserve">3. </w:t>
      </w:r>
      <w:r>
        <w:rPr>
          <w:rFonts w:hint="eastAsia"/>
        </w:rPr>
        <w:t>项目内容</w:t>
      </w:r>
      <w:r>
        <w:tab/>
      </w:r>
      <w:r>
        <w:fldChar w:fldCharType="begin"/>
      </w:r>
      <w:r>
        <w:instrText xml:space="preserve"> PAGEREF _Toc16306 \h </w:instrText>
      </w:r>
      <w:r>
        <w:fldChar w:fldCharType="separate"/>
      </w:r>
      <w:r>
        <w:t>4</w:t>
      </w:r>
      <w:r>
        <w:fldChar w:fldCharType="end"/>
      </w:r>
      <w:r>
        <w:fldChar w:fldCharType="end"/>
      </w:r>
    </w:p>
    <w:p>
      <w:pPr>
        <w:pStyle w:val="32"/>
        <w:tabs>
          <w:tab w:val="right" w:leader="dot" w:pos="9073"/>
        </w:tabs>
      </w:pPr>
      <w:r>
        <w:fldChar w:fldCharType="begin"/>
      </w:r>
      <w:r>
        <w:instrText xml:space="preserve"> HYPERLINK \l "_Toc23241" </w:instrText>
      </w:r>
      <w:r>
        <w:fldChar w:fldCharType="separate"/>
      </w:r>
      <w:r>
        <w:t xml:space="preserve">4. </w:t>
      </w:r>
      <w:r>
        <w:rPr>
          <w:rFonts w:hint="eastAsia"/>
        </w:rPr>
        <w:t>技术要求</w:t>
      </w:r>
      <w:r>
        <w:tab/>
      </w:r>
      <w:r>
        <w:fldChar w:fldCharType="begin"/>
      </w:r>
      <w:r>
        <w:instrText xml:space="preserve"> PAGEREF _Toc23241 \h </w:instrText>
      </w:r>
      <w:r>
        <w:fldChar w:fldCharType="separate"/>
      </w:r>
      <w:r>
        <w:t>5</w:t>
      </w:r>
      <w:r>
        <w:fldChar w:fldCharType="end"/>
      </w:r>
      <w:r>
        <w:fldChar w:fldCharType="end"/>
      </w:r>
    </w:p>
    <w:p>
      <w:pPr>
        <w:pStyle w:val="38"/>
        <w:tabs>
          <w:tab w:val="right" w:leader="dot" w:pos="9073"/>
        </w:tabs>
      </w:pPr>
      <w:r>
        <w:fldChar w:fldCharType="begin"/>
      </w:r>
      <w:r>
        <w:instrText xml:space="preserve"> HYPERLINK \l "_Toc15884" </w:instrText>
      </w:r>
      <w:r>
        <w:fldChar w:fldCharType="separate"/>
      </w:r>
      <w:r>
        <w:t xml:space="preserve">4.1. </w:t>
      </w:r>
      <w:r>
        <w:rPr>
          <w:rFonts w:hint="eastAsia"/>
        </w:rPr>
        <w:t>总体要求</w:t>
      </w:r>
      <w:r>
        <w:tab/>
      </w:r>
      <w:r>
        <w:fldChar w:fldCharType="begin"/>
      </w:r>
      <w:r>
        <w:instrText xml:space="preserve"> PAGEREF _Toc15884 \h </w:instrText>
      </w:r>
      <w:r>
        <w:fldChar w:fldCharType="separate"/>
      </w:r>
      <w:r>
        <w:t>5</w:t>
      </w:r>
      <w:r>
        <w:fldChar w:fldCharType="end"/>
      </w:r>
      <w:r>
        <w:fldChar w:fldCharType="end"/>
      </w:r>
    </w:p>
    <w:p>
      <w:pPr>
        <w:pStyle w:val="38"/>
        <w:tabs>
          <w:tab w:val="right" w:leader="dot" w:pos="9073"/>
        </w:tabs>
      </w:pPr>
      <w:r>
        <w:fldChar w:fldCharType="begin"/>
      </w:r>
      <w:r>
        <w:instrText xml:space="preserve"> HYPERLINK \l "_Toc27868" </w:instrText>
      </w:r>
      <w:r>
        <w:fldChar w:fldCharType="separate"/>
      </w:r>
      <w:r>
        <w:t xml:space="preserve">4.2. </w:t>
      </w:r>
      <w:r>
        <w:rPr>
          <w:rFonts w:hint="eastAsia"/>
        </w:rPr>
        <w:t>综保模块测试硬件板卡器件需求及加工要求</w:t>
      </w:r>
      <w:r>
        <w:tab/>
      </w:r>
      <w:r>
        <w:fldChar w:fldCharType="begin"/>
      </w:r>
      <w:r>
        <w:instrText xml:space="preserve"> PAGEREF _Toc27868 \h </w:instrText>
      </w:r>
      <w:r>
        <w:fldChar w:fldCharType="separate"/>
      </w:r>
      <w:r>
        <w:t>6</w:t>
      </w:r>
      <w:r>
        <w:fldChar w:fldCharType="end"/>
      </w:r>
      <w:r>
        <w:fldChar w:fldCharType="end"/>
      </w:r>
    </w:p>
    <w:p>
      <w:pPr>
        <w:pStyle w:val="32"/>
        <w:tabs>
          <w:tab w:val="right" w:leader="dot" w:pos="9073"/>
        </w:tabs>
      </w:pPr>
      <w:r>
        <w:fldChar w:fldCharType="begin"/>
      </w:r>
      <w:r>
        <w:instrText xml:space="preserve"> HYPERLINK \l "_Toc13329" </w:instrText>
      </w:r>
      <w:r>
        <w:fldChar w:fldCharType="separate"/>
      </w:r>
      <w:r>
        <w:t xml:space="preserve">5. </w:t>
      </w:r>
      <w:r>
        <w:rPr>
          <w:rFonts w:hint="eastAsia"/>
        </w:rPr>
        <w:t>项目交付要求</w:t>
      </w:r>
      <w:r>
        <w:tab/>
      </w:r>
      <w:r>
        <w:fldChar w:fldCharType="begin"/>
      </w:r>
      <w:r>
        <w:instrText xml:space="preserve"> PAGEREF _Toc13329 \h </w:instrText>
      </w:r>
      <w:r>
        <w:fldChar w:fldCharType="separate"/>
      </w:r>
      <w:r>
        <w:t>10</w:t>
      </w:r>
      <w:r>
        <w:fldChar w:fldCharType="end"/>
      </w:r>
      <w:r>
        <w:fldChar w:fldCharType="end"/>
      </w:r>
    </w:p>
    <w:p>
      <w:pPr>
        <w:pStyle w:val="32"/>
        <w:tabs>
          <w:tab w:val="right" w:leader="dot" w:pos="9073"/>
        </w:tabs>
      </w:pPr>
      <w:r>
        <w:fldChar w:fldCharType="begin"/>
      </w:r>
      <w:r>
        <w:instrText xml:space="preserve"> HYPERLINK \l "_Toc2864" </w:instrText>
      </w:r>
      <w:r>
        <w:fldChar w:fldCharType="separate"/>
      </w:r>
      <w:r>
        <w:t xml:space="preserve">6. </w:t>
      </w:r>
      <w:r>
        <w:rPr>
          <w:rFonts w:hint="eastAsia"/>
        </w:rPr>
        <w:t>进度要求</w:t>
      </w:r>
      <w:r>
        <w:tab/>
      </w:r>
      <w:r>
        <w:fldChar w:fldCharType="begin"/>
      </w:r>
      <w:r>
        <w:instrText xml:space="preserve"> PAGEREF _Toc2864 \h </w:instrText>
      </w:r>
      <w:r>
        <w:fldChar w:fldCharType="separate"/>
      </w:r>
      <w:r>
        <w:t>10</w:t>
      </w:r>
      <w:r>
        <w:fldChar w:fldCharType="end"/>
      </w:r>
      <w:r>
        <w:fldChar w:fldCharType="end"/>
      </w:r>
    </w:p>
    <w:p>
      <w:pPr>
        <w:pStyle w:val="32"/>
        <w:tabs>
          <w:tab w:val="right" w:leader="dot" w:pos="9073"/>
        </w:tabs>
      </w:pPr>
      <w:r>
        <w:fldChar w:fldCharType="begin"/>
      </w:r>
      <w:r>
        <w:instrText xml:space="preserve"> HYPERLINK \l "_Toc18570" </w:instrText>
      </w:r>
      <w:r>
        <w:fldChar w:fldCharType="separate"/>
      </w:r>
      <w:r>
        <w:t xml:space="preserve">7. </w:t>
      </w:r>
      <w:r>
        <w:rPr>
          <w:rFonts w:hint="eastAsia"/>
        </w:rPr>
        <w:t>安装与运输要求</w:t>
      </w:r>
      <w:r>
        <w:tab/>
      </w:r>
      <w:r>
        <w:fldChar w:fldCharType="begin"/>
      </w:r>
      <w:r>
        <w:instrText xml:space="preserve"> PAGEREF _Toc18570 \h </w:instrText>
      </w:r>
      <w:r>
        <w:fldChar w:fldCharType="separate"/>
      </w:r>
      <w:r>
        <w:t>11</w:t>
      </w:r>
      <w:r>
        <w:fldChar w:fldCharType="end"/>
      </w:r>
      <w:r>
        <w:fldChar w:fldCharType="end"/>
      </w:r>
    </w:p>
    <w:p>
      <w:pPr>
        <w:pStyle w:val="38"/>
        <w:tabs>
          <w:tab w:val="right" w:leader="dot" w:pos="9073"/>
        </w:tabs>
      </w:pPr>
      <w:r>
        <w:fldChar w:fldCharType="begin"/>
      </w:r>
      <w:r>
        <w:instrText xml:space="preserve"> HYPERLINK \l "_Toc11655" </w:instrText>
      </w:r>
      <w:r>
        <w:fldChar w:fldCharType="separate"/>
      </w:r>
      <w:r>
        <w:rPr>
          <w:szCs w:val="24"/>
        </w:rPr>
        <w:t xml:space="preserve">7.1. </w:t>
      </w:r>
      <w:r>
        <w:rPr>
          <w:rFonts w:hint="eastAsia"/>
          <w:szCs w:val="24"/>
        </w:rPr>
        <w:t>出厂安装调试</w:t>
      </w:r>
      <w:r>
        <w:tab/>
      </w:r>
      <w:r>
        <w:fldChar w:fldCharType="begin"/>
      </w:r>
      <w:r>
        <w:instrText xml:space="preserve"> PAGEREF _Toc11655 \h </w:instrText>
      </w:r>
      <w:r>
        <w:fldChar w:fldCharType="separate"/>
      </w:r>
      <w:r>
        <w:t>11</w:t>
      </w:r>
      <w:r>
        <w:fldChar w:fldCharType="end"/>
      </w:r>
      <w:r>
        <w:fldChar w:fldCharType="end"/>
      </w:r>
    </w:p>
    <w:p>
      <w:pPr>
        <w:pStyle w:val="38"/>
        <w:tabs>
          <w:tab w:val="right" w:leader="dot" w:pos="9073"/>
        </w:tabs>
      </w:pPr>
      <w:r>
        <w:fldChar w:fldCharType="begin"/>
      </w:r>
      <w:r>
        <w:instrText xml:space="preserve"> HYPERLINK \l "_Toc14309" </w:instrText>
      </w:r>
      <w:r>
        <w:fldChar w:fldCharType="separate"/>
      </w:r>
      <w:r>
        <w:rPr>
          <w:szCs w:val="24"/>
        </w:rPr>
        <w:t xml:space="preserve">7.2. </w:t>
      </w:r>
      <w:r>
        <w:rPr>
          <w:rFonts w:hint="eastAsia"/>
          <w:szCs w:val="24"/>
        </w:rPr>
        <w:t>到货检验</w:t>
      </w:r>
      <w:r>
        <w:tab/>
      </w:r>
      <w:r>
        <w:fldChar w:fldCharType="begin"/>
      </w:r>
      <w:r>
        <w:instrText xml:space="preserve"> PAGEREF _Toc14309 \h </w:instrText>
      </w:r>
      <w:r>
        <w:fldChar w:fldCharType="separate"/>
      </w:r>
      <w:r>
        <w:t>11</w:t>
      </w:r>
      <w:r>
        <w:fldChar w:fldCharType="end"/>
      </w:r>
      <w:r>
        <w:fldChar w:fldCharType="end"/>
      </w:r>
    </w:p>
    <w:p>
      <w:pPr>
        <w:pStyle w:val="38"/>
        <w:tabs>
          <w:tab w:val="right" w:leader="dot" w:pos="9073"/>
        </w:tabs>
      </w:pPr>
      <w:r>
        <w:fldChar w:fldCharType="begin"/>
      </w:r>
      <w:r>
        <w:instrText xml:space="preserve"> HYPERLINK \l "_Toc31614" </w:instrText>
      </w:r>
      <w:r>
        <w:fldChar w:fldCharType="separate"/>
      </w:r>
      <w:r>
        <w:rPr>
          <w:szCs w:val="24"/>
        </w:rPr>
        <w:t>7.3. 壳体外观检查</w:t>
      </w:r>
      <w:r>
        <w:tab/>
      </w:r>
      <w:r>
        <w:fldChar w:fldCharType="begin"/>
      </w:r>
      <w:r>
        <w:instrText xml:space="preserve"> PAGEREF _Toc31614 \h </w:instrText>
      </w:r>
      <w:r>
        <w:fldChar w:fldCharType="separate"/>
      </w:r>
      <w:r>
        <w:t>12</w:t>
      </w:r>
      <w:r>
        <w:fldChar w:fldCharType="end"/>
      </w:r>
      <w:r>
        <w:fldChar w:fldCharType="end"/>
      </w:r>
    </w:p>
    <w:p>
      <w:pPr>
        <w:pStyle w:val="32"/>
        <w:tabs>
          <w:tab w:val="right" w:leader="dot" w:pos="9073"/>
        </w:tabs>
      </w:pPr>
      <w:r>
        <w:fldChar w:fldCharType="begin"/>
      </w:r>
      <w:r>
        <w:instrText xml:space="preserve"> HYPERLINK \l "_Toc7301" </w:instrText>
      </w:r>
      <w:r>
        <w:fldChar w:fldCharType="separate"/>
      </w:r>
      <w:r>
        <w:t xml:space="preserve">8. </w:t>
      </w:r>
      <w:r>
        <w:rPr>
          <w:rFonts w:hint="eastAsia"/>
        </w:rPr>
        <w:t>质保</w:t>
      </w:r>
      <w:r>
        <w:t>及售后服务</w:t>
      </w:r>
      <w:r>
        <w:tab/>
      </w:r>
      <w:r>
        <w:fldChar w:fldCharType="begin"/>
      </w:r>
      <w:r>
        <w:instrText xml:space="preserve"> PAGEREF _Toc7301 \h </w:instrText>
      </w:r>
      <w:r>
        <w:fldChar w:fldCharType="separate"/>
      </w:r>
      <w:r>
        <w:t>12</w:t>
      </w:r>
      <w:r>
        <w:fldChar w:fldCharType="end"/>
      </w:r>
      <w:r>
        <w:fldChar w:fldCharType="end"/>
      </w:r>
    </w:p>
    <w:p>
      <w:pPr>
        <w:pStyle w:val="38"/>
        <w:tabs>
          <w:tab w:val="right" w:leader="dot" w:pos="9073"/>
        </w:tabs>
      </w:pPr>
      <w:r>
        <w:fldChar w:fldCharType="begin"/>
      </w:r>
      <w:r>
        <w:instrText xml:space="preserve"> HYPERLINK \l "_Toc31270" </w:instrText>
      </w:r>
      <w:r>
        <w:fldChar w:fldCharType="separate"/>
      </w:r>
      <w:r>
        <w:rPr>
          <w:szCs w:val="24"/>
        </w:rPr>
        <w:t>8.1. 质量保证要求</w:t>
      </w:r>
      <w:r>
        <w:tab/>
      </w:r>
      <w:r>
        <w:fldChar w:fldCharType="begin"/>
      </w:r>
      <w:r>
        <w:instrText xml:space="preserve"> PAGEREF _Toc31270 \h </w:instrText>
      </w:r>
      <w:r>
        <w:fldChar w:fldCharType="separate"/>
      </w:r>
      <w:r>
        <w:t>12</w:t>
      </w:r>
      <w:r>
        <w:fldChar w:fldCharType="end"/>
      </w:r>
      <w:r>
        <w:fldChar w:fldCharType="end"/>
      </w:r>
    </w:p>
    <w:p>
      <w:pPr>
        <w:pStyle w:val="38"/>
        <w:tabs>
          <w:tab w:val="right" w:leader="dot" w:pos="9073"/>
        </w:tabs>
      </w:pPr>
      <w:r>
        <w:fldChar w:fldCharType="begin"/>
      </w:r>
      <w:r>
        <w:instrText xml:space="preserve"> HYPERLINK \l "_Toc21138" </w:instrText>
      </w:r>
      <w:r>
        <w:fldChar w:fldCharType="separate"/>
      </w:r>
      <w:r>
        <w:rPr>
          <w:szCs w:val="24"/>
        </w:rPr>
        <w:t>8.2. 售后服务</w:t>
      </w:r>
      <w:r>
        <w:tab/>
      </w:r>
      <w:r>
        <w:fldChar w:fldCharType="begin"/>
      </w:r>
      <w:r>
        <w:instrText xml:space="preserve"> PAGEREF _Toc21138 \h </w:instrText>
      </w:r>
      <w:r>
        <w:fldChar w:fldCharType="separate"/>
      </w:r>
      <w:r>
        <w:t>13</w:t>
      </w:r>
      <w:r>
        <w:fldChar w:fldCharType="end"/>
      </w:r>
      <w:r>
        <w:fldChar w:fldCharType="end"/>
      </w:r>
    </w:p>
    <w:p>
      <w:pPr>
        <w:pStyle w:val="32"/>
        <w:tabs>
          <w:tab w:val="right" w:leader="dot" w:pos="9073"/>
        </w:tabs>
      </w:pPr>
      <w:r>
        <w:fldChar w:fldCharType="begin"/>
      </w:r>
      <w:r>
        <w:instrText xml:space="preserve"> HYPERLINK \l "_Toc6934" </w:instrText>
      </w:r>
      <w:r>
        <w:fldChar w:fldCharType="separate"/>
      </w:r>
      <w:r>
        <w:t>9. 对</w:t>
      </w:r>
      <w:r>
        <w:rPr>
          <w:rFonts w:hint="eastAsia"/>
        </w:rPr>
        <w:t>报价人</w:t>
      </w:r>
      <w:r>
        <w:t>的要求</w:t>
      </w:r>
      <w:r>
        <w:tab/>
      </w:r>
      <w:r>
        <w:fldChar w:fldCharType="begin"/>
      </w:r>
      <w:r>
        <w:instrText xml:space="preserve"> PAGEREF _Toc6934 \h </w:instrText>
      </w:r>
      <w:r>
        <w:fldChar w:fldCharType="separate"/>
      </w:r>
      <w:r>
        <w:t>13</w:t>
      </w:r>
      <w:r>
        <w:fldChar w:fldCharType="end"/>
      </w:r>
      <w:r>
        <w:fldChar w:fldCharType="end"/>
      </w:r>
    </w:p>
    <w:p>
      <w:pPr>
        <w:pStyle w:val="32"/>
        <w:tabs>
          <w:tab w:val="right" w:leader="dot" w:pos="9073"/>
        </w:tabs>
      </w:pPr>
      <w:r>
        <w:fldChar w:fldCharType="begin"/>
      </w:r>
      <w:r>
        <w:instrText xml:space="preserve"> HYPERLINK \l "_Toc6947" </w:instrText>
      </w:r>
      <w:r>
        <w:fldChar w:fldCharType="separate"/>
      </w:r>
      <w:r>
        <w:t>10. 技术文件</w:t>
      </w:r>
      <w:r>
        <w:tab/>
      </w:r>
      <w:r>
        <w:fldChar w:fldCharType="begin"/>
      </w:r>
      <w:r>
        <w:instrText xml:space="preserve"> PAGEREF _Toc6947 \h </w:instrText>
      </w:r>
      <w:r>
        <w:fldChar w:fldCharType="separate"/>
      </w:r>
      <w:r>
        <w:t>13</w:t>
      </w:r>
      <w:r>
        <w:fldChar w:fldCharType="end"/>
      </w:r>
      <w:r>
        <w:fldChar w:fldCharType="end"/>
      </w:r>
    </w:p>
    <w:p>
      <w:pPr>
        <w:pStyle w:val="32"/>
        <w:tabs>
          <w:tab w:val="right" w:leader="dot" w:pos="9073"/>
        </w:tabs>
      </w:pPr>
      <w:r>
        <w:fldChar w:fldCharType="begin"/>
      </w:r>
      <w:r>
        <w:instrText xml:space="preserve"> HYPERLINK \l "_Toc24923" </w:instrText>
      </w:r>
      <w:r>
        <w:fldChar w:fldCharType="separate"/>
      </w:r>
      <w:r>
        <w:t xml:space="preserve">11. </w:t>
      </w:r>
      <w:r>
        <w:rPr>
          <w:rFonts w:hint="eastAsia"/>
        </w:rPr>
        <w:t>附件</w:t>
      </w:r>
      <w:r>
        <w:tab/>
      </w:r>
      <w:r>
        <w:fldChar w:fldCharType="begin"/>
      </w:r>
      <w:r>
        <w:instrText xml:space="preserve"> PAGEREF _Toc24923 \h </w:instrText>
      </w:r>
      <w:r>
        <w:fldChar w:fldCharType="separate"/>
      </w:r>
      <w:r>
        <w:t>13</w:t>
      </w:r>
      <w:r>
        <w:fldChar w:fldCharType="end"/>
      </w:r>
      <w:r>
        <w:fldChar w:fldCharType="end"/>
      </w:r>
    </w:p>
    <w:p>
      <w:pPr>
        <w:pStyle w:val="38"/>
        <w:tabs>
          <w:tab w:val="right" w:leader="dot" w:pos="9073"/>
        </w:tabs>
      </w:pPr>
      <w:r>
        <w:fldChar w:fldCharType="begin"/>
      </w:r>
      <w:r>
        <w:instrText xml:space="preserve"> HYPERLINK \l "_Toc519" </w:instrText>
      </w:r>
      <w:r>
        <w:fldChar w:fldCharType="separate"/>
      </w:r>
      <w:r>
        <w:rPr>
          <w:szCs w:val="24"/>
        </w:rPr>
        <w:t xml:space="preserve">11.1. </w:t>
      </w:r>
      <w:r>
        <w:rPr>
          <w:rFonts w:hint="eastAsia"/>
          <w:szCs w:val="24"/>
        </w:rPr>
        <w:t>差异表</w:t>
      </w:r>
      <w:r>
        <w:tab/>
      </w:r>
      <w:r>
        <w:fldChar w:fldCharType="begin"/>
      </w:r>
      <w:r>
        <w:instrText xml:space="preserve"> PAGEREF _Toc519 \h </w:instrText>
      </w:r>
      <w:r>
        <w:fldChar w:fldCharType="separate"/>
      </w:r>
      <w:r>
        <w:t>13</w:t>
      </w:r>
      <w:r>
        <w:fldChar w:fldCharType="end"/>
      </w:r>
      <w:r>
        <w:fldChar w:fldCharType="end"/>
      </w:r>
    </w:p>
    <w:p>
      <w:pPr>
        <w:pStyle w:val="38"/>
        <w:tabs>
          <w:tab w:val="right" w:leader="dot" w:pos="9073"/>
        </w:tabs>
      </w:pPr>
      <w:r>
        <w:fldChar w:fldCharType="begin"/>
      </w:r>
      <w:r>
        <w:instrText xml:space="preserve"> HYPERLINK \l "_Toc12986" </w:instrText>
      </w:r>
      <w:r>
        <w:fldChar w:fldCharType="separate"/>
      </w:r>
      <w:r>
        <w:rPr>
          <w:szCs w:val="24"/>
        </w:rPr>
        <w:t xml:space="preserve">11.2. </w:t>
      </w:r>
      <w:r>
        <w:rPr>
          <w:rFonts w:hint="eastAsia"/>
          <w:szCs w:val="24"/>
        </w:rPr>
        <w:t>报价人需要说明的其它问题</w:t>
      </w:r>
      <w:r>
        <w:tab/>
      </w:r>
      <w:r>
        <w:fldChar w:fldCharType="begin"/>
      </w:r>
      <w:r>
        <w:instrText xml:space="preserve"> PAGEREF _Toc12986 \h </w:instrText>
      </w:r>
      <w:r>
        <w:fldChar w:fldCharType="separate"/>
      </w:r>
      <w:r>
        <w:t>13</w:t>
      </w:r>
      <w:r>
        <w:fldChar w:fldCharType="end"/>
      </w:r>
      <w:r>
        <w:fldChar w:fldCharType="end"/>
      </w:r>
    </w:p>
    <w:p>
      <w:pPr>
        <w:tabs>
          <w:tab w:val="right" w:leader="dot" w:pos="9063"/>
        </w:tabs>
        <w:spacing w:line="360" w:lineRule="auto"/>
        <w:jc w:val="center"/>
        <w:rPr>
          <w:b/>
          <w:kern w:val="44"/>
          <w:sz w:val="24"/>
          <w:lang w:val="zh-CN"/>
        </w:rPr>
      </w:pPr>
      <w:r>
        <w:rPr>
          <w:sz w:val="32"/>
          <w:szCs w:val="21"/>
        </w:rPr>
        <w:fldChar w:fldCharType="end"/>
      </w:r>
      <w:r>
        <w:rPr>
          <w:sz w:val="24"/>
          <w:lang w:val="zh-CN"/>
        </w:rPr>
        <w:br w:type="page"/>
      </w:r>
    </w:p>
    <w:p>
      <w:pPr>
        <w:pStyle w:val="2"/>
        <w:spacing w:before="120" w:beforeLines="50" w:after="120" w:afterLines="50" w:line="360" w:lineRule="auto"/>
      </w:pPr>
      <w:bookmarkStart w:id="21" w:name="_Toc29128"/>
      <w:bookmarkStart w:id="22" w:name="_Toc21166"/>
      <w:bookmarkStart w:id="23" w:name="_Toc169290929"/>
      <w:bookmarkStart w:id="24" w:name="_Toc19731"/>
      <w:bookmarkStart w:id="25" w:name="_Toc21009"/>
      <w:bookmarkStart w:id="26" w:name="_Toc23189"/>
      <w:bookmarkStart w:id="27" w:name="_Toc28412"/>
      <w:bookmarkStart w:id="28" w:name="_Toc28587"/>
      <w:r>
        <w:t>总则</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3"/>
        <w:spacing w:before="120" w:beforeLines="50" w:after="120" w:afterLines="50"/>
        <w:rPr>
          <w:lang w:val="zh-CN"/>
        </w:rPr>
      </w:pPr>
      <w:bookmarkStart w:id="29" w:name="_Toc10099"/>
      <w:bookmarkStart w:id="30" w:name="_Toc1443"/>
      <w:bookmarkStart w:id="31" w:name="_Toc4859"/>
      <w:bookmarkStart w:id="32" w:name="_Toc169290930"/>
      <w:bookmarkStart w:id="33" w:name="_Toc121775236"/>
      <w:bookmarkStart w:id="34" w:name="_Toc21263"/>
      <w:bookmarkStart w:id="35" w:name="_Toc3765"/>
      <w:bookmarkStart w:id="36" w:name="_Toc8614"/>
      <w:bookmarkStart w:id="37" w:name="_Toc21519"/>
      <w:r>
        <w:rPr>
          <w:rFonts w:hint="eastAsia"/>
          <w:szCs w:val="24"/>
        </w:rPr>
        <w:t>响应须知</w:t>
      </w:r>
      <w:bookmarkEnd w:id="29"/>
      <w:bookmarkEnd w:id="30"/>
      <w:bookmarkEnd w:id="31"/>
      <w:bookmarkEnd w:id="32"/>
      <w:bookmarkEnd w:id="33"/>
      <w:bookmarkEnd w:id="34"/>
      <w:bookmarkEnd w:id="35"/>
      <w:bookmarkEnd w:id="36"/>
      <w:bookmarkEnd w:id="37"/>
    </w:p>
    <w:p>
      <w:pPr>
        <w:spacing w:line="360" w:lineRule="auto"/>
        <w:ind w:firstLine="480" w:firstLineChars="200"/>
        <w:rPr>
          <w:sz w:val="24"/>
          <w:szCs w:val="22"/>
        </w:rPr>
      </w:pPr>
      <w:r>
        <w:rPr>
          <w:rFonts w:hint="eastAsia"/>
          <w:sz w:val="24"/>
          <w:szCs w:val="22"/>
        </w:rPr>
        <w:t>1.1</w:t>
      </w:r>
      <w:r>
        <w:rPr>
          <w:sz w:val="24"/>
          <w:szCs w:val="22"/>
        </w:rPr>
        <w:t>.1</w:t>
      </w:r>
      <w:r>
        <w:rPr>
          <w:rFonts w:hint="eastAsia"/>
          <w:sz w:val="24"/>
          <w:szCs w:val="22"/>
        </w:rPr>
        <w:t>本技术规范书规定了南方电网数字电网科技（广东）有限公司</w:t>
      </w:r>
      <w:r>
        <w:rPr>
          <w:sz w:val="24"/>
          <w:szCs w:val="22"/>
        </w:rPr>
        <w:t>对</w:t>
      </w:r>
      <w:r>
        <w:rPr>
          <w:rFonts w:hint="eastAsia"/>
          <w:b/>
          <w:bCs/>
          <w:sz w:val="24"/>
          <w:szCs w:val="22"/>
        </w:rPr>
        <w:t>综保模块测试硬件板卡</w:t>
      </w:r>
      <w:r>
        <w:rPr>
          <w:rFonts w:hint="eastAsia"/>
          <w:b/>
          <w:bCs/>
          <w:sz w:val="24"/>
          <w:szCs w:val="22"/>
          <w:lang w:val="en-US" w:eastAsia="zh-CN"/>
        </w:rPr>
        <w:t>首次</w:t>
      </w:r>
      <w:r>
        <w:rPr>
          <w:rFonts w:hint="eastAsia"/>
          <w:b/>
          <w:bCs/>
          <w:sz w:val="24"/>
          <w:szCs w:val="22"/>
        </w:rPr>
        <w:t>试制</w:t>
      </w:r>
      <w:r>
        <w:rPr>
          <w:sz w:val="24"/>
          <w:szCs w:val="22"/>
        </w:rPr>
        <w:t>的提供方（以下简称</w:t>
      </w:r>
      <w:r>
        <w:rPr>
          <w:rFonts w:hint="eastAsia"/>
          <w:sz w:val="24"/>
          <w:szCs w:val="22"/>
        </w:rPr>
        <w:t>报价人</w:t>
      </w:r>
      <w:r>
        <w:rPr>
          <w:sz w:val="24"/>
          <w:szCs w:val="22"/>
        </w:rPr>
        <w:t>）提出的技术规范。本</w:t>
      </w:r>
      <w:r>
        <w:rPr>
          <w:rFonts w:hint="eastAsia"/>
          <w:sz w:val="24"/>
          <w:szCs w:val="22"/>
        </w:rPr>
        <w:t>采购</w:t>
      </w:r>
      <w:r>
        <w:rPr>
          <w:sz w:val="24"/>
          <w:szCs w:val="22"/>
        </w:rPr>
        <w:t>文件的最终解释权归</w:t>
      </w:r>
      <w:r>
        <w:rPr>
          <w:rFonts w:hint="eastAsia"/>
          <w:sz w:val="24"/>
          <w:szCs w:val="22"/>
        </w:rPr>
        <w:t>南方电网数字电网科技（广东）有限公司</w:t>
      </w:r>
      <w:r>
        <w:rPr>
          <w:sz w:val="24"/>
          <w:szCs w:val="22"/>
        </w:rPr>
        <w:t>（以下简称</w:t>
      </w:r>
      <w:r>
        <w:rPr>
          <w:rFonts w:hint="eastAsia"/>
          <w:sz w:val="24"/>
          <w:szCs w:val="22"/>
        </w:rPr>
        <w:t>采购人</w:t>
      </w:r>
      <w:r>
        <w:rPr>
          <w:sz w:val="24"/>
          <w:szCs w:val="22"/>
        </w:rPr>
        <w:t>）。</w:t>
      </w:r>
    </w:p>
    <w:p>
      <w:pPr>
        <w:spacing w:line="360" w:lineRule="auto"/>
        <w:ind w:firstLine="480" w:firstLineChars="200"/>
        <w:rPr>
          <w:sz w:val="24"/>
          <w:szCs w:val="22"/>
        </w:rPr>
      </w:pPr>
      <w:r>
        <w:rPr>
          <w:sz w:val="24"/>
          <w:szCs w:val="22"/>
        </w:rPr>
        <w:t>1.</w:t>
      </w:r>
      <w:r>
        <w:rPr>
          <w:rFonts w:hint="eastAsia"/>
          <w:sz w:val="24"/>
          <w:szCs w:val="22"/>
        </w:rPr>
        <w:t>1.</w:t>
      </w:r>
      <w:r>
        <w:rPr>
          <w:sz w:val="24"/>
          <w:szCs w:val="22"/>
        </w:rPr>
        <w:t>2</w:t>
      </w:r>
      <w:r>
        <w:rPr>
          <w:rFonts w:hint="eastAsia"/>
          <w:sz w:val="24"/>
          <w:szCs w:val="22"/>
        </w:rPr>
        <w:t>如果报价人没有以书面形式对本技术规范书的条文提出异议，则意味着报价人提供的设备完全符合本技术规范书的要求。如有异议，不管是多么微小，都应在响应文件中以“对技术规范书的意见和同技术规范书的差异”为标题的专门章节中加以详细描述。</w:t>
      </w:r>
    </w:p>
    <w:p>
      <w:pPr>
        <w:spacing w:line="360" w:lineRule="auto"/>
        <w:ind w:firstLine="480" w:firstLineChars="200"/>
        <w:rPr>
          <w:sz w:val="24"/>
          <w:szCs w:val="22"/>
        </w:rPr>
      </w:pPr>
      <w:r>
        <w:rPr>
          <w:sz w:val="24"/>
          <w:szCs w:val="22"/>
        </w:rPr>
        <w:t>1.</w:t>
      </w:r>
      <w:r>
        <w:rPr>
          <w:rFonts w:hint="eastAsia"/>
          <w:sz w:val="24"/>
          <w:szCs w:val="22"/>
        </w:rPr>
        <w:t>1.</w:t>
      </w:r>
      <w:r>
        <w:rPr>
          <w:sz w:val="24"/>
          <w:szCs w:val="22"/>
        </w:rPr>
        <w:t>3</w:t>
      </w:r>
      <w:r>
        <w:rPr>
          <w:rFonts w:hint="eastAsia"/>
          <w:sz w:val="24"/>
          <w:szCs w:val="22"/>
        </w:rPr>
        <w:t>本技术规范书所使用的标准如遇与报价人所执行的标准不一致时，按较高标准执行。</w:t>
      </w:r>
    </w:p>
    <w:p>
      <w:pPr>
        <w:spacing w:line="360" w:lineRule="auto"/>
        <w:ind w:firstLine="480" w:firstLineChars="200"/>
        <w:rPr>
          <w:sz w:val="24"/>
          <w:szCs w:val="22"/>
        </w:rPr>
      </w:pPr>
      <w:r>
        <w:rPr>
          <w:sz w:val="24"/>
          <w:szCs w:val="22"/>
        </w:rPr>
        <w:t>1.</w:t>
      </w:r>
      <w:r>
        <w:rPr>
          <w:rFonts w:hint="eastAsia"/>
          <w:sz w:val="24"/>
          <w:szCs w:val="22"/>
        </w:rPr>
        <w:t>1.</w:t>
      </w:r>
      <w:r>
        <w:rPr>
          <w:sz w:val="24"/>
          <w:szCs w:val="22"/>
        </w:rPr>
        <w:t>4</w:t>
      </w:r>
      <w:r>
        <w:rPr>
          <w:rFonts w:hint="eastAsia"/>
          <w:sz w:val="24"/>
          <w:szCs w:val="22"/>
        </w:rPr>
        <w:t>本技术规范书经采购、响应双方确认后作为合同的技术附件，与合同正文具有同等的法律效力。若本技术规范书涉及有关商务方面内容，如与采购文件的商务部分矛盾时，以采购文件商务部分为准。</w:t>
      </w:r>
    </w:p>
    <w:p>
      <w:pPr>
        <w:spacing w:line="360" w:lineRule="auto"/>
        <w:ind w:firstLine="480" w:firstLineChars="200"/>
        <w:rPr>
          <w:sz w:val="24"/>
          <w:szCs w:val="22"/>
        </w:rPr>
      </w:pPr>
      <w:r>
        <w:rPr>
          <w:sz w:val="24"/>
          <w:szCs w:val="22"/>
        </w:rPr>
        <w:t>1.</w:t>
      </w:r>
      <w:r>
        <w:rPr>
          <w:rFonts w:hint="eastAsia"/>
          <w:sz w:val="24"/>
          <w:szCs w:val="22"/>
        </w:rPr>
        <w:t>1.</w:t>
      </w:r>
      <w:r>
        <w:rPr>
          <w:sz w:val="24"/>
          <w:szCs w:val="22"/>
        </w:rPr>
        <w:t>5</w:t>
      </w:r>
      <w:r>
        <w:rPr>
          <w:rFonts w:hint="eastAsia"/>
          <w:sz w:val="24"/>
          <w:szCs w:val="22"/>
        </w:rPr>
        <w:t>本技术规范书未详尽全部事宜，由采购、报价双方协商确定。技术规范书所附材料仅为代工生产产品的部分关键资料，仅作为被委托方评估试制方案可行性的依据，用以评判是否可满足本试制产品的技术要求以及用于成本估算和报价，在满足本技术方案要求基础之上，确认成交人后，采购人将提供本标的物相应硬件PCB Gerber文件、焊接清单、图纸和说明文件等材料，作为双方约定对接资料。</w:t>
      </w:r>
    </w:p>
    <w:p>
      <w:pPr>
        <w:spacing w:line="360" w:lineRule="auto"/>
        <w:ind w:firstLine="480" w:firstLineChars="200"/>
        <w:rPr>
          <w:sz w:val="24"/>
          <w:szCs w:val="22"/>
        </w:rPr>
      </w:pPr>
      <w:r>
        <w:rPr>
          <w:sz w:val="24"/>
          <w:szCs w:val="22"/>
        </w:rPr>
        <w:t>1.</w:t>
      </w:r>
      <w:r>
        <w:rPr>
          <w:rFonts w:hint="eastAsia"/>
          <w:sz w:val="24"/>
          <w:szCs w:val="22"/>
        </w:rPr>
        <w:t>1.6报价人应充分理解本技术规范书并按本技术规范书的具体条款、技术交付要求执行，如在项目实施过程中需要调整内容、进度等，需经双方共同确认，以采购人意见为准。</w:t>
      </w:r>
    </w:p>
    <w:p>
      <w:pPr>
        <w:pStyle w:val="3"/>
        <w:spacing w:before="120" w:beforeLines="50" w:after="120" w:afterLines="50"/>
        <w:rPr>
          <w:szCs w:val="24"/>
        </w:rPr>
      </w:pPr>
      <w:bookmarkStart w:id="38" w:name="_Toc169290931"/>
      <w:bookmarkStart w:id="39" w:name="_Toc22093"/>
      <w:bookmarkStart w:id="40" w:name="_Toc15049"/>
      <w:bookmarkStart w:id="41" w:name="_Toc29414"/>
      <w:bookmarkStart w:id="42" w:name="_Toc16858"/>
      <w:bookmarkStart w:id="43" w:name="_Toc32339"/>
      <w:bookmarkStart w:id="44" w:name="_Toc31020"/>
      <w:bookmarkStart w:id="45" w:name="_Toc3175"/>
      <w:r>
        <w:rPr>
          <w:rFonts w:hint="eastAsia"/>
          <w:szCs w:val="24"/>
        </w:rPr>
        <w:t>一般要求</w:t>
      </w:r>
      <w:bookmarkEnd w:id="38"/>
      <w:bookmarkEnd w:id="39"/>
      <w:bookmarkEnd w:id="40"/>
      <w:bookmarkEnd w:id="41"/>
      <w:bookmarkEnd w:id="42"/>
      <w:bookmarkEnd w:id="43"/>
      <w:bookmarkEnd w:id="44"/>
      <w:bookmarkEnd w:id="45"/>
    </w:p>
    <w:p>
      <w:pPr>
        <w:spacing w:line="360" w:lineRule="auto"/>
        <w:ind w:firstLine="480" w:firstLineChars="200"/>
        <w:rPr>
          <w:sz w:val="24"/>
          <w:szCs w:val="22"/>
        </w:rPr>
      </w:pPr>
      <w:r>
        <w:rPr>
          <w:sz w:val="24"/>
          <w:szCs w:val="22"/>
        </w:rPr>
        <w:t>1.2.1</w:t>
      </w:r>
      <w:r>
        <w:rPr>
          <w:rFonts w:hint="eastAsia"/>
          <w:sz w:val="24"/>
          <w:szCs w:val="22"/>
        </w:rPr>
        <w:t>报价人</w:t>
      </w:r>
      <w:r>
        <w:rPr>
          <w:sz w:val="24"/>
          <w:szCs w:val="22"/>
        </w:rPr>
        <w:t>应提供符合本</w:t>
      </w:r>
      <w:r>
        <w:rPr>
          <w:rFonts w:hint="eastAsia"/>
          <w:sz w:val="24"/>
          <w:szCs w:val="22"/>
        </w:rPr>
        <w:t>采购</w:t>
      </w:r>
      <w:r>
        <w:rPr>
          <w:sz w:val="24"/>
          <w:szCs w:val="22"/>
        </w:rPr>
        <w:t>技术文件和工业标准的优质产品、</w:t>
      </w:r>
      <w:bookmarkStart w:id="287" w:name="_GoBack"/>
      <w:bookmarkEnd w:id="287"/>
      <w:r>
        <w:rPr>
          <w:sz w:val="24"/>
          <w:szCs w:val="22"/>
        </w:rPr>
        <w:t>服务，认真阅读，逐条准确回答和陈述，必须清楚地说明是否满足本技术规范书的每一项具体要求。如果不满足要求，除在逐条应答时予以说明外，还需以“差异表”的形式另外列出。</w:t>
      </w:r>
    </w:p>
    <w:p>
      <w:pPr>
        <w:spacing w:line="360" w:lineRule="auto"/>
        <w:ind w:firstLine="480" w:firstLineChars="200"/>
        <w:rPr>
          <w:sz w:val="24"/>
          <w:szCs w:val="22"/>
        </w:rPr>
      </w:pPr>
      <w:r>
        <w:rPr>
          <w:sz w:val="24"/>
          <w:szCs w:val="22"/>
        </w:rPr>
        <w:t>1.2.</w:t>
      </w:r>
      <w:r>
        <w:rPr>
          <w:rFonts w:hint="eastAsia"/>
          <w:sz w:val="24"/>
          <w:szCs w:val="22"/>
        </w:rPr>
        <w:t>2</w:t>
      </w:r>
      <w:r>
        <w:rPr>
          <w:sz w:val="24"/>
          <w:szCs w:val="22"/>
        </w:rPr>
        <w:t xml:space="preserve"> 如果</w:t>
      </w:r>
      <w:r>
        <w:rPr>
          <w:rFonts w:hint="eastAsia"/>
          <w:sz w:val="24"/>
          <w:szCs w:val="22"/>
        </w:rPr>
        <w:t>报价人</w:t>
      </w:r>
      <w:r>
        <w:rPr>
          <w:sz w:val="24"/>
          <w:szCs w:val="22"/>
        </w:rPr>
        <w:t>认为本技术条款所描述技术要求等存在不合理性或不明白的，可在响应原要求后陈述相关建议。</w:t>
      </w:r>
    </w:p>
    <w:p>
      <w:pPr>
        <w:spacing w:line="360" w:lineRule="auto"/>
        <w:ind w:firstLine="480" w:firstLineChars="200"/>
        <w:rPr>
          <w:sz w:val="24"/>
          <w:szCs w:val="22"/>
        </w:rPr>
      </w:pPr>
      <w:r>
        <w:rPr>
          <w:sz w:val="24"/>
          <w:szCs w:val="22"/>
        </w:rPr>
        <w:t>1.2.</w:t>
      </w:r>
      <w:r>
        <w:rPr>
          <w:rFonts w:hint="eastAsia"/>
          <w:sz w:val="24"/>
          <w:szCs w:val="22"/>
        </w:rPr>
        <w:t>3</w:t>
      </w:r>
      <w:r>
        <w:rPr>
          <w:sz w:val="24"/>
          <w:szCs w:val="22"/>
        </w:rPr>
        <w:t xml:space="preserve"> </w:t>
      </w:r>
      <w:r>
        <w:rPr>
          <w:rFonts w:hint="eastAsia"/>
          <w:sz w:val="24"/>
          <w:szCs w:val="22"/>
        </w:rPr>
        <w:t>报价人</w:t>
      </w:r>
      <w:r>
        <w:rPr>
          <w:sz w:val="24"/>
          <w:szCs w:val="22"/>
        </w:rPr>
        <w:t>也可提出满足本技术规范书要求，且技术先进、成熟、价格合理的其他建议，供</w:t>
      </w:r>
      <w:r>
        <w:rPr>
          <w:rFonts w:hint="eastAsia"/>
          <w:sz w:val="24"/>
          <w:szCs w:val="22"/>
        </w:rPr>
        <w:t>采购人</w:t>
      </w:r>
      <w:r>
        <w:rPr>
          <w:sz w:val="24"/>
          <w:szCs w:val="22"/>
        </w:rPr>
        <w:t>选择。</w:t>
      </w:r>
    </w:p>
    <w:p>
      <w:pPr>
        <w:spacing w:line="360" w:lineRule="auto"/>
        <w:ind w:firstLine="480" w:firstLineChars="200"/>
        <w:rPr>
          <w:sz w:val="24"/>
          <w:szCs w:val="22"/>
        </w:rPr>
      </w:pPr>
      <w:r>
        <w:rPr>
          <w:sz w:val="24"/>
          <w:szCs w:val="22"/>
        </w:rPr>
        <w:t>1.2.</w:t>
      </w:r>
      <w:r>
        <w:rPr>
          <w:rFonts w:hint="eastAsia"/>
          <w:sz w:val="24"/>
          <w:szCs w:val="22"/>
        </w:rPr>
        <w:t>4</w:t>
      </w:r>
      <w:r>
        <w:rPr>
          <w:sz w:val="24"/>
          <w:szCs w:val="22"/>
        </w:rPr>
        <w:t xml:space="preserve"> </w:t>
      </w:r>
      <w:r>
        <w:rPr>
          <w:rFonts w:hint="eastAsia"/>
          <w:sz w:val="24"/>
          <w:szCs w:val="22"/>
        </w:rPr>
        <w:t>报价人</w:t>
      </w:r>
      <w:r>
        <w:rPr>
          <w:sz w:val="24"/>
          <w:szCs w:val="22"/>
        </w:rPr>
        <w:t>应提供满足本技术规范书要求的完整的服务、工作产品，满足国家及用户提出的有关质量标准要求。所有工作产品必须具有在中国境内的合法使用权。</w:t>
      </w:r>
    </w:p>
    <w:p>
      <w:pPr>
        <w:spacing w:line="360" w:lineRule="auto"/>
        <w:ind w:firstLine="480" w:firstLineChars="200"/>
        <w:rPr>
          <w:sz w:val="24"/>
          <w:szCs w:val="22"/>
        </w:rPr>
      </w:pPr>
      <w:r>
        <w:rPr>
          <w:sz w:val="24"/>
          <w:szCs w:val="22"/>
        </w:rPr>
        <w:t>1.2.</w:t>
      </w:r>
      <w:r>
        <w:rPr>
          <w:rFonts w:hint="eastAsia"/>
          <w:sz w:val="24"/>
          <w:szCs w:val="22"/>
        </w:rPr>
        <w:t xml:space="preserve">5 </w:t>
      </w:r>
      <w:r>
        <w:rPr>
          <w:sz w:val="24"/>
          <w:szCs w:val="22"/>
        </w:rPr>
        <w:t>如果因为无法提供的原因而提供其他产品、服务，</w:t>
      </w:r>
      <w:r>
        <w:rPr>
          <w:rFonts w:hint="eastAsia"/>
          <w:sz w:val="24"/>
          <w:szCs w:val="22"/>
        </w:rPr>
        <w:t>报价人</w:t>
      </w:r>
      <w:r>
        <w:rPr>
          <w:sz w:val="24"/>
          <w:szCs w:val="22"/>
        </w:rPr>
        <w:t>应明确说明并提出质量保证承诺。</w:t>
      </w:r>
    </w:p>
    <w:p>
      <w:pPr>
        <w:spacing w:line="360" w:lineRule="auto"/>
        <w:ind w:firstLine="480" w:firstLineChars="200"/>
        <w:rPr>
          <w:sz w:val="24"/>
          <w:szCs w:val="22"/>
        </w:rPr>
      </w:pPr>
      <w:r>
        <w:rPr>
          <w:sz w:val="24"/>
          <w:szCs w:val="22"/>
        </w:rPr>
        <w:t>1.2.</w:t>
      </w:r>
      <w:r>
        <w:rPr>
          <w:rFonts w:hint="eastAsia"/>
          <w:sz w:val="24"/>
          <w:szCs w:val="22"/>
        </w:rPr>
        <w:t>6</w:t>
      </w:r>
      <w:r>
        <w:rPr>
          <w:sz w:val="24"/>
          <w:szCs w:val="22"/>
        </w:rPr>
        <w:t xml:space="preserve"> </w:t>
      </w:r>
      <w:r>
        <w:rPr>
          <w:rFonts w:hint="eastAsia"/>
          <w:sz w:val="24"/>
          <w:szCs w:val="22"/>
        </w:rPr>
        <w:t>报价人</w:t>
      </w:r>
      <w:r>
        <w:rPr>
          <w:sz w:val="24"/>
          <w:szCs w:val="22"/>
        </w:rPr>
        <w:t>应保证为今后</w:t>
      </w:r>
      <w:r>
        <w:rPr>
          <w:rFonts w:hint="eastAsia"/>
          <w:sz w:val="24"/>
          <w:szCs w:val="22"/>
        </w:rPr>
        <w:t>采购人</w:t>
      </w:r>
      <w:r>
        <w:rPr>
          <w:sz w:val="24"/>
          <w:szCs w:val="22"/>
        </w:rPr>
        <w:t>开发的或</w:t>
      </w:r>
      <w:r>
        <w:rPr>
          <w:rFonts w:hint="eastAsia"/>
          <w:sz w:val="24"/>
          <w:szCs w:val="22"/>
        </w:rPr>
        <w:t>采购人</w:t>
      </w:r>
      <w:r>
        <w:rPr>
          <w:sz w:val="24"/>
          <w:szCs w:val="22"/>
        </w:rPr>
        <w:t>委托第三方开发的其他工作产品提供可靠的性能和兼容性。</w:t>
      </w:r>
    </w:p>
    <w:p>
      <w:pPr>
        <w:spacing w:line="360" w:lineRule="auto"/>
        <w:ind w:firstLine="480" w:firstLineChars="200"/>
        <w:rPr>
          <w:sz w:val="24"/>
          <w:szCs w:val="22"/>
        </w:rPr>
      </w:pPr>
      <w:r>
        <w:rPr>
          <w:sz w:val="24"/>
          <w:szCs w:val="22"/>
        </w:rPr>
        <w:t>1.2.</w:t>
      </w:r>
      <w:r>
        <w:rPr>
          <w:rFonts w:hint="eastAsia"/>
          <w:sz w:val="24"/>
          <w:szCs w:val="22"/>
        </w:rPr>
        <w:t>7</w:t>
      </w:r>
      <w:r>
        <w:rPr>
          <w:sz w:val="24"/>
          <w:szCs w:val="22"/>
        </w:rPr>
        <w:t xml:space="preserve"> </w:t>
      </w:r>
      <w:r>
        <w:rPr>
          <w:rFonts w:hint="eastAsia"/>
          <w:sz w:val="24"/>
          <w:szCs w:val="22"/>
        </w:rPr>
        <w:t>报价人</w:t>
      </w:r>
      <w:r>
        <w:rPr>
          <w:sz w:val="24"/>
          <w:szCs w:val="22"/>
        </w:rPr>
        <w:t>应对本次</w:t>
      </w:r>
      <w:r>
        <w:rPr>
          <w:rFonts w:hint="eastAsia"/>
          <w:sz w:val="24"/>
          <w:szCs w:val="22"/>
        </w:rPr>
        <w:t>响应</w:t>
      </w:r>
      <w:r>
        <w:rPr>
          <w:sz w:val="24"/>
          <w:szCs w:val="22"/>
        </w:rPr>
        <w:t>所有文件保密，不得向其他单位公布或</w:t>
      </w:r>
      <w:r>
        <w:rPr>
          <w:rFonts w:hint="eastAsia"/>
          <w:sz w:val="24"/>
          <w:szCs w:val="22"/>
        </w:rPr>
        <w:t>泄露采购</w:t>
      </w:r>
      <w:r>
        <w:rPr>
          <w:sz w:val="24"/>
          <w:szCs w:val="22"/>
        </w:rPr>
        <w:t>项目的有关信息。</w:t>
      </w:r>
    </w:p>
    <w:p>
      <w:pPr>
        <w:spacing w:line="360" w:lineRule="auto"/>
        <w:ind w:firstLine="480" w:firstLineChars="200"/>
        <w:rPr>
          <w:sz w:val="24"/>
          <w:szCs w:val="22"/>
        </w:rPr>
      </w:pPr>
      <w:r>
        <w:rPr>
          <w:sz w:val="24"/>
          <w:szCs w:val="22"/>
        </w:rPr>
        <w:t>1.2.</w:t>
      </w:r>
      <w:r>
        <w:rPr>
          <w:rFonts w:hint="eastAsia"/>
          <w:sz w:val="24"/>
          <w:szCs w:val="22"/>
        </w:rPr>
        <w:t>8</w:t>
      </w:r>
      <w:r>
        <w:rPr>
          <w:sz w:val="24"/>
          <w:szCs w:val="22"/>
        </w:rPr>
        <w:t xml:space="preserve"> 所有计算、说明、图纸文件、手册等使用国际单位制。</w:t>
      </w:r>
    </w:p>
    <w:p>
      <w:pPr>
        <w:pStyle w:val="2"/>
        <w:spacing w:before="120" w:beforeLines="50" w:after="120" w:afterLines="50" w:line="360" w:lineRule="auto"/>
      </w:pPr>
      <w:bookmarkStart w:id="46" w:name="_Toc13208"/>
      <w:bookmarkStart w:id="47" w:name="_Toc18721"/>
      <w:bookmarkStart w:id="48" w:name="_Toc12414"/>
      <w:bookmarkStart w:id="49" w:name="_Toc440887069"/>
      <w:bookmarkStart w:id="50" w:name="_Toc14641"/>
      <w:bookmarkStart w:id="51" w:name="_Toc22145"/>
      <w:bookmarkStart w:id="52" w:name="_Toc169290932"/>
      <w:bookmarkStart w:id="53" w:name="_Toc29248"/>
      <w:bookmarkStart w:id="54" w:name="_Toc487"/>
      <w:bookmarkStart w:id="55" w:name="_Toc10556"/>
      <w:bookmarkStart w:id="56" w:name="_Toc15989"/>
      <w:bookmarkStart w:id="57" w:name="_Toc24222"/>
      <w:bookmarkStart w:id="58" w:name="_Toc12098"/>
      <w:bookmarkStart w:id="59" w:name="_Toc26695"/>
      <w:bookmarkStart w:id="60" w:name="_Toc6068"/>
      <w:bookmarkStart w:id="61" w:name="_Toc516148941"/>
      <w:bookmarkStart w:id="62" w:name="_Toc11339"/>
      <w:bookmarkStart w:id="63" w:name="_Toc12334"/>
      <w:bookmarkStart w:id="64" w:name="_Toc8964"/>
      <w:bookmarkStart w:id="65" w:name="_Toc27908"/>
      <w:bookmarkStart w:id="66" w:name="_Toc13458"/>
      <w:bookmarkStart w:id="67" w:name="_Toc9413"/>
      <w:bookmarkStart w:id="68" w:name="_Toc29733"/>
      <w:bookmarkStart w:id="69" w:name="_Toc30783"/>
      <w:bookmarkStart w:id="70" w:name="_Toc19687"/>
      <w:bookmarkStart w:id="71" w:name="_Toc18737"/>
      <w:bookmarkStart w:id="72" w:name="_Toc8430"/>
      <w:r>
        <w:t>应遵循的主要标准</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spacing w:line="360" w:lineRule="auto"/>
        <w:ind w:firstLine="480" w:firstLineChars="200"/>
        <w:rPr>
          <w:sz w:val="24"/>
          <w:szCs w:val="22"/>
        </w:rPr>
      </w:pPr>
      <w:r>
        <w:rPr>
          <w:rFonts w:hint="eastAsia"/>
          <w:sz w:val="24"/>
          <w:szCs w:val="22"/>
        </w:rPr>
        <w:t>除本技术规范书特殊规定外，报价人所提供的元器件、设备均按规定的标准和规程的最新版本进行交付和生产。如果这些标准内容有矛盾时，应按最高标准的条款执行或按双方商定的标准执行。如果报价人选用本技术规范书规定以外的标准时，则需提交这种替换标准供审查和分析。仅在报价人已证明替换标准相当或优于采购文件规定的标准，并从采购人处获得书面的认可才能使用。提交供审查的标准应为中文或英文版本。</w:t>
      </w:r>
    </w:p>
    <w:p>
      <w:pPr>
        <w:spacing w:line="360" w:lineRule="auto"/>
        <w:ind w:firstLine="480" w:firstLineChars="200"/>
        <w:rPr>
          <w:sz w:val="24"/>
          <w:szCs w:val="22"/>
        </w:rPr>
      </w:pPr>
      <w:r>
        <w:rPr>
          <w:rFonts w:hint="eastAsia"/>
          <w:sz w:val="24"/>
          <w:szCs w:val="22"/>
        </w:rPr>
        <w:t>下列文件对于技术规范书的应用是必不可少。凡是注日期的引用文件，仅注日期的版本适用于技术规范书。凡是不注日期的引用文件，其最新版本（包括所有的修改单）适用于技术规范书：</w:t>
      </w:r>
    </w:p>
    <w:p>
      <w:pPr>
        <w:spacing w:line="360" w:lineRule="auto"/>
        <w:ind w:firstLine="480" w:firstLineChars="200"/>
        <w:rPr>
          <w:sz w:val="24"/>
          <w:szCs w:val="22"/>
        </w:rPr>
      </w:pPr>
      <w:r>
        <w:rPr>
          <w:rFonts w:hint="eastAsia"/>
          <w:sz w:val="24"/>
          <w:szCs w:val="22"/>
        </w:rPr>
        <w:t>GB/T 4588.1</w:t>
      </w:r>
      <w:r>
        <w:rPr>
          <w:rFonts w:hint="eastAsia"/>
          <w:sz w:val="24"/>
          <w:szCs w:val="22"/>
        </w:rPr>
        <w:tab/>
      </w:r>
      <w:r>
        <w:rPr>
          <w:rFonts w:hint="eastAsia"/>
          <w:sz w:val="24"/>
          <w:szCs w:val="22"/>
        </w:rPr>
        <w:tab/>
      </w:r>
      <w:r>
        <w:rPr>
          <w:rFonts w:hint="eastAsia"/>
          <w:sz w:val="24"/>
          <w:szCs w:val="22"/>
        </w:rPr>
        <w:t>无金属化孔单双面印制板分规范</w:t>
      </w:r>
    </w:p>
    <w:p>
      <w:pPr>
        <w:spacing w:line="360" w:lineRule="auto"/>
        <w:ind w:firstLine="480" w:firstLineChars="200"/>
        <w:rPr>
          <w:sz w:val="24"/>
          <w:szCs w:val="22"/>
        </w:rPr>
      </w:pPr>
      <w:r>
        <w:rPr>
          <w:rFonts w:hint="eastAsia"/>
          <w:sz w:val="24"/>
          <w:szCs w:val="22"/>
        </w:rPr>
        <w:t>GB/T 4588.2</w:t>
      </w:r>
      <w:r>
        <w:rPr>
          <w:rFonts w:hint="eastAsia"/>
          <w:sz w:val="24"/>
          <w:szCs w:val="22"/>
        </w:rPr>
        <w:tab/>
      </w:r>
      <w:r>
        <w:rPr>
          <w:rFonts w:hint="eastAsia"/>
          <w:sz w:val="24"/>
          <w:szCs w:val="22"/>
        </w:rPr>
        <w:tab/>
      </w:r>
      <w:r>
        <w:rPr>
          <w:rFonts w:hint="eastAsia"/>
          <w:sz w:val="24"/>
          <w:szCs w:val="22"/>
        </w:rPr>
        <w:t>有金属化孔单双面印制板分规范</w:t>
      </w:r>
    </w:p>
    <w:p>
      <w:pPr>
        <w:spacing w:line="360" w:lineRule="auto"/>
        <w:ind w:firstLine="480" w:firstLineChars="200"/>
        <w:rPr>
          <w:sz w:val="24"/>
          <w:szCs w:val="22"/>
        </w:rPr>
      </w:pPr>
      <w:r>
        <w:rPr>
          <w:rFonts w:hint="eastAsia"/>
          <w:sz w:val="24"/>
          <w:szCs w:val="22"/>
        </w:rPr>
        <w:t>GB/T 4588.3</w:t>
      </w:r>
      <w:r>
        <w:rPr>
          <w:rFonts w:hint="eastAsia"/>
          <w:sz w:val="24"/>
          <w:szCs w:val="22"/>
        </w:rPr>
        <w:tab/>
      </w:r>
      <w:r>
        <w:rPr>
          <w:rFonts w:hint="eastAsia"/>
          <w:sz w:val="24"/>
          <w:szCs w:val="22"/>
        </w:rPr>
        <w:tab/>
      </w:r>
      <w:r>
        <w:rPr>
          <w:rFonts w:hint="eastAsia"/>
          <w:sz w:val="24"/>
          <w:szCs w:val="22"/>
        </w:rPr>
        <w:t>印制板的设计和使用</w:t>
      </w:r>
    </w:p>
    <w:p>
      <w:pPr>
        <w:spacing w:line="360" w:lineRule="auto"/>
        <w:ind w:firstLine="480" w:firstLineChars="200"/>
        <w:rPr>
          <w:sz w:val="24"/>
          <w:szCs w:val="22"/>
        </w:rPr>
      </w:pPr>
      <w:r>
        <w:rPr>
          <w:rFonts w:hint="eastAsia"/>
          <w:sz w:val="24"/>
          <w:szCs w:val="22"/>
        </w:rPr>
        <w:t>GB/T 19247.1</w:t>
      </w:r>
      <w:r>
        <w:rPr>
          <w:rFonts w:hint="eastAsia"/>
          <w:sz w:val="24"/>
          <w:szCs w:val="22"/>
        </w:rPr>
        <w:tab/>
      </w:r>
      <w:r>
        <w:rPr>
          <w:rFonts w:hint="eastAsia"/>
          <w:sz w:val="24"/>
          <w:szCs w:val="22"/>
        </w:rPr>
        <w:tab/>
      </w:r>
      <w:r>
        <w:rPr>
          <w:rFonts w:hint="eastAsia"/>
          <w:sz w:val="24"/>
          <w:szCs w:val="22"/>
        </w:rPr>
        <w:t>印制板组装 第1部分:通用规范 采用表面安装和相关组装技术的电子和电气焊接组装的要求</w:t>
      </w:r>
    </w:p>
    <w:p>
      <w:pPr>
        <w:spacing w:line="360" w:lineRule="auto"/>
        <w:ind w:firstLine="480" w:firstLineChars="200"/>
        <w:rPr>
          <w:sz w:val="24"/>
          <w:szCs w:val="22"/>
        </w:rPr>
      </w:pPr>
      <w:r>
        <w:rPr>
          <w:rFonts w:hint="eastAsia"/>
          <w:sz w:val="24"/>
          <w:szCs w:val="22"/>
        </w:rPr>
        <w:t>GB/T 4677</w:t>
      </w:r>
      <w:r>
        <w:rPr>
          <w:rFonts w:hint="eastAsia"/>
          <w:sz w:val="24"/>
          <w:szCs w:val="22"/>
        </w:rPr>
        <w:tab/>
      </w:r>
      <w:r>
        <w:rPr>
          <w:rFonts w:hint="eastAsia"/>
          <w:sz w:val="24"/>
          <w:szCs w:val="22"/>
        </w:rPr>
        <w:tab/>
      </w:r>
      <w:r>
        <w:rPr>
          <w:rFonts w:hint="eastAsia"/>
          <w:sz w:val="24"/>
          <w:szCs w:val="22"/>
        </w:rPr>
        <w:tab/>
      </w:r>
      <w:r>
        <w:rPr>
          <w:rFonts w:hint="eastAsia"/>
          <w:sz w:val="24"/>
          <w:szCs w:val="22"/>
        </w:rPr>
        <w:t>印制板测试方法</w:t>
      </w:r>
    </w:p>
    <w:p>
      <w:pPr>
        <w:spacing w:line="360" w:lineRule="auto"/>
        <w:ind w:firstLine="480" w:firstLineChars="200"/>
        <w:rPr>
          <w:sz w:val="24"/>
          <w:szCs w:val="22"/>
        </w:rPr>
      </w:pPr>
      <w:r>
        <w:rPr>
          <w:rFonts w:hint="eastAsia"/>
          <w:sz w:val="24"/>
          <w:szCs w:val="22"/>
        </w:rPr>
        <w:t>GB/T 16261</w:t>
      </w:r>
      <w:r>
        <w:rPr>
          <w:rFonts w:hint="eastAsia"/>
          <w:sz w:val="24"/>
          <w:szCs w:val="22"/>
        </w:rPr>
        <w:tab/>
      </w:r>
      <w:r>
        <w:rPr>
          <w:rFonts w:hint="eastAsia"/>
          <w:sz w:val="24"/>
          <w:szCs w:val="22"/>
        </w:rPr>
        <w:tab/>
      </w:r>
      <w:r>
        <w:rPr>
          <w:rFonts w:hint="eastAsia"/>
          <w:sz w:val="24"/>
          <w:szCs w:val="22"/>
        </w:rPr>
        <w:t>印制板总规范</w:t>
      </w:r>
    </w:p>
    <w:p>
      <w:pPr>
        <w:pStyle w:val="2"/>
        <w:spacing w:before="120" w:beforeLines="50" w:after="120" w:afterLines="50" w:line="360" w:lineRule="auto"/>
      </w:pPr>
      <w:bookmarkStart w:id="73" w:name="_Toc27843"/>
      <w:bookmarkStart w:id="74" w:name="_Toc28765"/>
      <w:bookmarkStart w:id="75" w:name="_Toc15939"/>
      <w:bookmarkStart w:id="76" w:name="_Toc10835"/>
      <w:bookmarkStart w:id="77" w:name="_Toc7809"/>
      <w:bookmarkStart w:id="78" w:name="_Toc169290933"/>
      <w:bookmarkStart w:id="79" w:name="_Toc16306"/>
      <w:bookmarkStart w:id="80" w:name="_Toc1800"/>
      <w:r>
        <w:rPr>
          <w:rFonts w:hint="eastAsia"/>
        </w:rPr>
        <w:t>项目内容</w:t>
      </w:r>
      <w:bookmarkEnd w:id="73"/>
      <w:bookmarkEnd w:id="74"/>
      <w:bookmarkEnd w:id="75"/>
      <w:bookmarkEnd w:id="76"/>
      <w:bookmarkEnd w:id="77"/>
      <w:bookmarkEnd w:id="78"/>
      <w:bookmarkEnd w:id="79"/>
      <w:bookmarkEnd w:id="80"/>
    </w:p>
    <w:p>
      <w:pPr>
        <w:pStyle w:val="25"/>
        <w:spacing w:line="360" w:lineRule="auto"/>
        <w:ind w:firstLine="480" w:firstLineChars="200"/>
        <w:rPr>
          <w:rFonts w:ascii="Times New Roman" w:hAnsi="Times New Roman"/>
          <w:sz w:val="24"/>
          <w:szCs w:val="24"/>
        </w:rPr>
      </w:pPr>
      <w:r>
        <w:rPr>
          <w:rFonts w:hint="eastAsia" w:ascii="Times New Roman" w:hAnsi="Times New Roman"/>
          <w:sz w:val="24"/>
          <w:szCs w:val="24"/>
        </w:rPr>
        <w:t>本项目要求按采购人需求提供综保模块测试硬件板卡试制服务，交付综保模块测试硬件板卡。</w:t>
      </w:r>
    </w:p>
    <w:p>
      <w:pPr>
        <w:pStyle w:val="25"/>
        <w:spacing w:line="360" w:lineRule="auto"/>
        <w:ind w:firstLine="480" w:firstLineChars="200"/>
        <w:rPr>
          <w:rFonts w:ascii="Times New Roman" w:hAnsi="Times New Roman"/>
          <w:sz w:val="24"/>
          <w:szCs w:val="24"/>
        </w:rPr>
      </w:pPr>
      <w:r>
        <w:rPr>
          <w:rFonts w:hint="eastAsia" w:ascii="Times New Roman" w:hAnsi="Times New Roman"/>
          <w:sz w:val="24"/>
          <w:szCs w:val="24"/>
        </w:rPr>
        <w:t>项目内容包括：</w:t>
      </w:r>
    </w:p>
    <w:p>
      <w:pPr>
        <w:pStyle w:val="25"/>
        <w:numPr>
          <w:ilvl w:val="0"/>
          <w:numId w:val="6"/>
        </w:numPr>
        <w:spacing w:line="360" w:lineRule="auto"/>
        <w:ind w:firstLine="480" w:firstLineChars="200"/>
        <w:rPr>
          <w:rFonts w:ascii="Times New Roman" w:hAnsi="Times New Roman"/>
          <w:sz w:val="24"/>
          <w:szCs w:val="24"/>
        </w:rPr>
      </w:pPr>
      <w:r>
        <w:rPr>
          <w:rFonts w:hint="eastAsia" w:ascii="Times New Roman" w:hAnsi="Times New Roman"/>
          <w:sz w:val="24"/>
          <w:szCs w:val="24"/>
        </w:rPr>
        <w:t>提供组成综保模块测试硬件板卡的元器件物料供应服务：包括但不限于模拟类、电源类、逻辑类、存储类、防护类、传感类、隔离类、通信接口类、时钟类等类型集成电路IC和模块、连接器、互感器、继电器、阻容感分立元器件等各类元器件的供货；</w:t>
      </w:r>
    </w:p>
    <w:p>
      <w:pPr>
        <w:pStyle w:val="25"/>
        <w:numPr>
          <w:ilvl w:val="0"/>
          <w:numId w:val="6"/>
        </w:numPr>
        <w:spacing w:line="360" w:lineRule="auto"/>
        <w:ind w:firstLine="480" w:firstLineChars="200"/>
        <w:rPr>
          <w:rFonts w:ascii="Times New Roman" w:hAnsi="Times New Roman"/>
          <w:sz w:val="24"/>
          <w:szCs w:val="24"/>
        </w:rPr>
      </w:pPr>
      <w:r>
        <w:rPr>
          <w:rFonts w:hint="eastAsia" w:ascii="Times New Roman" w:hAnsi="Times New Roman"/>
          <w:sz w:val="24"/>
          <w:szCs w:val="24"/>
        </w:rPr>
        <w:t>基于上述元器件物料，提供综保模块测试硬件板卡的PCB印刷与物料焊接（PCBA）；</w:t>
      </w:r>
    </w:p>
    <w:p>
      <w:pPr>
        <w:pStyle w:val="25"/>
        <w:numPr>
          <w:ilvl w:val="0"/>
          <w:numId w:val="6"/>
        </w:numPr>
        <w:spacing w:line="360" w:lineRule="auto"/>
        <w:ind w:firstLine="480" w:firstLineChars="200"/>
        <w:rPr>
          <w:rFonts w:ascii="Times New Roman" w:hAnsi="Times New Roman"/>
          <w:sz w:val="24"/>
          <w:szCs w:val="24"/>
        </w:rPr>
      </w:pPr>
      <w:r>
        <w:rPr>
          <w:rFonts w:hint="eastAsia" w:ascii="Times New Roman" w:hAnsi="Times New Roman"/>
          <w:sz w:val="24"/>
          <w:szCs w:val="24"/>
        </w:rPr>
        <w:t>完成组成综保模块测试硬件板卡的生产加工测试相关工作。</w:t>
      </w:r>
    </w:p>
    <w:p>
      <w:pPr>
        <w:pStyle w:val="2"/>
        <w:spacing w:before="120" w:beforeLines="50" w:after="120" w:afterLines="50" w:line="360" w:lineRule="auto"/>
      </w:pPr>
      <w:bookmarkStart w:id="81" w:name="_Toc32714"/>
      <w:bookmarkStart w:id="82" w:name="_Toc17030"/>
      <w:bookmarkStart w:id="83" w:name="_Toc23241"/>
      <w:bookmarkStart w:id="84" w:name="_Toc16255"/>
      <w:bookmarkStart w:id="85" w:name="_Toc169290934"/>
      <w:bookmarkStart w:id="86" w:name="_Toc2470"/>
      <w:bookmarkStart w:id="87" w:name="_Toc8682"/>
      <w:bookmarkStart w:id="88" w:name="_Toc7896"/>
      <w:r>
        <w:rPr>
          <w:rFonts w:hint="eastAsia"/>
        </w:rPr>
        <w:t>技术要求</w:t>
      </w:r>
      <w:bookmarkEnd w:id="81"/>
      <w:bookmarkEnd w:id="82"/>
      <w:bookmarkEnd w:id="83"/>
      <w:bookmarkEnd w:id="84"/>
      <w:bookmarkEnd w:id="85"/>
      <w:bookmarkEnd w:id="86"/>
      <w:bookmarkEnd w:id="87"/>
      <w:bookmarkEnd w:id="88"/>
    </w:p>
    <w:p>
      <w:pPr>
        <w:pStyle w:val="3"/>
        <w:spacing w:before="120" w:beforeLines="50" w:after="120" w:afterLines="50"/>
      </w:pPr>
      <w:bookmarkStart w:id="89" w:name="_Toc15884"/>
      <w:bookmarkStart w:id="90" w:name="_Toc17736"/>
      <w:bookmarkStart w:id="91" w:name="_Toc32169"/>
      <w:bookmarkStart w:id="92" w:name="_Toc2735"/>
      <w:bookmarkStart w:id="93" w:name="_Toc12356"/>
      <w:bookmarkStart w:id="94" w:name="_Toc19475"/>
      <w:bookmarkStart w:id="95" w:name="_Toc7358"/>
      <w:bookmarkStart w:id="96" w:name="_Toc169290936"/>
      <w:r>
        <w:rPr>
          <w:rFonts w:hint="eastAsia"/>
        </w:rPr>
        <w:t>总体要求</w:t>
      </w:r>
      <w:bookmarkEnd w:id="89"/>
      <w:bookmarkEnd w:id="90"/>
      <w:bookmarkEnd w:id="91"/>
      <w:bookmarkEnd w:id="92"/>
      <w:bookmarkEnd w:id="93"/>
    </w:p>
    <w:p>
      <w:pPr>
        <w:pStyle w:val="4"/>
        <w:spacing w:before="120" w:after="120"/>
      </w:pPr>
      <w:r>
        <w:rPr>
          <w:rFonts w:hint="eastAsia"/>
        </w:rPr>
        <w:t>响应单位资质要求</w:t>
      </w:r>
    </w:p>
    <w:p>
      <w:pPr>
        <w:pStyle w:val="25"/>
        <w:numPr>
          <w:ilvl w:val="255"/>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rPr>
        <w:t>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pStyle w:val="25"/>
        <w:numPr>
          <w:ilvl w:val="255"/>
          <w:numId w:val="0"/>
        </w:numPr>
        <w:spacing w:line="360" w:lineRule="auto"/>
        <w:ind w:firstLine="480" w:firstLineChars="200"/>
        <w:rPr>
          <w:rFonts w:hint="eastAsia" w:ascii="Times New Roman" w:hAnsi="Times New Roman"/>
          <w:sz w:val="24"/>
          <w:szCs w:val="24"/>
        </w:rPr>
      </w:pPr>
      <w:r>
        <w:rPr>
          <w:rFonts w:hint="eastAsia" w:ascii="Times New Roman" w:hAnsi="Times New Roman"/>
          <w:sz w:val="24"/>
          <w:szCs w:val="24"/>
        </w:rPr>
        <w:t>2、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响应资格的处罚期内。</w:t>
      </w:r>
    </w:p>
    <w:p>
      <w:pPr>
        <w:pStyle w:val="25"/>
        <w:numPr>
          <w:ilvl w:val="255"/>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rPr>
        <w:t>不接受联合体参与。</w:t>
      </w:r>
    </w:p>
    <w:p>
      <w:pPr>
        <w:pStyle w:val="25"/>
        <w:numPr>
          <w:ilvl w:val="255"/>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lang w:val="en-US" w:eastAsia="zh-CN"/>
        </w:rPr>
        <w:t>4</w:t>
      </w:r>
      <w:r>
        <w:rPr>
          <w:rFonts w:hint="eastAsia" w:ascii="Times New Roman" w:hAnsi="Times New Roman"/>
          <w:sz w:val="24"/>
          <w:szCs w:val="24"/>
        </w:rPr>
        <w:t>、响应单位需提供印制电路板制造项目案例不少于3个，须提供中标通知书或合同关键页或项目任务书（首页、服务内容页、盖章、签字页扫描件）或验收证书（应包含服务内容页、盖章签字页等页面）或采购订单等作为证明材料。</w:t>
      </w:r>
    </w:p>
    <w:p>
      <w:pPr>
        <w:pStyle w:val="25"/>
        <w:numPr>
          <w:ilvl w:val="255"/>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lang w:val="en-US" w:eastAsia="zh-CN"/>
        </w:rPr>
        <w:t>5</w:t>
      </w:r>
      <w:r>
        <w:rPr>
          <w:rFonts w:hint="eastAsia" w:ascii="Times New Roman" w:hAnsi="Times New Roman"/>
          <w:sz w:val="24"/>
          <w:szCs w:val="24"/>
        </w:rPr>
        <w:t>、响应单位需提供广东地区本地化服务承诺函。</w:t>
      </w:r>
    </w:p>
    <w:p>
      <w:pPr>
        <w:pStyle w:val="25"/>
        <w:numPr>
          <w:ilvl w:val="255"/>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lang w:val="en-US" w:eastAsia="zh-CN"/>
        </w:rPr>
        <w:t>6</w:t>
      </w:r>
      <w:r>
        <w:rPr>
          <w:rFonts w:hint="eastAsia" w:ascii="Times New Roman" w:hAnsi="Times New Roman"/>
          <w:sz w:val="24"/>
          <w:szCs w:val="24"/>
        </w:rPr>
        <w:t>、响应单位需提供项目服务承诺函，模板参见附件。</w:t>
      </w:r>
    </w:p>
    <w:p>
      <w:pPr>
        <w:pStyle w:val="4"/>
        <w:spacing w:before="120" w:after="120"/>
      </w:pPr>
      <w:r>
        <w:rPr>
          <w:rFonts w:hint="eastAsia"/>
        </w:rPr>
        <w:t>综保模块测试硬件板卡生产批次要求</w:t>
      </w:r>
    </w:p>
    <w:p>
      <w:pPr>
        <w:pStyle w:val="25"/>
        <w:numPr>
          <w:ilvl w:val="255"/>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rPr>
        <w:t>综保模块测试硬件板卡含有9类硬件板卡。</w:t>
      </w:r>
    </w:p>
    <w:p>
      <w:pPr>
        <w:pStyle w:val="25"/>
        <w:numPr>
          <w:ilvl w:val="255"/>
          <w:numId w:val="0"/>
        </w:numPr>
        <w:spacing w:line="360" w:lineRule="auto"/>
        <w:ind w:firstLine="480" w:firstLineChars="200"/>
        <w:rPr>
          <w:rFonts w:ascii="Times New Roman" w:hAnsi="Times New Roman"/>
          <w:sz w:val="24"/>
          <w:szCs w:val="24"/>
          <w:highlight w:val="yellow"/>
        </w:rPr>
      </w:pPr>
      <w:r>
        <w:rPr>
          <w:rFonts w:hint="eastAsia" w:ascii="Times New Roman" w:hAnsi="Times New Roman"/>
          <w:sz w:val="24"/>
          <w:szCs w:val="24"/>
        </w:rPr>
        <w:t>在本次硬件平台代工生产过程中，总计需要生产两批硬件板卡。各批次所需交付的板卡数量如下：</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0"/>
        <w:gridCol w:w="1809"/>
        <w:gridCol w:w="1824"/>
        <w:gridCol w:w="1810"/>
        <w:gridCol w:w="1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shd w:val="clear" w:color="auto" w:fill="BEBEBE" w:themeFill="background1" w:themeFillShade="BF"/>
            <w:vAlign w:val="center"/>
          </w:tcPr>
          <w:p>
            <w:pPr>
              <w:pStyle w:val="4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hint="eastAsia" w:ascii="Times New Roman" w:hAnsi="Times New Roman" w:cs="Times New Roman"/>
                <w:b/>
                <w:bCs/>
                <w:sz w:val="21"/>
                <w:szCs w:val="21"/>
              </w:rPr>
              <w:t>硬件平台</w:t>
            </w:r>
          </w:p>
        </w:tc>
        <w:tc>
          <w:tcPr>
            <w:tcW w:w="1809" w:type="dxa"/>
            <w:shd w:val="clear" w:color="auto" w:fill="BEBEBE" w:themeFill="background1" w:themeFillShade="BF"/>
            <w:vAlign w:val="center"/>
          </w:tcPr>
          <w:p>
            <w:pPr>
              <w:pStyle w:val="4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hint="eastAsia" w:ascii="Times New Roman" w:hAnsi="Times New Roman" w:cs="Times New Roman"/>
                <w:b/>
                <w:bCs/>
                <w:sz w:val="21"/>
                <w:szCs w:val="21"/>
              </w:rPr>
              <w:t>板卡名称</w:t>
            </w:r>
          </w:p>
        </w:tc>
        <w:tc>
          <w:tcPr>
            <w:tcW w:w="1824" w:type="dxa"/>
            <w:shd w:val="clear" w:color="auto" w:fill="BEBEBE" w:themeFill="background1" w:themeFillShade="BF"/>
            <w:vAlign w:val="center"/>
          </w:tcPr>
          <w:p>
            <w:pPr>
              <w:pStyle w:val="4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hint="eastAsia" w:ascii="Times New Roman" w:hAnsi="Times New Roman" w:cs="Times New Roman"/>
                <w:b/>
                <w:bCs/>
                <w:sz w:val="21"/>
                <w:szCs w:val="21"/>
              </w:rPr>
              <w:t>总数量（块）</w:t>
            </w:r>
          </w:p>
        </w:tc>
        <w:tc>
          <w:tcPr>
            <w:tcW w:w="1810" w:type="dxa"/>
            <w:shd w:val="clear" w:color="auto" w:fill="BEBEBE" w:themeFill="background1" w:themeFillShade="BF"/>
            <w:vAlign w:val="center"/>
          </w:tcPr>
          <w:p>
            <w:pPr>
              <w:pStyle w:val="4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hint="eastAsia" w:ascii="Times New Roman" w:hAnsi="Times New Roman" w:cs="Times New Roman"/>
                <w:b/>
                <w:bCs/>
                <w:sz w:val="21"/>
                <w:szCs w:val="21"/>
              </w:rPr>
              <w:t>第一批次数量</w:t>
            </w:r>
          </w:p>
        </w:tc>
        <w:tc>
          <w:tcPr>
            <w:tcW w:w="1810" w:type="dxa"/>
            <w:shd w:val="clear" w:color="auto" w:fill="BEBEBE" w:themeFill="background1" w:themeFillShade="BF"/>
            <w:vAlign w:val="center"/>
          </w:tcPr>
          <w:p>
            <w:pPr>
              <w:pStyle w:val="4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hint="eastAsia" w:ascii="Times New Roman" w:hAnsi="Times New Roman" w:cs="Times New Roman"/>
                <w:b/>
                <w:bCs/>
                <w:sz w:val="21"/>
                <w:szCs w:val="21"/>
              </w:rPr>
              <w:t>第二批次数量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restart"/>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综保模块测试硬件板卡</w:t>
            </w: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B板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C板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D1板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D2板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G板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H板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J1板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810" w:type="dxa"/>
            <w:vMerge w:val="continue"/>
            <w:vAlign w:val="center"/>
          </w:tcPr>
          <w:p>
            <w:pPr>
              <w:adjustRightInd w:val="0"/>
              <w:snapToGrid w:val="0"/>
              <w:spacing w:line="300" w:lineRule="auto"/>
              <w:jc w:val="center"/>
              <w:rPr>
                <w:rFonts w:hint="eastAsia" w:asciiTheme="minorEastAsia" w:hAnsiTheme="minorEastAsia" w:eastAsiaTheme="minorEastAsia" w:cstheme="minorEastAsia"/>
                <w:szCs w:val="21"/>
              </w:rPr>
            </w:pPr>
          </w:p>
        </w:tc>
        <w:tc>
          <w:tcPr>
            <w:tcW w:w="1809"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J2板</w:t>
            </w:r>
          </w:p>
        </w:tc>
        <w:tc>
          <w:tcPr>
            <w:tcW w:w="1824"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1810" w:type="dxa"/>
            <w:vAlign w:val="center"/>
          </w:tcPr>
          <w:p>
            <w:pPr>
              <w:adjustRightInd w:val="0"/>
              <w:snapToGrid w:val="0"/>
              <w:spacing w:line="30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r>
    </w:tbl>
    <w:p/>
    <w:p>
      <w:pPr>
        <w:pStyle w:val="4"/>
        <w:spacing w:before="120" w:after="120"/>
      </w:pPr>
      <w:r>
        <w:rPr>
          <w:rFonts w:hint="eastAsia"/>
        </w:rPr>
        <w:t>元器件物料及生产加工</w:t>
      </w:r>
    </w:p>
    <w:p>
      <w:pPr>
        <w:autoSpaceDE w:val="0"/>
        <w:spacing w:line="360" w:lineRule="auto"/>
        <w:ind w:firstLine="480" w:firstLineChars="200"/>
        <w:rPr>
          <w:sz w:val="24"/>
        </w:rPr>
      </w:pPr>
      <w:r>
        <w:rPr>
          <w:rFonts w:hint="eastAsia"/>
          <w:sz w:val="24"/>
        </w:rPr>
        <w:t>报价人需根据采购人提供的物料清单进行生产加工，若需要替换物料，需提供替换物料方案（包含替换物料数据规格书）给采购人审核，采购人审核通过才能进行生产加工。</w:t>
      </w:r>
    </w:p>
    <w:p>
      <w:pPr>
        <w:autoSpaceDE w:val="0"/>
        <w:spacing w:line="360" w:lineRule="auto"/>
        <w:ind w:firstLine="480" w:firstLineChars="200"/>
        <w:rPr>
          <w:sz w:val="24"/>
        </w:rPr>
      </w:pPr>
      <w:r>
        <w:rPr>
          <w:rFonts w:hint="eastAsia"/>
          <w:sz w:val="24"/>
        </w:rPr>
        <w:t>在正式投产前，报价人需与采购人进行生产工艺和参数等方面技术确认，生产方案经采购人审核通过后，才能进行生产加工。</w:t>
      </w:r>
    </w:p>
    <w:p>
      <w:pPr>
        <w:pStyle w:val="3"/>
        <w:spacing w:before="120" w:beforeLines="50" w:after="120" w:afterLines="50"/>
      </w:pPr>
      <w:bookmarkStart w:id="97" w:name="_Toc24878"/>
      <w:bookmarkStart w:id="98" w:name="_Toc27868"/>
      <w:bookmarkStart w:id="99" w:name="_Toc3570"/>
      <w:bookmarkStart w:id="100" w:name="_Toc12333"/>
      <w:bookmarkStart w:id="101" w:name="_Toc10147"/>
      <w:r>
        <w:rPr>
          <w:rFonts w:hint="eastAsia"/>
        </w:rPr>
        <w:t>综保模块测试硬件板卡器件</w:t>
      </w:r>
      <w:bookmarkEnd w:id="94"/>
      <w:bookmarkEnd w:id="95"/>
      <w:bookmarkEnd w:id="96"/>
      <w:r>
        <w:rPr>
          <w:rFonts w:hint="eastAsia"/>
        </w:rPr>
        <w:t>需求及加工要求</w:t>
      </w:r>
      <w:bookmarkEnd w:id="97"/>
      <w:bookmarkEnd w:id="98"/>
      <w:bookmarkEnd w:id="99"/>
      <w:bookmarkEnd w:id="100"/>
      <w:bookmarkEnd w:id="101"/>
    </w:p>
    <w:p>
      <w:pPr>
        <w:pStyle w:val="234"/>
        <w:ind w:firstLine="420" w:firstLineChars="0"/>
      </w:pPr>
      <w:r>
        <w:rPr>
          <w:rFonts w:hint="eastAsia"/>
        </w:rPr>
        <w:t>各板卡器件需求及加工要求如下。本节所附物料清单中器件数量，为单卡需求量乘以 2 批次交付数量的合计总数。物料清单仅用于报价核算使用，不作为生产依据；最终生产发料及装配，以采购人正式下发的各板卡生产物料清单（BOM）为准。</w:t>
      </w:r>
    </w:p>
    <w:p>
      <w:pPr>
        <w:pStyle w:val="4"/>
        <w:spacing w:before="120" w:after="120"/>
      </w:pPr>
      <w:r>
        <w:rPr>
          <w:rFonts w:hint="eastAsia"/>
        </w:rPr>
        <w:t>A板器件需求及加工要求</w:t>
      </w:r>
    </w:p>
    <w:p>
      <w:pPr>
        <w:jc w:val="center"/>
        <w:rPr>
          <w:rFonts w:eastAsia="黑体"/>
        </w:rPr>
      </w:pPr>
      <w:r>
        <w:rPr>
          <w:rFonts w:hint="eastAsia" w:eastAsia="黑体"/>
          <w:sz w:val="24"/>
        </w:rPr>
        <w:t>表4-1 A板器件需求及加工要求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hAnsi="宋体"/>
                <w:sz w:val="20"/>
                <w:szCs w:val="20"/>
              </w:rPr>
              <w:t>A板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7"/>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第一批共计交付5块，第二批共计交付20块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7"/>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卡长宽200mm×150mm（±10%），厚度不大于2mm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7"/>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7"/>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孔径：10-60mil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7"/>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pStyle w:val="4"/>
        <w:spacing w:before="120" w:after="120"/>
      </w:pPr>
      <w:r>
        <w:rPr>
          <w:rFonts w:hint="eastAsia"/>
        </w:rPr>
        <w:t>B板器件需求及加工要求</w:t>
      </w:r>
    </w:p>
    <w:p>
      <w:pPr>
        <w:jc w:val="center"/>
        <w:rPr>
          <w:rFonts w:eastAsia="黑体"/>
        </w:rPr>
      </w:pPr>
      <w:r>
        <w:rPr>
          <w:rFonts w:hint="eastAsia" w:eastAsia="黑体"/>
          <w:sz w:val="24"/>
        </w:rPr>
        <w:t>表4-2 B板加工需求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szCs w:val="21"/>
              </w:rPr>
              <w:t>B板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8"/>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第一批共计交付5块，第二批共计交付20块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8"/>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卡长宽55mm×35mm（±10%），厚度不大于2mm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8"/>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8"/>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孔径：10-60mil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8"/>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jc w:val="center"/>
        <w:rPr>
          <w:rFonts w:eastAsia="黑体"/>
          <w:sz w:val="24"/>
        </w:rPr>
      </w:pPr>
    </w:p>
    <w:p>
      <w:pPr>
        <w:pStyle w:val="4"/>
        <w:spacing w:before="120" w:after="120"/>
      </w:pPr>
      <w:r>
        <w:rPr>
          <w:rFonts w:hint="eastAsia"/>
        </w:rPr>
        <w:t>C板器件需求及加工要求</w:t>
      </w:r>
    </w:p>
    <w:p>
      <w:pPr>
        <w:jc w:val="center"/>
        <w:rPr>
          <w:rFonts w:eastAsia="黑体"/>
        </w:rPr>
      </w:pPr>
      <w:r>
        <w:rPr>
          <w:rFonts w:hint="eastAsia" w:eastAsia="黑体"/>
          <w:sz w:val="24"/>
        </w:rPr>
        <w:t>表4-3 C板器件需求及加工要求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hAnsi="宋体"/>
                <w:sz w:val="20"/>
                <w:szCs w:val="20"/>
              </w:rPr>
              <w:t>C板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9"/>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第一批共计交付15块，第二批共计交付0块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9"/>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卡长宽103mm×34mm，厚度不大于2mm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9"/>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9"/>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孔径：5-40mil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9"/>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pStyle w:val="4"/>
        <w:spacing w:before="120" w:after="120"/>
      </w:pPr>
      <w:r>
        <w:rPr>
          <w:rFonts w:hint="eastAsia"/>
        </w:rPr>
        <w:t>D1板器件需求及加工要求</w:t>
      </w:r>
    </w:p>
    <w:p>
      <w:pPr>
        <w:jc w:val="center"/>
        <w:rPr>
          <w:rFonts w:eastAsia="黑体"/>
        </w:rPr>
      </w:pPr>
      <w:r>
        <w:rPr>
          <w:rFonts w:hint="eastAsia" w:eastAsia="黑体"/>
          <w:sz w:val="24"/>
        </w:rPr>
        <w:t>表4-4 D1板加工需求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szCs w:val="21"/>
              </w:rPr>
              <w:t>D1板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0"/>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第一批共计交付50块，第二批共计交付0块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0"/>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卡长宽103mm×34mm，厚度不大于2mm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0"/>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0"/>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孔径：10-20mil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0"/>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pStyle w:val="4"/>
        <w:spacing w:before="120" w:after="120"/>
      </w:pPr>
      <w:r>
        <w:rPr>
          <w:rFonts w:hint="eastAsia"/>
        </w:rPr>
        <w:t>D2板器件需求及加工要求</w:t>
      </w:r>
    </w:p>
    <w:p>
      <w:pPr>
        <w:jc w:val="center"/>
        <w:rPr>
          <w:rFonts w:eastAsia="黑体"/>
        </w:rPr>
      </w:pPr>
      <w:r>
        <w:rPr>
          <w:rFonts w:hint="eastAsia" w:eastAsia="黑体"/>
          <w:sz w:val="24"/>
        </w:rPr>
        <w:t>表4-5 D2板器件需求及加工要求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hAnsi="宋体"/>
                <w:sz w:val="20"/>
                <w:szCs w:val="20"/>
              </w:rPr>
              <w:t>D2板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1"/>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第一批共计交付50块，第二批共计交付0块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1"/>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卡长宽103mm×34mm，厚度不大于2mm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1"/>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1"/>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孔径：10-20mil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1"/>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pStyle w:val="4"/>
        <w:spacing w:before="120" w:after="120"/>
      </w:pPr>
      <w:r>
        <w:rPr>
          <w:rFonts w:hint="eastAsia"/>
        </w:rPr>
        <w:t>G板器件需求及加工要求</w:t>
      </w:r>
    </w:p>
    <w:p>
      <w:pPr>
        <w:jc w:val="center"/>
        <w:rPr>
          <w:rFonts w:eastAsia="黑体"/>
        </w:rPr>
      </w:pPr>
      <w:r>
        <w:rPr>
          <w:rFonts w:hint="eastAsia" w:eastAsia="黑体"/>
          <w:sz w:val="24"/>
        </w:rPr>
        <w:t>表4-6 G板加工需求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szCs w:val="21"/>
              </w:rPr>
              <w:t>G板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2"/>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第一批共计交付0块，第二批共计交付20块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2"/>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卡长宽99mm×30mm，厚度不大于2mm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2"/>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2层或4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2"/>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孔径：10-20mil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2"/>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jc w:val="center"/>
        <w:rPr>
          <w:rFonts w:eastAsia="黑体"/>
          <w:sz w:val="24"/>
        </w:rPr>
      </w:pPr>
    </w:p>
    <w:p>
      <w:pPr>
        <w:pStyle w:val="4"/>
        <w:spacing w:before="120" w:after="120"/>
      </w:pPr>
      <w:r>
        <w:rPr>
          <w:rFonts w:hint="eastAsia"/>
        </w:rPr>
        <w:t>H板器件需求及加工要求</w:t>
      </w:r>
    </w:p>
    <w:p>
      <w:pPr>
        <w:jc w:val="center"/>
        <w:rPr>
          <w:rFonts w:eastAsia="黑体"/>
        </w:rPr>
      </w:pPr>
      <w:r>
        <w:rPr>
          <w:rFonts w:hint="eastAsia" w:eastAsia="黑体"/>
          <w:sz w:val="24"/>
        </w:rPr>
        <w:t>表4-7 H板器件需求及加工要求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hAnsi="宋体"/>
                <w:sz w:val="20"/>
                <w:szCs w:val="20"/>
              </w:rPr>
              <w:t>H板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3"/>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第一批共计交付0块，第二批共计交付20块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3"/>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卡长宽133mm×49mm，厚度不大于2mm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3"/>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2层或4</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3"/>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孔径：10-20mil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铜厚：表层0.5oz，内层1oz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3"/>
              </w:numPr>
              <w:ind w:left="0"/>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pStyle w:val="4"/>
        <w:spacing w:before="120" w:after="120"/>
      </w:pPr>
      <w:r>
        <w:rPr>
          <w:rFonts w:hint="eastAsia"/>
        </w:rPr>
        <w:t>J1板器件需求及加工要求</w:t>
      </w:r>
    </w:p>
    <w:p>
      <w:pPr>
        <w:jc w:val="center"/>
        <w:rPr>
          <w:rFonts w:eastAsia="黑体"/>
        </w:rPr>
      </w:pPr>
      <w:r>
        <w:rPr>
          <w:rFonts w:hint="eastAsia" w:eastAsia="黑体"/>
          <w:sz w:val="24"/>
        </w:rPr>
        <w:t>表4-8 J1板加工需求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szCs w:val="21"/>
              </w:rPr>
              <w:t>J1板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4"/>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第一批共计交付0块，第二批共计交付20块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4"/>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卡长宽164mm×104mm，厚度不大于2mm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4"/>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2</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4"/>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孔径：10-60mil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4"/>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jc w:val="center"/>
        <w:rPr>
          <w:rFonts w:eastAsia="黑体"/>
          <w:sz w:val="24"/>
        </w:rPr>
      </w:pPr>
    </w:p>
    <w:p>
      <w:pPr>
        <w:pStyle w:val="4"/>
        <w:spacing w:before="120" w:after="120"/>
      </w:pPr>
      <w:r>
        <w:rPr>
          <w:rFonts w:hint="eastAsia"/>
        </w:rPr>
        <w:t>J2板器件需求及加工要求</w:t>
      </w:r>
    </w:p>
    <w:p>
      <w:pPr>
        <w:jc w:val="center"/>
        <w:rPr>
          <w:rFonts w:eastAsia="黑体"/>
        </w:rPr>
      </w:pPr>
      <w:r>
        <w:rPr>
          <w:rFonts w:hint="eastAsia" w:eastAsia="黑体"/>
          <w:sz w:val="24"/>
        </w:rPr>
        <w:t>表4-9 J2板器件需求及加工要求</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715"/>
        <w:gridCol w:w="659"/>
        <w:gridCol w:w="7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334"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子板号</w:t>
            </w:r>
          </w:p>
        </w:tc>
        <w:tc>
          <w:tcPr>
            <w:tcW w:w="38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需求ID号</w:t>
            </w:r>
          </w:p>
        </w:tc>
        <w:tc>
          <w:tcPr>
            <w:tcW w:w="35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需求分项</w:t>
            </w:r>
          </w:p>
        </w:tc>
        <w:tc>
          <w:tcPr>
            <w:tcW w:w="3925"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pPr>
              <w:jc w:val="center"/>
              <w:rPr>
                <w:rFonts w:ascii="宋体"/>
                <w:b/>
                <w:sz w:val="20"/>
                <w:szCs w:val="20"/>
              </w:rPr>
            </w:pPr>
            <w:r>
              <w:rPr>
                <w:rFonts w:hint="eastAsia" w:ascii="宋体"/>
                <w:b/>
                <w:sz w:val="20"/>
                <w:szCs w:val="20"/>
              </w:rPr>
              <w:t>需求描述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334" w:type="pct"/>
            <w:vMerge w:val="restart"/>
            <w:tcBorders>
              <w:top w:val="single" w:color="000000" w:sz="4" w:space="0"/>
              <w:left w:val="single" w:color="000000" w:sz="4" w:space="0"/>
              <w:right w:val="single" w:color="000000" w:sz="4" w:space="0"/>
            </w:tcBorders>
            <w:noWrap/>
            <w:vAlign w:val="center"/>
          </w:tcPr>
          <w:p>
            <w:pPr>
              <w:jc w:val="center"/>
              <w:rPr>
                <w:rFonts w:ascii="宋体"/>
                <w:szCs w:val="21"/>
              </w:rPr>
            </w:pPr>
            <w:r>
              <w:rPr>
                <w:rFonts w:hint="eastAsia" w:ascii="宋体" w:hAnsi="宋体"/>
                <w:sz w:val="20"/>
                <w:szCs w:val="20"/>
              </w:rPr>
              <w:t>J2板</w:t>
            </w: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5"/>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cs="Arial"/>
                <w:szCs w:val="21"/>
              </w:rPr>
            </w:pPr>
            <w:r>
              <w:rPr>
                <w:rFonts w:hint="eastAsia" w:ascii="宋体" w:cs="Arial"/>
                <w:szCs w:val="21"/>
              </w:rPr>
              <w:t>数量</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第一批共计交付0块，第二批共计交付20块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5"/>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尺寸</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ascii="宋体"/>
                <w:szCs w:val="21"/>
              </w:rPr>
              <w:t>板</w:t>
            </w:r>
            <w:r>
              <w:rPr>
                <w:rFonts w:hint="eastAsia" w:ascii="宋体"/>
                <w:szCs w:val="21"/>
              </w:rPr>
              <w:t>卡长宽164mm×104mm，厚度不大于2mm</w:t>
            </w:r>
            <w:r>
              <w:rPr>
                <w:rFonts w:ascii="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5"/>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PCB层数</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2</w:t>
            </w:r>
            <w:r>
              <w:rPr>
                <w:rFonts w:ascii="宋体"/>
                <w:szCs w:val="21"/>
              </w:rPr>
              <w:t>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334" w:type="pct"/>
            <w:vMerge w:val="continue"/>
            <w:tcBorders>
              <w:left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5"/>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工艺</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孔径：10-60mil</w:t>
            </w:r>
          </w:p>
          <w:p>
            <w:pPr>
              <w:jc w:val="center"/>
              <w:rPr>
                <w:rFonts w:ascii="宋体"/>
                <w:szCs w:val="21"/>
              </w:rPr>
            </w:pPr>
            <w:r>
              <w:rPr>
                <w:rFonts w:hint="eastAsia" w:ascii="宋体"/>
                <w:szCs w:val="21"/>
              </w:rPr>
              <w:t>表层处理方式：无铅喷锡</w:t>
            </w:r>
          </w:p>
          <w:p>
            <w:pPr>
              <w:jc w:val="center"/>
              <w:rPr>
                <w:rFonts w:ascii="宋体"/>
                <w:szCs w:val="21"/>
              </w:rPr>
            </w:pPr>
            <w:r>
              <w:rPr>
                <w:rFonts w:hint="eastAsia" w:ascii="宋体"/>
                <w:szCs w:val="21"/>
              </w:rPr>
              <w:t>板材：普通板材</w:t>
            </w:r>
          </w:p>
          <w:p>
            <w:pPr>
              <w:jc w:val="center"/>
              <w:rPr>
                <w:rFonts w:ascii="宋体"/>
                <w:szCs w:val="21"/>
              </w:rPr>
            </w:pPr>
            <w:r>
              <w:rPr>
                <w:rFonts w:hint="eastAsia" w:ascii="宋体"/>
                <w:szCs w:val="21"/>
              </w:rPr>
              <w:t>铜厚：表层0.5oz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334" w:type="pct"/>
            <w:vMerge w:val="continue"/>
            <w:tcBorders>
              <w:left w:val="single" w:color="000000" w:sz="4" w:space="0"/>
              <w:bottom w:val="single" w:color="000000" w:sz="4" w:space="0"/>
              <w:right w:val="single" w:color="000000" w:sz="4" w:space="0"/>
            </w:tcBorders>
            <w:noWrap/>
            <w:vAlign w:val="center"/>
          </w:tcPr>
          <w:p/>
        </w:tc>
        <w:tc>
          <w:tcPr>
            <w:tcW w:w="385" w:type="pct"/>
            <w:tcBorders>
              <w:top w:val="single" w:color="000000" w:sz="4" w:space="0"/>
              <w:left w:val="single" w:color="000000" w:sz="4" w:space="0"/>
              <w:bottom w:val="single" w:color="000000" w:sz="4" w:space="0"/>
              <w:right w:val="single" w:color="000000" w:sz="4" w:space="0"/>
            </w:tcBorders>
            <w:noWrap/>
            <w:vAlign w:val="center"/>
          </w:tcPr>
          <w:p>
            <w:pPr>
              <w:numPr>
                <w:ilvl w:val="0"/>
                <w:numId w:val="15"/>
              </w:numPr>
              <w:jc w:val="center"/>
              <w:rPr>
                <w:rFonts w:ascii="宋体"/>
                <w:szCs w:val="21"/>
              </w:rPr>
            </w:pPr>
          </w:p>
        </w:tc>
        <w:tc>
          <w:tcPr>
            <w:tcW w:w="35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器件需求</w:t>
            </w:r>
          </w:p>
        </w:tc>
        <w:tc>
          <w:tcPr>
            <w:tcW w:w="3925"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szCs w:val="21"/>
              </w:rPr>
            </w:pPr>
            <w:r>
              <w:rPr>
                <w:rFonts w:hint="eastAsia" w:ascii="宋体"/>
                <w:szCs w:val="21"/>
              </w:rPr>
              <w:t>详见《物料清单》</w:t>
            </w:r>
          </w:p>
        </w:tc>
      </w:tr>
    </w:tbl>
    <w:p>
      <w:pPr>
        <w:rPr>
          <w:rFonts w:eastAsia="黑体"/>
          <w:sz w:val="24"/>
        </w:rPr>
      </w:pPr>
    </w:p>
    <w:p>
      <w:pPr>
        <w:jc w:val="center"/>
        <w:rPr>
          <w:rFonts w:eastAsia="黑体"/>
          <w:sz w:val="24"/>
        </w:rPr>
      </w:pPr>
    </w:p>
    <w:p>
      <w:pPr>
        <w:pStyle w:val="2"/>
        <w:spacing w:before="120" w:beforeLines="50" w:after="120" w:afterLines="50" w:line="360" w:lineRule="auto"/>
      </w:pPr>
      <w:bookmarkStart w:id="102" w:name="_Toc23041"/>
      <w:bookmarkStart w:id="103" w:name="_Toc14841"/>
      <w:bookmarkStart w:id="104" w:name="_Toc7057"/>
      <w:bookmarkStart w:id="105" w:name="_Toc30633"/>
      <w:bookmarkStart w:id="106" w:name="_Toc1367"/>
      <w:bookmarkStart w:id="107" w:name="_Toc25726"/>
      <w:bookmarkStart w:id="108" w:name="_Toc25994"/>
      <w:bookmarkStart w:id="109" w:name="_Toc440887070"/>
      <w:bookmarkStart w:id="110" w:name="_Toc10358"/>
      <w:bookmarkStart w:id="111" w:name="_Toc16438"/>
      <w:bookmarkStart w:id="112" w:name="_Toc170"/>
      <w:bookmarkStart w:id="113" w:name="_Toc10263"/>
      <w:bookmarkStart w:id="114" w:name="_Toc4995"/>
      <w:bookmarkStart w:id="115" w:name="_Toc2773"/>
      <w:bookmarkStart w:id="116" w:name="_Toc28536"/>
      <w:bookmarkStart w:id="117" w:name="_Toc7432"/>
      <w:bookmarkStart w:id="118" w:name="_Toc32439"/>
      <w:bookmarkStart w:id="119" w:name="_Toc10685"/>
      <w:bookmarkStart w:id="120" w:name="_Toc516148942"/>
      <w:bookmarkStart w:id="121" w:name="_Toc28187"/>
      <w:bookmarkStart w:id="122" w:name="_Toc169290937"/>
      <w:bookmarkStart w:id="123" w:name="_Toc7186"/>
      <w:bookmarkStart w:id="124" w:name="_Toc13329"/>
      <w:bookmarkStart w:id="125" w:name="_Toc12843"/>
      <w:bookmarkStart w:id="126" w:name="_Toc19973"/>
      <w:bookmarkStart w:id="127" w:name="_Toc23822"/>
      <w:bookmarkStart w:id="128" w:name="_Toc26642"/>
      <w:bookmarkStart w:id="129" w:name="_Toc253420222"/>
      <w:r>
        <w:rPr>
          <w:rFonts w:hint="eastAsia"/>
        </w:rPr>
        <w:t>项目交付</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hint="eastAsia"/>
        </w:rPr>
        <w:t>要求</w:t>
      </w:r>
      <w:bookmarkEnd w:id="121"/>
      <w:bookmarkEnd w:id="122"/>
      <w:bookmarkEnd w:id="123"/>
      <w:bookmarkEnd w:id="124"/>
      <w:bookmarkEnd w:id="125"/>
      <w:bookmarkEnd w:id="126"/>
      <w:bookmarkEnd w:id="127"/>
      <w:bookmarkEnd w:id="128"/>
    </w:p>
    <w:p>
      <w:pPr>
        <w:spacing w:line="360" w:lineRule="auto"/>
        <w:ind w:firstLine="480" w:firstLineChars="200"/>
        <w:rPr>
          <w:sz w:val="24"/>
        </w:rPr>
      </w:pPr>
      <w:bookmarkStart w:id="130" w:name="_Toc162000314"/>
      <w:r>
        <w:rPr>
          <w:sz w:val="24"/>
        </w:rPr>
        <w:t>主要</w:t>
      </w:r>
      <w:r>
        <w:rPr>
          <w:rFonts w:hint="eastAsia"/>
          <w:sz w:val="24"/>
        </w:rPr>
        <w:t>交付物</w:t>
      </w:r>
      <w:r>
        <w:rPr>
          <w:sz w:val="24"/>
        </w:rPr>
        <w:t>清单</w:t>
      </w:r>
      <w:r>
        <w:rPr>
          <w:rFonts w:hint="eastAsia"/>
          <w:sz w:val="24"/>
        </w:rPr>
        <w:t>如下：</w:t>
      </w:r>
    </w:p>
    <w:tbl>
      <w:tblPr>
        <w:tblStyle w:val="44"/>
        <w:tblW w:w="903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4920"/>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211" w:type="dxa"/>
            <w:shd w:val="clear" w:color="auto" w:fill="BEBEBE" w:themeFill="background1" w:themeFillShade="BF"/>
            <w:vAlign w:val="center"/>
          </w:tcPr>
          <w:p>
            <w:pPr>
              <w:pStyle w:val="41"/>
              <w:widowControl w:val="0"/>
              <w:tabs>
                <w:tab w:val="left" w:pos="3283"/>
              </w:tabs>
              <w:spacing w:before="0" w:beforeAutospacing="0" w:after="0" w:afterAutospacing="0"/>
              <w:jc w:val="center"/>
              <w:rPr>
                <w:rFonts w:ascii="Times New Roman" w:hAnsi="Times New Roman" w:cs="Times New Roman"/>
                <w:b/>
                <w:bCs/>
                <w:sz w:val="21"/>
                <w:szCs w:val="21"/>
              </w:rPr>
            </w:pPr>
            <w:bookmarkStart w:id="131" w:name="_Toc27160"/>
            <w:bookmarkStart w:id="132" w:name="_Toc7032"/>
            <w:bookmarkStart w:id="133" w:name="_Toc169290938"/>
            <w:r>
              <w:rPr>
                <w:rFonts w:hint="eastAsia" w:ascii="Times New Roman" w:hAnsi="Times New Roman" w:cs="Times New Roman"/>
                <w:b/>
                <w:bCs/>
                <w:sz w:val="21"/>
                <w:szCs w:val="21"/>
              </w:rPr>
              <w:t>需求ID号</w:t>
            </w:r>
          </w:p>
        </w:tc>
        <w:tc>
          <w:tcPr>
            <w:tcW w:w="4920" w:type="dxa"/>
            <w:shd w:val="clear" w:color="auto" w:fill="BEBEBE" w:themeFill="background1" w:themeFillShade="BF"/>
            <w:vAlign w:val="center"/>
          </w:tcPr>
          <w:p>
            <w:pPr>
              <w:pStyle w:val="41"/>
              <w:widowControl w:val="0"/>
              <w:tabs>
                <w:tab w:val="left" w:pos="3283"/>
              </w:tabs>
              <w:spacing w:before="0" w:beforeAutospacing="0" w:after="0" w:afterAutospacing="0"/>
              <w:jc w:val="center"/>
              <w:rPr>
                <w:rFonts w:ascii="Times New Roman" w:hAnsi="Times New Roman" w:cs="Times New Roman"/>
                <w:b/>
                <w:bCs/>
                <w:sz w:val="21"/>
                <w:szCs w:val="21"/>
              </w:rPr>
            </w:pPr>
            <w:r>
              <w:rPr>
                <w:rFonts w:hint="eastAsia" w:ascii="Times New Roman" w:hAnsi="Times New Roman" w:cs="Times New Roman"/>
                <w:b/>
                <w:bCs/>
                <w:sz w:val="21"/>
                <w:szCs w:val="21"/>
              </w:rPr>
              <w:t>交付物</w:t>
            </w:r>
          </w:p>
        </w:tc>
        <w:tc>
          <w:tcPr>
            <w:tcW w:w="2907" w:type="dxa"/>
            <w:shd w:val="clear" w:color="auto" w:fill="BEBEBE" w:themeFill="background1" w:themeFillShade="BF"/>
            <w:vAlign w:val="center"/>
          </w:tcPr>
          <w:p>
            <w:pPr>
              <w:pStyle w:val="41"/>
              <w:widowControl w:val="0"/>
              <w:tabs>
                <w:tab w:val="left" w:pos="3283"/>
              </w:tabs>
              <w:spacing w:before="0" w:beforeAutospacing="0" w:after="0" w:afterAutospacing="0"/>
              <w:jc w:val="center"/>
              <w:rPr>
                <w:rFonts w:ascii="Times New Roman" w:hAnsi="Times New Roman" w:cs="Times New Roman"/>
                <w:b/>
                <w:bCs/>
                <w:sz w:val="21"/>
                <w:szCs w:val="21"/>
              </w:rPr>
            </w:pPr>
            <w:r>
              <w:rPr>
                <w:rFonts w:hint="eastAsia" w:ascii="Times New Roman" w:hAnsi="Times New Roman" w:cs="Times New Roman"/>
                <w:b/>
                <w:bCs/>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211" w:type="dxa"/>
            <w:vAlign w:val="center"/>
          </w:tcPr>
          <w:p>
            <w:pPr>
              <w:jc w:val="center"/>
              <w:rPr>
                <w:rFonts w:hint="eastAsia" w:ascii="宋体" w:hAnsi="宋体"/>
                <w:szCs w:val="21"/>
              </w:rPr>
            </w:pPr>
            <w:r>
              <w:rPr>
                <w:rFonts w:hint="eastAsia" w:ascii="宋体" w:hAnsi="宋体"/>
                <w:szCs w:val="21"/>
              </w:rPr>
              <w:t>1</w:t>
            </w:r>
          </w:p>
        </w:tc>
        <w:tc>
          <w:tcPr>
            <w:tcW w:w="4920" w:type="dxa"/>
            <w:vAlign w:val="center"/>
          </w:tcPr>
          <w:p>
            <w:pPr>
              <w:pStyle w:val="231"/>
              <w:rPr>
                <w:rFonts w:hint="default"/>
              </w:rPr>
            </w:pPr>
            <w:r>
              <w:rPr>
                <w:rFonts w:ascii="宋体" w:hAnsi="宋体"/>
                <w:szCs w:val="21"/>
              </w:rPr>
              <w:t>综保模块测试硬件板卡</w:t>
            </w:r>
            <w:r>
              <w:t>PCB生产工艺文件</w:t>
            </w:r>
          </w:p>
        </w:tc>
        <w:tc>
          <w:tcPr>
            <w:tcW w:w="2907" w:type="dxa"/>
            <w:vAlign w:val="center"/>
          </w:tcPr>
          <w:p>
            <w:pPr>
              <w:pStyle w:val="231"/>
              <w:rPr>
                <w:rFonts w:hint="default"/>
              </w:rPr>
            </w:pPr>
            <w: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211" w:type="dxa"/>
            <w:vAlign w:val="center"/>
          </w:tcPr>
          <w:p>
            <w:pPr>
              <w:jc w:val="center"/>
              <w:rPr>
                <w:rFonts w:hint="eastAsia" w:ascii="宋体" w:hAnsi="宋体"/>
                <w:szCs w:val="21"/>
              </w:rPr>
            </w:pPr>
            <w:r>
              <w:rPr>
                <w:rFonts w:hint="eastAsia" w:ascii="宋体" w:hAnsi="宋体"/>
                <w:szCs w:val="21"/>
              </w:rPr>
              <w:t>2</w:t>
            </w:r>
          </w:p>
        </w:tc>
        <w:tc>
          <w:tcPr>
            <w:tcW w:w="4920" w:type="dxa"/>
            <w:vAlign w:val="center"/>
          </w:tcPr>
          <w:p>
            <w:pPr>
              <w:pStyle w:val="231"/>
              <w:rPr>
                <w:rFonts w:hint="default"/>
              </w:rPr>
            </w:pPr>
            <w:r>
              <w:rPr>
                <w:rFonts w:ascii="宋体" w:hAnsi="宋体"/>
                <w:szCs w:val="21"/>
              </w:rPr>
              <w:t>综保模块测试硬件</w:t>
            </w:r>
            <w:r>
              <w:t>板卡生产物料清单及物料交期表</w:t>
            </w:r>
          </w:p>
        </w:tc>
        <w:tc>
          <w:tcPr>
            <w:tcW w:w="2907" w:type="dxa"/>
            <w:vAlign w:val="center"/>
          </w:tcPr>
          <w:p>
            <w:pPr>
              <w:pStyle w:val="231"/>
              <w:rPr>
                <w:rFonts w:hint="default"/>
              </w:rPr>
            </w:pPr>
            <w: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211" w:type="dxa"/>
            <w:vAlign w:val="center"/>
          </w:tcPr>
          <w:p>
            <w:pPr>
              <w:jc w:val="center"/>
              <w:rPr>
                <w:rFonts w:hint="eastAsia" w:ascii="宋体" w:hAnsi="宋体"/>
                <w:szCs w:val="21"/>
              </w:rPr>
            </w:pPr>
            <w:r>
              <w:rPr>
                <w:rFonts w:hint="eastAsia" w:ascii="宋体" w:hAnsi="宋体"/>
                <w:szCs w:val="21"/>
              </w:rPr>
              <w:t>3</w:t>
            </w:r>
          </w:p>
        </w:tc>
        <w:tc>
          <w:tcPr>
            <w:tcW w:w="4920" w:type="dxa"/>
            <w:vAlign w:val="center"/>
          </w:tcPr>
          <w:p>
            <w:pPr>
              <w:pStyle w:val="231"/>
              <w:rPr>
                <w:rFonts w:ascii="宋体" w:hAnsi="宋体"/>
                <w:szCs w:val="21"/>
              </w:rPr>
            </w:pPr>
            <w:r>
              <w:rPr>
                <w:szCs w:val="21"/>
              </w:rPr>
              <w:t>综保模块测试硬件</w:t>
            </w:r>
            <w:r>
              <w:t>板卡生产交付排期表</w:t>
            </w:r>
          </w:p>
        </w:tc>
        <w:tc>
          <w:tcPr>
            <w:tcW w:w="2907" w:type="dxa"/>
            <w:vAlign w:val="center"/>
          </w:tcPr>
          <w:p>
            <w:pPr>
              <w:pStyle w:val="231"/>
              <w:rPr>
                <w:rFonts w:hint="default"/>
              </w:rPr>
            </w:pPr>
            <w: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211" w:type="dxa"/>
            <w:vAlign w:val="center"/>
          </w:tcPr>
          <w:p>
            <w:pPr>
              <w:jc w:val="center"/>
              <w:rPr>
                <w:rFonts w:hint="eastAsia" w:ascii="宋体" w:hAnsi="宋体"/>
                <w:szCs w:val="21"/>
              </w:rPr>
            </w:pPr>
            <w:r>
              <w:rPr>
                <w:rFonts w:hint="eastAsia" w:ascii="宋体" w:hAnsi="宋体"/>
                <w:szCs w:val="21"/>
              </w:rPr>
              <w:t>4</w:t>
            </w:r>
          </w:p>
        </w:tc>
        <w:tc>
          <w:tcPr>
            <w:tcW w:w="4920" w:type="dxa"/>
            <w:vAlign w:val="center"/>
          </w:tcPr>
          <w:p>
            <w:pPr>
              <w:jc w:val="center"/>
              <w:rPr>
                <w:rFonts w:hint="eastAsia" w:ascii="宋体" w:hAnsi="宋体"/>
                <w:szCs w:val="21"/>
              </w:rPr>
            </w:pPr>
            <w:r>
              <w:rPr>
                <w:rFonts w:hint="eastAsia" w:ascii="宋体" w:hAnsi="宋体"/>
                <w:szCs w:val="21"/>
              </w:rPr>
              <w:t>综保模块测试硬件板卡</w:t>
            </w:r>
          </w:p>
        </w:tc>
        <w:tc>
          <w:tcPr>
            <w:tcW w:w="2907" w:type="dxa"/>
            <w:vAlign w:val="center"/>
          </w:tcPr>
          <w:p>
            <w:pPr>
              <w:jc w:val="center"/>
              <w:rPr>
                <w:rFonts w:hint="eastAsia" w:ascii="宋体" w:hAnsi="宋体"/>
                <w:szCs w:val="21"/>
              </w:rPr>
            </w:pPr>
            <w:r>
              <w:rPr>
                <w:rFonts w:hint="eastAsia" w:ascii="宋体" w:hAnsi="宋体"/>
                <w:szCs w:val="21"/>
              </w:rPr>
              <w:t>2批次，数量见4.1.2节</w:t>
            </w:r>
          </w:p>
        </w:tc>
      </w:tr>
    </w:tbl>
    <w:p>
      <w:pPr>
        <w:pStyle w:val="2"/>
        <w:spacing w:before="240" w:after="120" w:afterLines="50" w:line="360" w:lineRule="auto"/>
      </w:pPr>
      <w:bookmarkStart w:id="134" w:name="_Toc8552"/>
      <w:bookmarkStart w:id="135" w:name="_Toc4566"/>
      <w:bookmarkStart w:id="136" w:name="_Toc19095"/>
      <w:bookmarkStart w:id="137" w:name="_Toc2864"/>
      <w:bookmarkStart w:id="138" w:name="_Toc20265"/>
      <w:r>
        <w:rPr>
          <w:rFonts w:hint="eastAsia"/>
        </w:rPr>
        <w:t>进度要求</w:t>
      </w:r>
      <w:bookmarkEnd w:id="130"/>
      <w:bookmarkEnd w:id="131"/>
      <w:bookmarkEnd w:id="132"/>
      <w:bookmarkEnd w:id="133"/>
      <w:bookmarkEnd w:id="134"/>
      <w:bookmarkEnd w:id="135"/>
      <w:bookmarkEnd w:id="136"/>
      <w:bookmarkEnd w:id="137"/>
      <w:bookmarkEnd w:id="138"/>
    </w:p>
    <w:p>
      <w:pPr>
        <w:spacing w:line="360" w:lineRule="auto"/>
        <w:ind w:firstLine="480" w:firstLineChars="200"/>
        <w:rPr>
          <w:sz w:val="24"/>
        </w:rPr>
      </w:pPr>
      <w:r>
        <w:rPr>
          <w:rFonts w:hint="eastAsia"/>
          <w:sz w:val="24"/>
        </w:rPr>
        <w:t>项目期限为自合同签订之日起至2027年3月31日，必须保证本项目在此期间完成全部工作，并按采购人的验收时间计划完成竣工验收。</w:t>
      </w:r>
    </w:p>
    <w:p>
      <w:pPr>
        <w:spacing w:line="360" w:lineRule="auto"/>
        <w:ind w:firstLine="480" w:firstLineChars="200"/>
        <w:rPr>
          <w:rFonts w:hint="eastAsia" w:ascii="宋体" w:hAnsi="宋体"/>
          <w:sz w:val="24"/>
        </w:rPr>
      </w:pPr>
      <w:r>
        <w:rPr>
          <w:rFonts w:hint="eastAsia" w:ascii="宋体" w:hAnsi="宋体"/>
          <w:sz w:val="24"/>
        </w:rPr>
        <w:t>详细进度安排如下：</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6"/>
        <w:gridCol w:w="755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36" w:type="dxa"/>
            <w:shd w:val="clear" w:color="auto" w:fill="BEBEBE" w:themeFill="background1" w:themeFillShade="BF"/>
            <w:vAlign w:val="center"/>
          </w:tcPr>
          <w:p>
            <w:pPr>
              <w:pStyle w:val="41"/>
              <w:widowControl w:val="0"/>
              <w:tabs>
                <w:tab w:val="left" w:pos="3283"/>
              </w:tabs>
              <w:spacing w:before="0" w:beforeAutospacing="0" w:after="0" w:afterAutospacing="0"/>
              <w:jc w:val="center"/>
              <w:rPr>
                <w:rFonts w:ascii="Times New Roman" w:hAnsi="Times New Roman" w:cs="Times New Roman"/>
                <w:b/>
                <w:bCs/>
                <w:sz w:val="21"/>
                <w:szCs w:val="21"/>
              </w:rPr>
            </w:pPr>
            <w:bookmarkStart w:id="139" w:name="_Toc6387"/>
            <w:bookmarkStart w:id="140" w:name="_Toc4790"/>
            <w:bookmarkStart w:id="141" w:name="_Toc450578868"/>
            <w:bookmarkStart w:id="142" w:name="_Toc22751"/>
            <w:bookmarkStart w:id="143" w:name="_Toc169290939"/>
            <w:bookmarkStart w:id="144" w:name="_Toc1498"/>
            <w:bookmarkStart w:id="145" w:name="_Toc1234"/>
            <w:bookmarkStart w:id="146" w:name="_Toc54800690"/>
            <w:bookmarkStart w:id="147" w:name="_Toc18309"/>
            <w:bookmarkStart w:id="148" w:name="_Toc25895"/>
            <w:bookmarkStart w:id="149" w:name="_Toc94"/>
            <w:bookmarkStart w:id="150" w:name="_Toc17279"/>
            <w:bookmarkStart w:id="151" w:name="_Toc25208"/>
            <w:bookmarkStart w:id="152" w:name="_Toc30144130"/>
            <w:bookmarkStart w:id="153" w:name="_Toc4387"/>
            <w:bookmarkStart w:id="154" w:name="_Toc10438"/>
            <w:bookmarkStart w:id="155" w:name="_Toc30679"/>
            <w:bookmarkStart w:id="156" w:name="_Toc22524"/>
            <w:bookmarkStart w:id="157" w:name="_Toc13445"/>
            <w:bookmarkStart w:id="158" w:name="_Toc31900"/>
            <w:bookmarkStart w:id="159" w:name="_Toc16579"/>
            <w:bookmarkStart w:id="160" w:name="_Toc18097"/>
            <w:bookmarkStart w:id="161" w:name="_Toc28955"/>
            <w:bookmarkStart w:id="162" w:name="_Toc8040"/>
            <w:bookmarkStart w:id="163" w:name="_Toc440887073"/>
            <w:bookmarkStart w:id="164" w:name="_Toc930"/>
            <w:bookmarkStart w:id="165" w:name="_Toc21305"/>
            <w:bookmarkStart w:id="166" w:name="_Toc767"/>
            <w:bookmarkStart w:id="167" w:name="_Toc516148945"/>
            <w:r>
              <w:rPr>
                <w:rFonts w:hint="eastAsia" w:ascii="Times New Roman" w:hAnsi="Times New Roman" w:cs="Times New Roman"/>
                <w:b/>
                <w:bCs/>
                <w:sz w:val="21"/>
                <w:szCs w:val="21"/>
              </w:rPr>
              <w:t>序号</w:t>
            </w:r>
          </w:p>
        </w:tc>
        <w:tc>
          <w:tcPr>
            <w:tcW w:w="7555" w:type="dxa"/>
            <w:shd w:val="clear" w:color="auto" w:fill="BEBEBE" w:themeFill="background1" w:themeFillShade="BF"/>
            <w:vAlign w:val="center"/>
          </w:tcPr>
          <w:p>
            <w:pPr>
              <w:pStyle w:val="41"/>
              <w:widowControl w:val="0"/>
              <w:tabs>
                <w:tab w:val="left" w:pos="3283"/>
              </w:tabs>
              <w:spacing w:before="0" w:beforeAutospacing="0" w:after="0" w:afterAutospacing="0"/>
              <w:jc w:val="center"/>
              <w:rPr>
                <w:rFonts w:ascii="Times New Roman" w:hAnsi="Times New Roman" w:cs="Times New Roman"/>
                <w:b/>
                <w:bCs/>
                <w:sz w:val="21"/>
                <w:szCs w:val="21"/>
              </w:rPr>
            </w:pPr>
            <w:r>
              <w:rPr>
                <w:rFonts w:hint="eastAsia" w:ascii="Times New Roman" w:hAnsi="Times New Roman" w:cs="Times New Roman"/>
                <w:b/>
                <w:bCs/>
                <w:sz w:val="21"/>
                <w:szCs w:val="21"/>
              </w:rPr>
              <w:t>进度计划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836" w:type="dxa"/>
            <w:vAlign w:val="center"/>
          </w:tcPr>
          <w:p>
            <w:pPr>
              <w:adjustRightInd w:val="0"/>
              <w:snapToGrid w:val="0"/>
              <w:spacing w:line="360" w:lineRule="auto"/>
              <w:jc w:val="center"/>
              <w:textAlignment w:val="center"/>
              <w:rPr>
                <w:rFonts w:hint="eastAsia" w:ascii="宋体" w:hAnsi="宋体"/>
                <w:bCs/>
                <w:szCs w:val="21"/>
              </w:rPr>
            </w:pPr>
            <w:r>
              <w:rPr>
                <w:rFonts w:hint="eastAsia" w:ascii="宋体" w:hAnsi="宋体"/>
                <w:bCs/>
                <w:szCs w:val="21"/>
              </w:rPr>
              <w:t>1</w:t>
            </w:r>
          </w:p>
        </w:tc>
        <w:tc>
          <w:tcPr>
            <w:tcW w:w="7555" w:type="dxa"/>
          </w:tcPr>
          <w:p>
            <w:pPr>
              <w:numPr>
                <w:ilvl w:val="255"/>
                <w:numId w:val="0"/>
              </w:numPr>
              <w:adjustRightInd w:val="0"/>
              <w:snapToGrid w:val="0"/>
              <w:spacing w:line="360" w:lineRule="auto"/>
              <w:ind w:right="72"/>
              <w:textAlignment w:val="center"/>
              <w:rPr>
                <w:rFonts w:hint="eastAsia" w:ascii="宋体" w:hAnsi="宋体"/>
                <w:b/>
                <w:szCs w:val="21"/>
              </w:rPr>
            </w:pPr>
            <w:r>
              <w:rPr>
                <w:rFonts w:hint="eastAsia" w:ascii="宋体" w:hAnsi="宋体"/>
                <w:b/>
                <w:szCs w:val="21"/>
              </w:rPr>
              <w:t>[合同签订之日起30日内]</w:t>
            </w:r>
          </w:p>
          <w:p>
            <w:pPr>
              <w:numPr>
                <w:ilvl w:val="255"/>
                <w:numId w:val="0"/>
              </w:numPr>
              <w:adjustRightInd w:val="0"/>
              <w:snapToGrid w:val="0"/>
              <w:spacing w:line="360" w:lineRule="auto"/>
              <w:ind w:right="72"/>
              <w:textAlignment w:val="center"/>
              <w:rPr>
                <w:rFonts w:hint="eastAsia" w:ascii="宋体" w:hAnsi="宋体"/>
                <w:b/>
                <w:szCs w:val="21"/>
              </w:rPr>
            </w:pPr>
            <w:r>
              <w:rPr>
                <w:rFonts w:hint="eastAsia" w:ascii="宋体" w:hAnsi="宋体"/>
                <w:b/>
                <w:szCs w:val="21"/>
              </w:rPr>
              <w:t>主要内容：</w:t>
            </w:r>
          </w:p>
          <w:p>
            <w:pPr>
              <w:numPr>
                <w:ilvl w:val="0"/>
                <w:numId w:val="16"/>
              </w:numPr>
              <w:adjustRightInd w:val="0"/>
              <w:snapToGrid w:val="0"/>
              <w:spacing w:line="360" w:lineRule="auto"/>
              <w:ind w:right="72"/>
              <w:textAlignment w:val="center"/>
            </w:pPr>
            <w:r>
              <w:rPr>
                <w:rFonts w:hint="eastAsia"/>
              </w:rPr>
              <w:t>完成</w:t>
            </w:r>
            <w:r>
              <w:rPr>
                <w:rFonts w:hint="eastAsia" w:ascii="宋体" w:hAnsi="宋体"/>
                <w:szCs w:val="21"/>
              </w:rPr>
              <w:t>综保模块测试硬件板卡</w:t>
            </w:r>
            <w:r>
              <w:rPr>
                <w:rFonts w:hint="eastAsia"/>
              </w:rPr>
              <w:t>元器件清单确认及采购；</w:t>
            </w:r>
          </w:p>
          <w:p>
            <w:pPr>
              <w:numPr>
                <w:ilvl w:val="0"/>
                <w:numId w:val="16"/>
              </w:numPr>
              <w:adjustRightInd w:val="0"/>
              <w:snapToGrid w:val="0"/>
              <w:spacing w:line="360" w:lineRule="auto"/>
              <w:ind w:right="72"/>
              <w:textAlignment w:val="center"/>
            </w:pPr>
            <w:r>
              <w:rPr>
                <w:rFonts w:hint="eastAsia"/>
              </w:rPr>
              <w:t>完成综保模块测试硬件板卡交期确认；</w:t>
            </w:r>
          </w:p>
          <w:p>
            <w:pPr>
              <w:numPr>
                <w:ilvl w:val="0"/>
                <w:numId w:val="16"/>
              </w:numPr>
              <w:adjustRightInd w:val="0"/>
              <w:snapToGrid w:val="0"/>
              <w:spacing w:line="360" w:lineRule="auto"/>
              <w:ind w:right="72"/>
              <w:textAlignment w:val="center"/>
            </w:pPr>
            <w:r>
              <w:rPr>
                <w:rFonts w:hint="eastAsia"/>
              </w:rPr>
              <w:t>完成综保模块测试硬件板卡生产工艺确认。</w:t>
            </w:r>
          </w:p>
          <w:p>
            <w:pPr>
              <w:numPr>
                <w:ilvl w:val="255"/>
                <w:numId w:val="0"/>
              </w:numPr>
              <w:adjustRightInd w:val="0"/>
              <w:snapToGrid w:val="0"/>
              <w:spacing w:line="360" w:lineRule="auto"/>
              <w:ind w:right="72"/>
              <w:textAlignment w:val="center"/>
              <w:rPr>
                <w:rFonts w:hint="eastAsia" w:ascii="宋体" w:hAnsi="宋体"/>
                <w:b/>
                <w:szCs w:val="21"/>
              </w:rPr>
            </w:pPr>
            <w:r>
              <w:rPr>
                <w:rFonts w:hint="eastAsia" w:ascii="宋体" w:hAnsi="宋体"/>
                <w:b/>
                <w:szCs w:val="21"/>
              </w:rPr>
              <w:t>交付物：</w:t>
            </w:r>
          </w:p>
          <w:p>
            <w:pPr>
              <w:numPr>
                <w:ilvl w:val="0"/>
                <w:numId w:val="17"/>
              </w:numPr>
              <w:adjustRightInd w:val="0"/>
              <w:snapToGrid w:val="0"/>
              <w:spacing w:line="360" w:lineRule="auto"/>
              <w:ind w:right="72"/>
              <w:textAlignment w:val="center"/>
            </w:pPr>
            <w:r>
              <w:t>综保模块测试硬件板卡PCB</w:t>
            </w:r>
            <w:r>
              <w:rPr>
                <w:rFonts w:hint="eastAsia"/>
              </w:rPr>
              <w:t>生产工艺</w:t>
            </w:r>
            <w:r>
              <w:t>文件1份；</w:t>
            </w:r>
          </w:p>
          <w:p>
            <w:pPr>
              <w:numPr>
                <w:ilvl w:val="0"/>
                <w:numId w:val="17"/>
              </w:numPr>
              <w:adjustRightInd w:val="0"/>
              <w:snapToGrid w:val="0"/>
              <w:spacing w:line="360" w:lineRule="auto"/>
              <w:ind w:right="72"/>
              <w:textAlignment w:val="center"/>
            </w:pPr>
            <w:r>
              <w:rPr>
                <w:rFonts w:hint="eastAsia"/>
                <w:szCs w:val="21"/>
              </w:rPr>
              <w:t>综保模块测试硬件板卡</w:t>
            </w:r>
            <w:r>
              <w:rPr>
                <w:rFonts w:hint="eastAsia"/>
              </w:rPr>
              <w:t>生产物料清单及物料交期表1份</w:t>
            </w:r>
            <w:r>
              <w:t>；</w:t>
            </w:r>
          </w:p>
          <w:p>
            <w:pPr>
              <w:numPr>
                <w:ilvl w:val="0"/>
                <w:numId w:val="17"/>
              </w:numPr>
              <w:adjustRightInd w:val="0"/>
              <w:snapToGrid w:val="0"/>
              <w:spacing w:line="360" w:lineRule="auto"/>
              <w:ind w:right="72"/>
              <w:textAlignment w:val="center"/>
            </w:pPr>
            <w:r>
              <w:rPr>
                <w:rFonts w:hint="eastAsia"/>
                <w:szCs w:val="21"/>
              </w:rPr>
              <w:t>综保模块测试硬件</w:t>
            </w:r>
            <w:r>
              <w:rPr>
                <w:rFonts w:hint="eastAsia"/>
              </w:rPr>
              <w:t>板卡生产交付排期表1份。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6" w:type="dxa"/>
            <w:vAlign w:val="center"/>
          </w:tcPr>
          <w:p>
            <w:pPr>
              <w:adjustRightInd w:val="0"/>
              <w:snapToGrid w:val="0"/>
              <w:spacing w:line="360" w:lineRule="auto"/>
              <w:jc w:val="center"/>
              <w:textAlignment w:val="center"/>
              <w:rPr>
                <w:rFonts w:hint="eastAsia" w:ascii="宋体" w:hAnsi="宋体"/>
                <w:bCs/>
                <w:szCs w:val="21"/>
              </w:rPr>
            </w:pPr>
            <w:r>
              <w:rPr>
                <w:rFonts w:hint="eastAsia" w:ascii="宋体" w:hAnsi="宋体"/>
                <w:bCs/>
                <w:szCs w:val="21"/>
              </w:rPr>
              <w:t>2</w:t>
            </w:r>
          </w:p>
        </w:tc>
        <w:tc>
          <w:tcPr>
            <w:tcW w:w="7555" w:type="dxa"/>
          </w:tcPr>
          <w:p>
            <w:pPr>
              <w:numPr>
                <w:ilvl w:val="255"/>
                <w:numId w:val="0"/>
              </w:numPr>
              <w:adjustRightInd w:val="0"/>
              <w:snapToGrid w:val="0"/>
              <w:spacing w:line="360" w:lineRule="auto"/>
              <w:ind w:right="72"/>
              <w:textAlignment w:val="center"/>
              <w:rPr>
                <w:rFonts w:hint="eastAsia" w:ascii="宋体" w:hAnsi="宋体"/>
                <w:b/>
                <w:szCs w:val="21"/>
              </w:rPr>
            </w:pPr>
            <w:r>
              <w:rPr>
                <w:rFonts w:hint="eastAsia" w:ascii="宋体" w:hAnsi="宋体"/>
                <w:b/>
                <w:szCs w:val="21"/>
              </w:rPr>
              <w:t>[合同签订之日起50日内]</w:t>
            </w:r>
          </w:p>
          <w:p>
            <w:pPr>
              <w:numPr>
                <w:ilvl w:val="255"/>
                <w:numId w:val="0"/>
              </w:numPr>
              <w:adjustRightInd w:val="0"/>
              <w:snapToGrid w:val="0"/>
              <w:spacing w:line="360" w:lineRule="auto"/>
              <w:ind w:right="72"/>
              <w:textAlignment w:val="center"/>
              <w:rPr>
                <w:rFonts w:hint="eastAsia" w:ascii="宋体" w:hAnsi="宋体"/>
                <w:b/>
                <w:szCs w:val="21"/>
              </w:rPr>
            </w:pPr>
            <w:r>
              <w:rPr>
                <w:rFonts w:hint="eastAsia" w:ascii="宋体" w:hAnsi="宋体"/>
                <w:b/>
                <w:szCs w:val="21"/>
              </w:rPr>
              <w:t>主要内容：</w:t>
            </w:r>
          </w:p>
          <w:p>
            <w:pPr>
              <w:numPr>
                <w:ilvl w:val="255"/>
                <w:numId w:val="0"/>
              </w:numPr>
              <w:adjustRightInd w:val="0"/>
              <w:snapToGrid w:val="0"/>
              <w:spacing w:line="360" w:lineRule="auto"/>
              <w:ind w:right="72" w:firstLine="420" w:firstLineChars="200"/>
              <w:textAlignment w:val="center"/>
            </w:pPr>
            <w:r>
              <w:rPr>
                <w:rFonts w:hint="eastAsia"/>
              </w:rPr>
              <w:t>完成第一批综保模块测试硬件板卡的PCB、PCBA加工，形成可交付板卡。</w:t>
            </w:r>
          </w:p>
          <w:p>
            <w:pPr>
              <w:numPr>
                <w:ilvl w:val="255"/>
                <w:numId w:val="0"/>
              </w:numPr>
              <w:adjustRightInd w:val="0"/>
              <w:snapToGrid w:val="0"/>
              <w:spacing w:line="360" w:lineRule="auto"/>
              <w:ind w:right="72"/>
              <w:textAlignment w:val="center"/>
              <w:rPr>
                <w:rFonts w:hint="eastAsia" w:ascii="宋体" w:hAnsi="宋体"/>
                <w:b/>
                <w:szCs w:val="21"/>
              </w:rPr>
            </w:pPr>
            <w:r>
              <w:rPr>
                <w:rFonts w:hint="eastAsia" w:ascii="宋体" w:hAnsi="宋体"/>
                <w:b/>
                <w:szCs w:val="21"/>
              </w:rPr>
              <w:t>交付物：</w:t>
            </w:r>
          </w:p>
          <w:p>
            <w:pPr>
              <w:numPr>
                <w:ilvl w:val="0"/>
                <w:numId w:val="18"/>
              </w:numPr>
              <w:adjustRightInd w:val="0"/>
              <w:snapToGrid w:val="0"/>
              <w:spacing w:line="360" w:lineRule="auto"/>
              <w:ind w:right="72"/>
              <w:textAlignment w:val="center"/>
              <w:rPr>
                <w:rFonts w:hint="eastAsia" w:ascii="宋体" w:hAnsi="宋体"/>
                <w:szCs w:val="21"/>
              </w:rPr>
            </w:pPr>
            <w:r>
              <w:rPr>
                <w:rFonts w:hint="eastAsia" w:ascii="宋体" w:hAnsi="宋体"/>
                <w:szCs w:val="21"/>
              </w:rPr>
              <w:t>综保模块测试硬件第一批次板卡。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6" w:type="dxa"/>
            <w:vAlign w:val="center"/>
          </w:tcPr>
          <w:p>
            <w:pPr>
              <w:adjustRightInd w:val="0"/>
              <w:snapToGrid w:val="0"/>
              <w:spacing w:line="360" w:lineRule="auto"/>
              <w:jc w:val="center"/>
              <w:textAlignment w:val="center"/>
              <w:rPr>
                <w:rFonts w:hint="eastAsia" w:ascii="宋体" w:hAnsi="宋体"/>
                <w:bCs/>
                <w:szCs w:val="21"/>
              </w:rPr>
            </w:pPr>
            <w:r>
              <w:rPr>
                <w:rFonts w:hint="eastAsia" w:ascii="宋体" w:hAnsi="宋体"/>
                <w:bCs/>
                <w:szCs w:val="21"/>
              </w:rPr>
              <w:t>3</w:t>
            </w:r>
          </w:p>
        </w:tc>
        <w:tc>
          <w:tcPr>
            <w:tcW w:w="7555" w:type="dxa"/>
          </w:tcPr>
          <w:p>
            <w:pPr>
              <w:adjustRightInd w:val="0"/>
              <w:snapToGrid w:val="0"/>
              <w:spacing w:line="360" w:lineRule="auto"/>
              <w:ind w:right="72"/>
              <w:textAlignment w:val="center"/>
              <w:rPr>
                <w:rFonts w:hint="eastAsia" w:ascii="宋体" w:hAnsi="宋体"/>
                <w:b/>
                <w:szCs w:val="21"/>
              </w:rPr>
            </w:pPr>
            <w:r>
              <w:rPr>
                <w:rFonts w:hint="eastAsia" w:ascii="宋体" w:hAnsi="宋体"/>
                <w:b/>
                <w:szCs w:val="21"/>
              </w:rPr>
              <w:t>[2027年3月31日前，按采购人项目情况推进]</w:t>
            </w:r>
          </w:p>
          <w:p>
            <w:pPr>
              <w:adjustRightInd w:val="0"/>
              <w:snapToGrid w:val="0"/>
              <w:spacing w:line="360" w:lineRule="auto"/>
              <w:ind w:right="72"/>
              <w:textAlignment w:val="center"/>
              <w:rPr>
                <w:rFonts w:hint="eastAsia" w:ascii="宋体" w:hAnsi="宋体"/>
                <w:b/>
                <w:szCs w:val="21"/>
              </w:rPr>
            </w:pPr>
            <w:r>
              <w:rPr>
                <w:rFonts w:hint="eastAsia" w:ascii="宋体" w:hAnsi="宋体"/>
                <w:b/>
                <w:szCs w:val="21"/>
              </w:rPr>
              <w:t>主要内容：</w:t>
            </w:r>
          </w:p>
          <w:p>
            <w:pPr>
              <w:numPr>
                <w:ilvl w:val="255"/>
                <w:numId w:val="0"/>
              </w:numPr>
              <w:adjustRightInd w:val="0"/>
              <w:snapToGrid w:val="0"/>
              <w:spacing w:line="360" w:lineRule="auto"/>
              <w:ind w:right="72" w:firstLine="420" w:firstLineChars="200"/>
              <w:textAlignment w:val="center"/>
            </w:pPr>
            <w:r>
              <w:rPr>
                <w:rFonts w:hint="eastAsia"/>
              </w:rPr>
              <w:t>完成第二批综保模块测试硬件板卡的PCB、PCBA加工，形成可交付板卡。</w:t>
            </w:r>
          </w:p>
          <w:p>
            <w:pPr>
              <w:adjustRightInd w:val="0"/>
              <w:snapToGrid w:val="0"/>
              <w:spacing w:line="360" w:lineRule="auto"/>
              <w:ind w:right="72"/>
              <w:textAlignment w:val="center"/>
              <w:rPr>
                <w:rFonts w:hint="eastAsia" w:ascii="宋体" w:hAnsi="宋体"/>
                <w:b/>
                <w:szCs w:val="21"/>
              </w:rPr>
            </w:pPr>
            <w:r>
              <w:rPr>
                <w:rFonts w:hint="eastAsia" w:ascii="宋体" w:hAnsi="宋体"/>
                <w:b/>
                <w:szCs w:val="21"/>
              </w:rPr>
              <w:t>交付物：</w:t>
            </w:r>
          </w:p>
          <w:p>
            <w:pPr>
              <w:numPr>
                <w:ilvl w:val="0"/>
                <w:numId w:val="19"/>
              </w:numPr>
              <w:adjustRightInd w:val="0"/>
              <w:snapToGrid w:val="0"/>
              <w:spacing w:line="360" w:lineRule="auto"/>
              <w:ind w:right="72"/>
              <w:textAlignment w:val="center"/>
              <w:rPr>
                <w:rFonts w:hint="eastAsia" w:ascii="宋体" w:hAnsi="宋体"/>
                <w:b/>
                <w:szCs w:val="21"/>
              </w:rPr>
            </w:pPr>
            <w:r>
              <w:rPr>
                <w:rFonts w:hint="eastAsia"/>
              </w:rPr>
              <w:t>综保模块测试硬件</w:t>
            </w:r>
            <w:r>
              <w:rPr>
                <w:rFonts w:hint="eastAsia" w:ascii="宋体" w:hAnsi="宋体"/>
                <w:szCs w:val="21"/>
              </w:rPr>
              <w:t>第二批次板卡。</w:t>
            </w:r>
          </w:p>
        </w:tc>
      </w:tr>
      <w:bookmarkEnd w:id="139"/>
      <w:bookmarkEnd w:id="140"/>
      <w:bookmarkEnd w:id="141"/>
      <w:bookmarkEnd w:id="142"/>
      <w:bookmarkEnd w:id="143"/>
      <w:bookmarkEnd w:id="144"/>
      <w:bookmarkEnd w:id="145"/>
    </w:tbl>
    <w:p>
      <w:pPr>
        <w:pStyle w:val="2"/>
        <w:spacing w:before="120" w:beforeLines="50" w:after="120" w:afterLines="50" w:line="360" w:lineRule="auto"/>
      </w:pPr>
      <w:bookmarkStart w:id="168" w:name="_Toc18570"/>
      <w:bookmarkStart w:id="169" w:name="_Toc169290943"/>
      <w:bookmarkStart w:id="170" w:name="_Toc27465"/>
      <w:bookmarkStart w:id="171" w:name="_Toc8744"/>
      <w:bookmarkStart w:id="172" w:name="_Toc4140"/>
      <w:bookmarkStart w:id="173" w:name="_Toc10414"/>
      <w:bookmarkStart w:id="174" w:name="_Toc15163"/>
      <w:bookmarkStart w:id="175" w:name="_Toc20837"/>
      <w:r>
        <w:rPr>
          <w:rFonts w:hint="eastAsia"/>
        </w:rPr>
        <w:t>安装与运输要求</w:t>
      </w:r>
      <w:bookmarkEnd w:id="146"/>
      <w:bookmarkEnd w:id="147"/>
      <w:bookmarkEnd w:id="168"/>
      <w:bookmarkEnd w:id="169"/>
      <w:bookmarkEnd w:id="170"/>
      <w:bookmarkEnd w:id="171"/>
      <w:bookmarkEnd w:id="172"/>
      <w:bookmarkEnd w:id="173"/>
      <w:bookmarkEnd w:id="174"/>
      <w:bookmarkEnd w:id="175"/>
    </w:p>
    <w:p>
      <w:pPr>
        <w:pStyle w:val="3"/>
        <w:spacing w:before="0" w:after="0"/>
        <w:rPr>
          <w:szCs w:val="24"/>
        </w:rPr>
      </w:pPr>
      <w:bookmarkStart w:id="176" w:name="_Toc54800691"/>
      <w:bookmarkStart w:id="177" w:name="_Toc21822"/>
      <w:bookmarkStart w:id="178" w:name="_Toc195"/>
      <w:bookmarkStart w:id="179" w:name="_Toc3348"/>
      <w:bookmarkStart w:id="180" w:name="_Toc9535"/>
      <w:bookmarkStart w:id="181" w:name="_Toc693"/>
      <w:bookmarkStart w:id="182" w:name="_Toc19364"/>
      <w:bookmarkStart w:id="183" w:name="_Toc11655"/>
      <w:bookmarkStart w:id="184" w:name="_Toc169290944"/>
      <w:bookmarkStart w:id="185" w:name="_Toc26231"/>
      <w:bookmarkStart w:id="186" w:name="_Toc25837"/>
      <w:bookmarkStart w:id="187" w:name="_Toc427141265"/>
      <w:bookmarkStart w:id="188" w:name="_Toc17015"/>
      <w:bookmarkStart w:id="189" w:name="_Toc10319"/>
      <w:r>
        <w:rPr>
          <w:rFonts w:hint="eastAsia"/>
          <w:szCs w:val="24"/>
        </w:rPr>
        <w:t>出厂安装调试</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pPr>
        <w:pStyle w:val="4"/>
        <w:spacing w:before="120" w:after="120"/>
      </w:pPr>
      <w:r>
        <w:rPr>
          <w:rFonts w:hint="eastAsia"/>
        </w:rPr>
        <w:t>包装</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）测试硬件板卡生产</w:t>
      </w:r>
      <w:r>
        <w:rPr>
          <w:rFonts w:ascii="Times New Roman" w:hAnsi="Times New Roman"/>
          <w:sz w:val="24"/>
          <w:szCs w:val="24"/>
        </w:rPr>
        <w:t>完成并通过</w:t>
      </w:r>
      <w:r>
        <w:rPr>
          <w:rFonts w:hint="eastAsia" w:ascii="Times New Roman" w:hAnsi="Times New Roman"/>
          <w:sz w:val="24"/>
          <w:szCs w:val="24"/>
        </w:rPr>
        <w:t>检验</w:t>
      </w:r>
      <w:r>
        <w:rPr>
          <w:rFonts w:ascii="Times New Roman" w:hAnsi="Times New Roman"/>
          <w:sz w:val="24"/>
          <w:szCs w:val="24"/>
        </w:rPr>
        <w:t>后应及时包装，否则应得到切实的保护。其包装应符合铁路、公路</w:t>
      </w:r>
      <w:r>
        <w:rPr>
          <w:rFonts w:hint="eastAsia" w:ascii="Times New Roman" w:hAnsi="Times New Roman"/>
          <w:sz w:val="24"/>
          <w:szCs w:val="24"/>
        </w:rPr>
        <w:t>及</w:t>
      </w:r>
      <w:r>
        <w:rPr>
          <w:rFonts w:ascii="Times New Roman" w:hAnsi="Times New Roman"/>
          <w:sz w:val="24"/>
          <w:szCs w:val="24"/>
        </w:rPr>
        <w:t>海运部门的有关规定。</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w:t>
      </w:r>
      <w:r>
        <w:rPr>
          <w:rFonts w:ascii="Times New Roman" w:hAnsi="Times New Roman"/>
          <w:sz w:val="24"/>
          <w:szCs w:val="24"/>
        </w:rPr>
        <w:t>包装箱上应有明显的包装储运图示标志，并应标明</w:t>
      </w:r>
      <w:r>
        <w:rPr>
          <w:rFonts w:hint="eastAsia" w:ascii="Times New Roman" w:hAnsi="Times New Roman"/>
          <w:sz w:val="24"/>
          <w:szCs w:val="24"/>
        </w:rPr>
        <w:t>采购人</w:t>
      </w:r>
      <w:r>
        <w:rPr>
          <w:rFonts w:ascii="Times New Roman" w:hAnsi="Times New Roman"/>
          <w:sz w:val="24"/>
          <w:szCs w:val="24"/>
        </w:rPr>
        <w:t>的订货号和发货号。</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w:t>
      </w:r>
      <w:r>
        <w:rPr>
          <w:rFonts w:ascii="Times New Roman" w:hAnsi="Times New Roman"/>
          <w:sz w:val="24"/>
          <w:szCs w:val="24"/>
        </w:rPr>
        <w:t>包装应确保</w:t>
      </w:r>
      <w:r>
        <w:rPr>
          <w:rFonts w:hint="eastAsia" w:ascii="Times New Roman" w:hAnsi="Times New Roman"/>
          <w:sz w:val="24"/>
          <w:szCs w:val="24"/>
        </w:rPr>
        <w:t>整机和</w:t>
      </w:r>
      <w:r>
        <w:rPr>
          <w:rFonts w:ascii="Times New Roman" w:hAnsi="Times New Roman"/>
          <w:sz w:val="24"/>
          <w:szCs w:val="24"/>
        </w:rPr>
        <w:t>各零部件在运输过程中不丢失、不损坏、不受潮</w:t>
      </w:r>
      <w:r>
        <w:rPr>
          <w:rFonts w:hint="eastAsia" w:ascii="Times New Roman" w:hAnsi="Times New Roman"/>
          <w:sz w:val="24"/>
          <w:szCs w:val="24"/>
        </w:rPr>
        <w:t>、</w:t>
      </w:r>
      <w:r>
        <w:rPr>
          <w:rFonts w:ascii="Times New Roman" w:hAnsi="Times New Roman"/>
          <w:sz w:val="24"/>
          <w:szCs w:val="24"/>
        </w:rPr>
        <w:t>不腐蚀。</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w:t>
      </w:r>
      <w:r>
        <w:rPr>
          <w:rFonts w:hint="eastAsia"/>
          <w:sz w:val="24"/>
        </w:rPr>
        <w:t>装置</w:t>
      </w:r>
      <w:r>
        <w:rPr>
          <w:rFonts w:hint="eastAsia" w:ascii="Times New Roman" w:hAnsi="Times New Roman"/>
          <w:sz w:val="24"/>
          <w:szCs w:val="24"/>
        </w:rPr>
        <w:t>有可能在户外条件下存放，报价人应保证包装箱在户外雨雪大风条件下存放时，不会对包装箱内部</w:t>
      </w:r>
      <w:r>
        <w:rPr>
          <w:rFonts w:hint="eastAsia"/>
          <w:sz w:val="24"/>
        </w:rPr>
        <w:t>装置</w:t>
      </w:r>
      <w:r>
        <w:rPr>
          <w:rFonts w:hint="eastAsia" w:ascii="Times New Roman" w:hAnsi="Times New Roman"/>
          <w:sz w:val="24"/>
          <w:szCs w:val="24"/>
        </w:rPr>
        <w:t>造成损害。</w:t>
      </w:r>
    </w:p>
    <w:p>
      <w:pPr>
        <w:pStyle w:val="4"/>
        <w:spacing w:before="120" w:after="120"/>
      </w:pPr>
      <w:r>
        <w:rPr>
          <w:rFonts w:hint="eastAsia"/>
        </w:rPr>
        <w:t>运输</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）测试硬件板卡在</w:t>
      </w:r>
      <w:r>
        <w:rPr>
          <w:rFonts w:ascii="Times New Roman" w:hAnsi="Times New Roman"/>
          <w:sz w:val="24"/>
          <w:szCs w:val="24"/>
        </w:rPr>
        <w:t>运输时应符合铁路、公路</w:t>
      </w:r>
      <w:r>
        <w:rPr>
          <w:rFonts w:hint="eastAsia" w:ascii="Times New Roman" w:hAnsi="Times New Roman"/>
          <w:sz w:val="24"/>
          <w:szCs w:val="24"/>
        </w:rPr>
        <w:t>及</w:t>
      </w:r>
      <w:r>
        <w:rPr>
          <w:rFonts w:ascii="Times New Roman" w:hAnsi="Times New Roman"/>
          <w:sz w:val="24"/>
          <w:szCs w:val="24"/>
        </w:rPr>
        <w:t>海运部门的有关规定。</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）测试硬件板卡</w:t>
      </w:r>
      <w:r>
        <w:rPr>
          <w:rFonts w:ascii="Times New Roman" w:hAnsi="Times New Roman"/>
          <w:sz w:val="24"/>
          <w:szCs w:val="24"/>
        </w:rPr>
        <w:t>的运输应保证其外壳不受任何损伤，内部元件不能发生位移且应保证内部元件性能完好。</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w:t>
      </w:r>
      <w:r>
        <w:rPr>
          <w:rFonts w:ascii="Times New Roman" w:hAnsi="Times New Roman"/>
          <w:sz w:val="24"/>
          <w:szCs w:val="24"/>
        </w:rPr>
        <w:t>所有部件经妥善包装或装箱后，在运输过程中尚应采取其它防护措施，以免散失损坏或被盗</w:t>
      </w:r>
      <w:r>
        <w:rPr>
          <w:rFonts w:hint="eastAsia" w:ascii="Times New Roman" w:hAnsi="Times New Roman"/>
          <w:sz w:val="24"/>
          <w:szCs w:val="24"/>
        </w:rPr>
        <w:t>。</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w:t>
      </w:r>
      <w:r>
        <w:rPr>
          <w:rFonts w:hint="eastAsia"/>
          <w:sz w:val="24"/>
        </w:rPr>
        <w:t>装置</w:t>
      </w:r>
      <w:r>
        <w:rPr>
          <w:rFonts w:hint="eastAsia" w:ascii="Times New Roman" w:hAnsi="Times New Roman"/>
          <w:sz w:val="24"/>
          <w:szCs w:val="24"/>
        </w:rPr>
        <w:t>在</w:t>
      </w:r>
      <w:r>
        <w:rPr>
          <w:rFonts w:ascii="Times New Roman" w:hAnsi="Times New Roman"/>
          <w:sz w:val="24"/>
          <w:szCs w:val="24"/>
        </w:rPr>
        <w:t>运输中不允许有任何</w:t>
      </w:r>
      <w:r>
        <w:rPr>
          <w:rFonts w:hint="eastAsia" w:ascii="Times New Roman" w:hAnsi="Times New Roman"/>
          <w:sz w:val="24"/>
          <w:szCs w:val="24"/>
        </w:rPr>
        <w:t>破坏性</w:t>
      </w:r>
      <w:r>
        <w:rPr>
          <w:rFonts w:ascii="Times New Roman" w:hAnsi="Times New Roman"/>
          <w:sz w:val="24"/>
          <w:szCs w:val="24"/>
        </w:rPr>
        <w:t>碰撞</w:t>
      </w:r>
      <w:r>
        <w:rPr>
          <w:rFonts w:hint="eastAsia" w:ascii="Times New Roman" w:hAnsi="Times New Roman"/>
          <w:sz w:val="24"/>
          <w:szCs w:val="24"/>
        </w:rPr>
        <w:t>、震动、倾斜</w:t>
      </w:r>
      <w:r>
        <w:rPr>
          <w:rFonts w:ascii="Times New Roman" w:hAnsi="Times New Roman"/>
          <w:sz w:val="24"/>
          <w:szCs w:val="24"/>
        </w:rPr>
        <w:t>和磨损，底部需加缓冲垫防震</w:t>
      </w:r>
      <w:r>
        <w:rPr>
          <w:rFonts w:hint="eastAsia" w:ascii="Times New Roman" w:hAnsi="Times New Roman"/>
          <w:sz w:val="24"/>
          <w:szCs w:val="24"/>
        </w:rPr>
        <w:t>，同时，还应采取适当措施以鉴别设备在运输途中是否发生过严重的震动和倾斜</w:t>
      </w:r>
      <w:r>
        <w:rPr>
          <w:rFonts w:ascii="Times New Roman" w:hAnsi="Times New Roman"/>
          <w:sz w:val="24"/>
          <w:szCs w:val="24"/>
        </w:rPr>
        <w:t>。</w:t>
      </w:r>
      <w:r>
        <w:rPr>
          <w:rFonts w:hint="eastAsia" w:ascii="Times New Roman" w:hAnsi="Times New Roman"/>
          <w:sz w:val="24"/>
          <w:szCs w:val="24"/>
        </w:rPr>
        <w:t>如果报价人在设备运输途中没有采取适当的鉴别措施界定责任，则设备到达现场后出现的所有机械损坏均视为在运输途中发生。</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w:t>
      </w:r>
      <w:r>
        <w:rPr>
          <w:rFonts w:ascii="Times New Roman" w:hAnsi="Times New Roman"/>
          <w:sz w:val="24"/>
          <w:szCs w:val="24"/>
        </w:rPr>
        <w:t>随产品提供的技术资料应完整无缺。</w:t>
      </w:r>
    </w:p>
    <w:p>
      <w:pPr>
        <w:pStyle w:val="3"/>
        <w:spacing w:before="0" w:after="0"/>
        <w:rPr>
          <w:szCs w:val="24"/>
        </w:rPr>
      </w:pPr>
      <w:bookmarkStart w:id="190" w:name="_Toc169290945"/>
      <w:bookmarkStart w:id="191" w:name="_Toc14309"/>
      <w:bookmarkStart w:id="192" w:name="_Toc13503"/>
      <w:bookmarkStart w:id="193" w:name="_Toc17570"/>
      <w:bookmarkStart w:id="194" w:name="_Toc18531"/>
      <w:bookmarkStart w:id="195" w:name="_Toc6055"/>
      <w:bookmarkStart w:id="196" w:name="_Toc1792"/>
      <w:bookmarkStart w:id="197" w:name="_Toc3157"/>
      <w:r>
        <w:rPr>
          <w:rFonts w:hint="eastAsia"/>
          <w:szCs w:val="24"/>
        </w:rPr>
        <w:t>到货检验</w:t>
      </w:r>
      <w:bookmarkEnd w:id="190"/>
      <w:bookmarkEnd w:id="191"/>
      <w:bookmarkEnd w:id="192"/>
      <w:bookmarkEnd w:id="193"/>
      <w:bookmarkEnd w:id="194"/>
      <w:bookmarkEnd w:id="195"/>
      <w:bookmarkEnd w:id="196"/>
      <w:bookmarkEnd w:id="197"/>
    </w:p>
    <w:p>
      <w:pPr>
        <w:pStyle w:val="25"/>
        <w:spacing w:line="360" w:lineRule="auto"/>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）测试硬件板卡</w:t>
      </w:r>
      <w:r>
        <w:rPr>
          <w:rFonts w:ascii="Times New Roman" w:hAnsi="Times New Roman"/>
          <w:sz w:val="24"/>
          <w:szCs w:val="24"/>
        </w:rPr>
        <w:t>运到现场</w:t>
      </w:r>
      <w:r>
        <w:rPr>
          <w:rFonts w:hint="eastAsia" w:ascii="Times New Roman" w:hAnsi="Times New Roman"/>
          <w:sz w:val="24"/>
          <w:szCs w:val="24"/>
        </w:rPr>
        <w:t>，报价人</w:t>
      </w:r>
      <w:r>
        <w:rPr>
          <w:rFonts w:ascii="Times New Roman" w:hAnsi="Times New Roman"/>
          <w:sz w:val="24"/>
          <w:szCs w:val="24"/>
        </w:rPr>
        <w:t>应通知</w:t>
      </w:r>
      <w:r>
        <w:rPr>
          <w:rFonts w:hint="eastAsia" w:ascii="Times New Roman" w:hAnsi="Times New Roman"/>
          <w:sz w:val="24"/>
          <w:szCs w:val="24"/>
        </w:rPr>
        <w:t>采购人</w:t>
      </w:r>
      <w:r>
        <w:rPr>
          <w:rFonts w:ascii="Times New Roman" w:hAnsi="Times New Roman"/>
          <w:sz w:val="24"/>
          <w:szCs w:val="24"/>
        </w:rPr>
        <w:t>到场参加</w:t>
      </w:r>
      <w:r>
        <w:rPr>
          <w:rFonts w:hint="eastAsia" w:ascii="Times New Roman" w:hAnsi="Times New Roman"/>
          <w:sz w:val="24"/>
          <w:szCs w:val="24"/>
        </w:rPr>
        <w:t>测试硬件板卡到货验收</w:t>
      </w:r>
      <w:r>
        <w:rPr>
          <w:rFonts w:ascii="Times New Roman" w:hAnsi="Times New Roman"/>
          <w:sz w:val="24"/>
          <w:szCs w:val="24"/>
        </w:rPr>
        <w:t>。</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w:t>
      </w:r>
      <w:r>
        <w:rPr>
          <w:rFonts w:ascii="Times New Roman" w:hAnsi="Times New Roman"/>
          <w:sz w:val="24"/>
          <w:szCs w:val="24"/>
        </w:rPr>
        <w:t>在</w:t>
      </w:r>
      <w:r>
        <w:rPr>
          <w:rFonts w:hint="eastAsia" w:ascii="Times New Roman" w:hAnsi="Times New Roman"/>
          <w:sz w:val="24"/>
          <w:szCs w:val="24"/>
        </w:rPr>
        <w:t>验收</w:t>
      </w:r>
      <w:r>
        <w:rPr>
          <w:rFonts w:ascii="Times New Roman" w:hAnsi="Times New Roman"/>
          <w:sz w:val="24"/>
          <w:szCs w:val="24"/>
        </w:rPr>
        <w:t>过程中</w:t>
      </w:r>
      <w:r>
        <w:rPr>
          <w:rFonts w:hint="eastAsia" w:ascii="Times New Roman" w:hAnsi="Times New Roman"/>
          <w:sz w:val="24"/>
          <w:szCs w:val="24"/>
        </w:rPr>
        <w:t>，</w:t>
      </w:r>
      <w:r>
        <w:rPr>
          <w:rFonts w:ascii="Times New Roman" w:hAnsi="Times New Roman"/>
          <w:sz w:val="24"/>
          <w:szCs w:val="24"/>
        </w:rPr>
        <w:t>若发现</w:t>
      </w:r>
      <w:r>
        <w:rPr>
          <w:rFonts w:hint="eastAsia"/>
          <w:sz w:val="24"/>
        </w:rPr>
        <w:t>硬件平台</w:t>
      </w:r>
      <w:r>
        <w:rPr>
          <w:rFonts w:ascii="Times New Roman" w:hAnsi="Times New Roman"/>
          <w:sz w:val="24"/>
          <w:szCs w:val="24"/>
        </w:rPr>
        <w:t>存在元器件损坏或不正常工作情况，</w:t>
      </w:r>
      <w:r>
        <w:rPr>
          <w:rFonts w:hint="eastAsia" w:ascii="Times New Roman" w:hAnsi="Times New Roman"/>
          <w:sz w:val="24"/>
          <w:szCs w:val="24"/>
        </w:rPr>
        <w:t>报价人</w:t>
      </w:r>
      <w:r>
        <w:rPr>
          <w:rFonts w:ascii="Times New Roman" w:hAnsi="Times New Roman"/>
          <w:sz w:val="24"/>
          <w:szCs w:val="24"/>
        </w:rPr>
        <w:t>应负责更换。</w:t>
      </w:r>
    </w:p>
    <w:p>
      <w:pPr>
        <w:pStyle w:val="3"/>
        <w:spacing w:before="0" w:after="0"/>
        <w:rPr>
          <w:szCs w:val="24"/>
        </w:rPr>
      </w:pPr>
      <w:bookmarkStart w:id="198" w:name="_Toc2115"/>
      <w:bookmarkStart w:id="199" w:name="_Toc31614"/>
      <w:bookmarkStart w:id="200" w:name="_Toc17216"/>
      <w:bookmarkStart w:id="201" w:name="_Toc169290946"/>
      <w:bookmarkStart w:id="202" w:name="_Toc63"/>
      <w:bookmarkStart w:id="203" w:name="_Toc23966"/>
      <w:bookmarkStart w:id="204" w:name="_Toc8600"/>
      <w:bookmarkStart w:id="205" w:name="_Toc24295"/>
      <w:r>
        <w:rPr>
          <w:szCs w:val="24"/>
        </w:rPr>
        <w:t>壳体外观检查</w:t>
      </w:r>
      <w:bookmarkEnd w:id="198"/>
      <w:bookmarkEnd w:id="199"/>
      <w:bookmarkEnd w:id="200"/>
      <w:bookmarkEnd w:id="201"/>
      <w:bookmarkEnd w:id="202"/>
      <w:bookmarkEnd w:id="203"/>
      <w:bookmarkEnd w:id="204"/>
      <w:bookmarkEnd w:id="205"/>
    </w:p>
    <w:p>
      <w:pPr>
        <w:pStyle w:val="25"/>
        <w:spacing w:line="360" w:lineRule="auto"/>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）测试硬件板卡外观</w:t>
      </w:r>
      <w:r>
        <w:rPr>
          <w:rFonts w:ascii="Times New Roman" w:hAnsi="Times New Roman"/>
          <w:sz w:val="24"/>
          <w:szCs w:val="24"/>
        </w:rPr>
        <w:t>无明显凹凸痕、划伤、变形等缺陷；</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w:t>
      </w:r>
      <w:r>
        <w:rPr>
          <w:rFonts w:ascii="Times New Roman" w:hAnsi="Times New Roman"/>
          <w:sz w:val="24"/>
          <w:szCs w:val="24"/>
        </w:rPr>
        <w:t>丝印符合图纸要求：表面涂层应均匀、不应脱落；</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w:t>
      </w:r>
      <w:r>
        <w:rPr>
          <w:rFonts w:ascii="Times New Roman" w:hAnsi="Times New Roman"/>
          <w:sz w:val="24"/>
          <w:szCs w:val="24"/>
        </w:rPr>
        <w:t>零部件紧固可靠，无锈蚀、毛刺、裂纹等缺陷和损伤</w:t>
      </w:r>
      <w:r>
        <w:rPr>
          <w:rFonts w:hint="eastAsia" w:ascii="Times New Roman" w:hAnsi="Times New Roman"/>
          <w:sz w:val="24"/>
          <w:szCs w:val="24"/>
        </w:rPr>
        <w:t>；</w:t>
      </w:r>
    </w:p>
    <w:p>
      <w:pPr>
        <w:pStyle w:val="25"/>
        <w:spacing w:line="360" w:lineRule="auto"/>
        <w:ind w:firstLine="480" w:firstLineChars="200"/>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w:t>
      </w:r>
      <w:r>
        <w:rPr>
          <w:rFonts w:ascii="Times New Roman" w:hAnsi="Times New Roman"/>
          <w:sz w:val="24"/>
          <w:szCs w:val="24"/>
        </w:rPr>
        <w:t>各模组线序线标应正确无误、接线紧固可靠不脱落、压头紧固不动</w:t>
      </w:r>
      <w:r>
        <w:rPr>
          <w:rFonts w:hint="eastAsia" w:ascii="Times New Roman" w:hAnsi="Times New Roman"/>
          <w:sz w:val="24"/>
          <w:szCs w:val="24"/>
        </w:rPr>
        <w:t>。</w:t>
      </w:r>
    </w:p>
    <w:p>
      <w:pPr>
        <w:pStyle w:val="2"/>
        <w:spacing w:before="120" w:beforeLines="50" w:after="120" w:afterLines="50" w:line="360" w:lineRule="auto"/>
      </w:pPr>
      <w:bookmarkStart w:id="206" w:name="_Toc2539"/>
      <w:bookmarkStart w:id="207" w:name="_Toc24094"/>
      <w:bookmarkStart w:id="208" w:name="_Toc7301"/>
      <w:bookmarkStart w:id="209" w:name="_Toc23006"/>
      <w:bookmarkStart w:id="210" w:name="_Toc18962"/>
      <w:bookmarkStart w:id="211" w:name="_Toc2574"/>
      <w:bookmarkStart w:id="212" w:name="_Toc169290947"/>
      <w:bookmarkStart w:id="213" w:name="_Toc6986"/>
      <w:bookmarkStart w:id="214" w:name="_Toc1943"/>
      <w:bookmarkStart w:id="215" w:name="_Toc19689"/>
      <w:bookmarkStart w:id="216" w:name="_Toc26118"/>
      <w:bookmarkStart w:id="217" w:name="_Toc54800693"/>
      <w:bookmarkStart w:id="218" w:name="_Toc16724"/>
      <w:r>
        <w:rPr>
          <w:rFonts w:hint="eastAsia"/>
        </w:rPr>
        <w:t>质保</w:t>
      </w:r>
      <w:r>
        <w:t>及售后服务</w:t>
      </w:r>
      <w:bookmarkEnd w:id="206"/>
      <w:bookmarkEnd w:id="207"/>
      <w:bookmarkEnd w:id="208"/>
      <w:bookmarkEnd w:id="209"/>
      <w:bookmarkEnd w:id="210"/>
      <w:bookmarkEnd w:id="211"/>
      <w:bookmarkEnd w:id="212"/>
      <w:bookmarkEnd w:id="213"/>
      <w:bookmarkEnd w:id="214"/>
      <w:bookmarkEnd w:id="215"/>
      <w:bookmarkEnd w:id="216"/>
      <w:bookmarkEnd w:id="217"/>
      <w:bookmarkEnd w:id="218"/>
    </w:p>
    <w:p>
      <w:pPr>
        <w:pStyle w:val="3"/>
        <w:spacing w:before="0" w:after="0"/>
        <w:rPr>
          <w:szCs w:val="24"/>
        </w:rPr>
      </w:pPr>
      <w:bookmarkStart w:id="219" w:name="_Toc7110"/>
      <w:bookmarkStart w:id="220" w:name="_Toc10247"/>
      <w:bookmarkStart w:id="221" w:name="_Toc29966"/>
      <w:bookmarkStart w:id="222" w:name="_Toc28396"/>
      <w:bookmarkStart w:id="223" w:name="_Toc169290948"/>
      <w:bookmarkStart w:id="224" w:name="_Toc3187"/>
      <w:bookmarkStart w:id="225" w:name="_Toc31270"/>
      <w:bookmarkStart w:id="226" w:name="_Toc29000"/>
      <w:bookmarkStart w:id="227" w:name="_Toc54800695"/>
      <w:bookmarkStart w:id="228" w:name="_Toc27271"/>
      <w:bookmarkStart w:id="229" w:name="_Toc8202"/>
      <w:bookmarkStart w:id="230" w:name="_Toc15158"/>
      <w:bookmarkStart w:id="231" w:name="_Toc26646"/>
      <w:r>
        <w:rPr>
          <w:szCs w:val="24"/>
        </w:rPr>
        <w:t>质量保证要求</w:t>
      </w:r>
      <w:bookmarkEnd w:id="219"/>
      <w:bookmarkEnd w:id="220"/>
      <w:bookmarkEnd w:id="221"/>
      <w:bookmarkEnd w:id="222"/>
      <w:bookmarkEnd w:id="223"/>
      <w:bookmarkEnd w:id="224"/>
      <w:bookmarkEnd w:id="225"/>
      <w:bookmarkEnd w:id="226"/>
    </w:p>
    <w:p>
      <w:pPr>
        <w:pStyle w:val="25"/>
        <w:spacing w:line="360" w:lineRule="auto"/>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w:t>
      </w:r>
      <w:r>
        <w:rPr>
          <w:rFonts w:ascii="Times New Roman" w:hAnsi="Times New Roman"/>
          <w:sz w:val="24"/>
          <w:szCs w:val="24"/>
        </w:rPr>
        <w:t>产品质保期为</w:t>
      </w:r>
      <w:r>
        <w:rPr>
          <w:rFonts w:hint="eastAsia" w:ascii="Times New Roman" w:hAnsi="Times New Roman"/>
          <w:sz w:val="24"/>
          <w:szCs w:val="24"/>
        </w:rPr>
        <w:t>1</w:t>
      </w:r>
      <w:r>
        <w:rPr>
          <w:rFonts w:ascii="Times New Roman" w:hAnsi="Times New Roman"/>
          <w:sz w:val="24"/>
          <w:szCs w:val="24"/>
        </w:rPr>
        <w:t>年，保质期内</w:t>
      </w:r>
      <w:r>
        <w:rPr>
          <w:rFonts w:hint="eastAsia" w:ascii="Times New Roman" w:hAnsi="Times New Roman"/>
          <w:sz w:val="24"/>
          <w:szCs w:val="24"/>
        </w:rPr>
        <w:t>元器件非人为</w:t>
      </w:r>
      <w:r>
        <w:rPr>
          <w:rFonts w:ascii="Times New Roman" w:hAnsi="Times New Roman"/>
          <w:sz w:val="24"/>
          <w:szCs w:val="24"/>
        </w:rPr>
        <w:t>损坏，由</w:t>
      </w:r>
      <w:r>
        <w:rPr>
          <w:rFonts w:hint="eastAsia" w:ascii="Times New Roman" w:hAnsi="Times New Roman"/>
          <w:sz w:val="24"/>
          <w:szCs w:val="24"/>
        </w:rPr>
        <w:t>报价人</w:t>
      </w:r>
      <w:r>
        <w:rPr>
          <w:rFonts w:ascii="Times New Roman" w:hAnsi="Times New Roman"/>
          <w:sz w:val="24"/>
          <w:szCs w:val="24"/>
        </w:rPr>
        <w:t>负责免费修理或更换。超过保质期有配件或设备损坏，</w:t>
      </w:r>
      <w:r>
        <w:rPr>
          <w:rFonts w:hint="eastAsia" w:ascii="Times New Roman" w:hAnsi="Times New Roman"/>
          <w:sz w:val="24"/>
          <w:szCs w:val="24"/>
        </w:rPr>
        <w:t>报价人</w:t>
      </w:r>
      <w:r>
        <w:rPr>
          <w:rFonts w:ascii="Times New Roman" w:hAnsi="Times New Roman"/>
          <w:sz w:val="24"/>
          <w:szCs w:val="24"/>
        </w:rPr>
        <w:t>有优先提供配件和修理的义务；</w:t>
      </w:r>
    </w:p>
    <w:p>
      <w:pPr>
        <w:widowControl/>
        <w:adjustRightInd w:val="0"/>
        <w:snapToGrid w:val="0"/>
        <w:spacing w:line="360" w:lineRule="auto"/>
        <w:ind w:firstLine="480" w:firstLineChars="200"/>
        <w:rPr>
          <w:rFonts w:hint="eastAsia" w:ascii="宋体" w:hAnsi="宋体"/>
          <w:sz w:val="24"/>
          <w:szCs w:val="22"/>
        </w:rPr>
      </w:pPr>
      <w:r>
        <w:rPr>
          <w:rFonts w:ascii="宋体" w:hAnsi="宋体"/>
          <w:sz w:val="24"/>
          <w:szCs w:val="22"/>
        </w:rPr>
        <w:t>2</w:t>
      </w:r>
      <w:r>
        <w:rPr>
          <w:rFonts w:hint="eastAsia" w:ascii="宋体" w:hAnsi="宋体"/>
          <w:sz w:val="24"/>
          <w:szCs w:val="22"/>
        </w:rPr>
        <w:t>）全部元器件必须是全新的，持久耐用的，应满足作为一个完整产品所能满足的全部要求。</w:t>
      </w:r>
      <w:r>
        <w:rPr>
          <w:rFonts w:hint="eastAsia"/>
          <w:sz w:val="24"/>
        </w:rPr>
        <w:t>报价人</w:t>
      </w:r>
      <w:r>
        <w:rPr>
          <w:sz w:val="24"/>
        </w:rPr>
        <w:t>应保证所提供的所有设备的质量均能满足合同要求。</w:t>
      </w:r>
      <w:r>
        <w:rPr>
          <w:rFonts w:hint="eastAsia" w:ascii="宋体" w:hAnsi="宋体"/>
          <w:sz w:val="24"/>
          <w:szCs w:val="22"/>
        </w:rPr>
        <w:t>报价人应保证制造过程中的所有工艺、材料试验等(包括报价人的外购件在内)均应合应遵循的主要技术标准规定。</w:t>
      </w:r>
    </w:p>
    <w:p>
      <w:pPr>
        <w:widowControl/>
        <w:adjustRightInd w:val="0"/>
        <w:snapToGrid w:val="0"/>
        <w:spacing w:line="360" w:lineRule="auto"/>
        <w:ind w:firstLine="480" w:firstLineChars="200"/>
        <w:rPr>
          <w:rFonts w:hint="eastAsia" w:ascii="宋体" w:hAnsi="宋体"/>
          <w:sz w:val="24"/>
          <w:szCs w:val="22"/>
        </w:rPr>
      </w:pPr>
      <w:r>
        <w:rPr>
          <w:rFonts w:ascii="宋体" w:hAnsi="宋体"/>
          <w:sz w:val="24"/>
          <w:szCs w:val="22"/>
        </w:rPr>
        <w:t>3</w:t>
      </w:r>
      <w:r>
        <w:rPr>
          <w:rFonts w:hint="eastAsia" w:ascii="宋体" w:hAnsi="宋体"/>
          <w:sz w:val="24"/>
          <w:szCs w:val="22"/>
        </w:rPr>
        <w:t>）在质保期内，质保服务为软件的现场升级、故障设备换新、故障部件现场更换、设备的现场维修与维护以及电话技术支持等服务，不再收取额外费用。</w:t>
      </w:r>
    </w:p>
    <w:p>
      <w:pPr>
        <w:widowControl/>
        <w:adjustRightInd w:val="0"/>
        <w:snapToGrid w:val="0"/>
        <w:spacing w:line="360" w:lineRule="auto"/>
        <w:ind w:firstLine="480" w:firstLineChars="200"/>
        <w:rPr>
          <w:rFonts w:hint="eastAsia" w:ascii="宋体" w:hAnsi="宋体"/>
          <w:sz w:val="24"/>
          <w:szCs w:val="22"/>
        </w:rPr>
      </w:pPr>
      <w:r>
        <w:rPr>
          <w:rFonts w:hint="eastAsia" w:ascii="宋体" w:hAnsi="宋体"/>
          <w:sz w:val="24"/>
          <w:szCs w:val="22"/>
        </w:rPr>
        <w:t>4）质保期后如发生产品损坏，报价人应及时为本组装置提供维修部件，并按最近的响应价提供。</w:t>
      </w:r>
    </w:p>
    <w:p>
      <w:pPr>
        <w:spacing w:line="500" w:lineRule="exact"/>
        <w:ind w:firstLine="480" w:firstLineChars="200"/>
        <w:rPr>
          <w:rFonts w:hint="eastAsia" w:ascii="仿宋_GB2312" w:hAnsi="仿宋_GB2312" w:cs="仿宋_GB2312"/>
          <w:sz w:val="24"/>
        </w:rPr>
      </w:pPr>
      <w:r>
        <w:rPr>
          <w:rFonts w:hint="eastAsia" w:ascii="宋体" w:hAnsi="宋体"/>
          <w:sz w:val="24"/>
          <w:szCs w:val="22"/>
        </w:rPr>
        <w:t>5）</w:t>
      </w:r>
      <w:r>
        <w:rPr>
          <w:rFonts w:hint="eastAsia" w:ascii="仿宋_GB2312" w:hAnsi="仿宋_GB2312" w:cs="仿宋_GB2312"/>
          <w:sz w:val="24"/>
        </w:rPr>
        <w:t>报价人供应设备的所有零部件由报价人对其质量负责。报价人选定的所有器件、品牌、型号规格、参数指标报采购人备案后执行，报价人不得擅自更改。采购人有权不定期随机抽选关键器件到指定第三方机构进行检测，抽检合格，费用由采购人承担，若不合格，所有检测相关费用均由报价人承担。如果抽检的相关器件不满足设计要求，采购人有权要求报价人禁用该品牌器件。</w:t>
      </w:r>
    </w:p>
    <w:p>
      <w:pPr>
        <w:spacing w:line="500" w:lineRule="exact"/>
        <w:ind w:firstLine="480" w:firstLineChars="200"/>
        <w:rPr>
          <w:rFonts w:hint="eastAsia" w:ascii="仿宋_GB2312" w:hAnsi="仿宋_GB2312" w:cs="仿宋_GB2312"/>
          <w:sz w:val="24"/>
        </w:rPr>
      </w:pPr>
      <w:bookmarkStart w:id="232" w:name="_Hlk169275488"/>
      <w:r>
        <w:rPr>
          <w:rFonts w:hint="eastAsia" w:ascii="宋体" w:hAnsi="宋体"/>
          <w:sz w:val="24"/>
          <w:szCs w:val="22"/>
        </w:rPr>
        <w:t>6）</w:t>
      </w:r>
      <w:r>
        <w:rPr>
          <w:rFonts w:hint="eastAsia" w:ascii="仿宋_GB2312" w:hAnsi="仿宋_GB2312" w:cs="仿宋_GB2312"/>
          <w:sz w:val="24"/>
        </w:rPr>
        <w:t>报价人加工制造的产品，需达到采购人的技术规范要求，未征得采购人的同意，严禁进行产品替换或迭代。</w:t>
      </w:r>
      <w:bookmarkEnd w:id="232"/>
    </w:p>
    <w:p>
      <w:pPr>
        <w:spacing w:line="500" w:lineRule="exact"/>
        <w:ind w:firstLine="480" w:firstLineChars="200"/>
        <w:rPr>
          <w:rFonts w:hint="eastAsia" w:ascii="宋体" w:hAnsi="宋体"/>
          <w:sz w:val="24"/>
          <w:szCs w:val="22"/>
        </w:rPr>
      </w:pPr>
      <w:r>
        <w:rPr>
          <w:rFonts w:hint="eastAsia" w:ascii="仿宋_GB2312" w:hAnsi="仿宋_GB2312" w:cs="仿宋_GB2312"/>
          <w:sz w:val="24"/>
        </w:rPr>
        <w:t>7）采购人发生设备故障时，未查明故障责任方或原因时，报价人有责任配合采购人恢复设备运行并查明故障原因。由于报价人原因导致故障的，报价人应在采购人要求时间内向采购人提供详细书面报告。</w:t>
      </w:r>
    </w:p>
    <w:p>
      <w:pPr>
        <w:pStyle w:val="3"/>
        <w:spacing w:before="0" w:after="0"/>
        <w:rPr>
          <w:szCs w:val="24"/>
        </w:rPr>
      </w:pPr>
      <w:bookmarkStart w:id="233" w:name="_Toc12804"/>
      <w:bookmarkStart w:id="234" w:name="_Toc16450"/>
      <w:bookmarkStart w:id="235" w:name="_Toc169290949"/>
      <w:bookmarkStart w:id="236" w:name="_Toc30741"/>
      <w:bookmarkStart w:id="237" w:name="_Toc21138"/>
      <w:bookmarkStart w:id="238" w:name="_Toc25701"/>
      <w:bookmarkStart w:id="239" w:name="_Toc20594"/>
      <w:bookmarkStart w:id="240" w:name="_Toc29134"/>
      <w:r>
        <w:rPr>
          <w:szCs w:val="24"/>
        </w:rPr>
        <w:t>售后服务</w:t>
      </w:r>
      <w:bookmarkEnd w:id="227"/>
      <w:bookmarkEnd w:id="228"/>
      <w:bookmarkEnd w:id="229"/>
      <w:bookmarkEnd w:id="230"/>
      <w:bookmarkEnd w:id="231"/>
      <w:bookmarkEnd w:id="233"/>
      <w:bookmarkEnd w:id="234"/>
      <w:bookmarkEnd w:id="235"/>
      <w:bookmarkEnd w:id="236"/>
      <w:bookmarkEnd w:id="237"/>
      <w:bookmarkEnd w:id="238"/>
      <w:bookmarkEnd w:id="239"/>
      <w:bookmarkEnd w:id="240"/>
    </w:p>
    <w:p>
      <w:pPr>
        <w:pStyle w:val="25"/>
        <w:spacing w:line="360" w:lineRule="auto"/>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）报价人</w:t>
      </w:r>
      <w:r>
        <w:rPr>
          <w:rFonts w:ascii="Times New Roman" w:hAnsi="Times New Roman"/>
          <w:sz w:val="24"/>
          <w:szCs w:val="24"/>
        </w:rPr>
        <w:t>应负责解决合同设备制造及性能等方面的有关问题，详细解答合同范围内</w:t>
      </w:r>
      <w:r>
        <w:rPr>
          <w:rFonts w:hint="eastAsia" w:ascii="Times New Roman" w:hAnsi="Times New Roman"/>
          <w:sz w:val="24"/>
          <w:szCs w:val="24"/>
        </w:rPr>
        <w:t>采购人</w:t>
      </w:r>
      <w:r>
        <w:rPr>
          <w:rFonts w:ascii="Times New Roman" w:hAnsi="Times New Roman"/>
          <w:sz w:val="24"/>
          <w:szCs w:val="24"/>
        </w:rPr>
        <w:t>提出的问题。</w:t>
      </w:r>
    </w:p>
    <w:p>
      <w:pPr>
        <w:pStyle w:val="25"/>
        <w:spacing w:line="360" w:lineRule="auto"/>
        <w:ind w:firstLine="480" w:firstLineChars="200"/>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现场投运前和试运行中发现的设备缺陷和元件损坏，</w:t>
      </w:r>
      <w:r>
        <w:rPr>
          <w:rFonts w:hint="eastAsia" w:ascii="Times New Roman" w:hAnsi="Times New Roman"/>
          <w:sz w:val="24"/>
          <w:szCs w:val="24"/>
        </w:rPr>
        <w:t>报价人</w:t>
      </w:r>
      <w:r>
        <w:rPr>
          <w:rFonts w:ascii="Times New Roman" w:hAnsi="Times New Roman"/>
          <w:sz w:val="24"/>
          <w:szCs w:val="24"/>
        </w:rPr>
        <w:t>应及时无偿修理或更换，直至符合规范要求。</w:t>
      </w:r>
    </w:p>
    <w:bookmarkEnd w:id="129"/>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Pr>
        <w:pStyle w:val="2"/>
        <w:spacing w:before="120" w:beforeLines="50" w:after="120" w:afterLines="50" w:line="360" w:lineRule="auto"/>
      </w:pPr>
      <w:bookmarkStart w:id="241" w:name="_Toc169290951"/>
      <w:bookmarkStart w:id="242" w:name="_Toc11165"/>
      <w:bookmarkStart w:id="243" w:name="_Toc18278"/>
      <w:bookmarkStart w:id="244" w:name="_Toc6934"/>
      <w:bookmarkStart w:id="245" w:name="_Toc13094"/>
      <w:bookmarkStart w:id="246" w:name="_Toc54800682"/>
      <w:bookmarkStart w:id="247" w:name="_Toc27460"/>
      <w:bookmarkStart w:id="248" w:name="_Toc20982"/>
      <w:bookmarkStart w:id="249" w:name="_Toc18394"/>
      <w:r>
        <w:t>对</w:t>
      </w:r>
      <w:r>
        <w:rPr>
          <w:rFonts w:hint="eastAsia"/>
        </w:rPr>
        <w:t>报价人</w:t>
      </w:r>
      <w:r>
        <w:t>的要求</w:t>
      </w:r>
      <w:bookmarkEnd w:id="241"/>
      <w:bookmarkEnd w:id="242"/>
      <w:bookmarkEnd w:id="243"/>
      <w:bookmarkEnd w:id="244"/>
      <w:bookmarkEnd w:id="245"/>
      <w:bookmarkEnd w:id="246"/>
      <w:bookmarkEnd w:id="247"/>
      <w:bookmarkEnd w:id="248"/>
      <w:bookmarkEnd w:id="249"/>
    </w:p>
    <w:p>
      <w:pPr>
        <w:spacing w:line="500" w:lineRule="exact"/>
        <w:ind w:firstLine="480" w:firstLineChars="200"/>
        <w:rPr>
          <w:sz w:val="24"/>
        </w:rPr>
      </w:pPr>
      <w:r>
        <w:rPr>
          <w:rFonts w:hint="eastAsia"/>
          <w:sz w:val="24"/>
        </w:rPr>
        <w:t>报价人</w:t>
      </w:r>
      <w:r>
        <w:rPr>
          <w:sz w:val="24"/>
        </w:rPr>
        <w:t>对本技术</w:t>
      </w:r>
      <w:r>
        <w:rPr>
          <w:rFonts w:hint="eastAsia"/>
          <w:sz w:val="24"/>
        </w:rPr>
        <w:t>规范</w:t>
      </w:r>
      <w:r>
        <w:rPr>
          <w:sz w:val="24"/>
        </w:rPr>
        <w:t>书的某些部分如不能满足要求，应</w:t>
      </w:r>
      <w:r>
        <w:rPr>
          <w:rFonts w:hint="eastAsia"/>
          <w:sz w:val="24"/>
        </w:rPr>
        <w:t>提供响应文件并进行具体</w:t>
      </w:r>
      <w:r>
        <w:rPr>
          <w:sz w:val="24"/>
        </w:rPr>
        <w:t>说明</w:t>
      </w:r>
      <w:r>
        <w:rPr>
          <w:rFonts w:hint="eastAsia"/>
          <w:sz w:val="24"/>
        </w:rPr>
        <w:t>。若报价人不提供响应文件，或响应文件未提及，则视为报价人提供的服务完全可以满足本技术规范书的要求。报价人应按要求提供项目服务承诺函。</w:t>
      </w:r>
    </w:p>
    <w:p>
      <w:pPr>
        <w:pStyle w:val="2"/>
        <w:spacing w:before="120" w:beforeLines="50" w:after="120" w:afterLines="50" w:line="360" w:lineRule="auto"/>
      </w:pPr>
      <w:bookmarkStart w:id="250" w:name="_Toc169290952"/>
      <w:bookmarkStart w:id="251" w:name="_Toc25757"/>
      <w:bookmarkStart w:id="252" w:name="_Toc6947"/>
      <w:bookmarkStart w:id="253" w:name="_Toc9788"/>
      <w:bookmarkStart w:id="254" w:name="_Toc23153"/>
      <w:bookmarkStart w:id="255" w:name="_Toc54800683"/>
      <w:bookmarkStart w:id="256" w:name="_Toc9651"/>
      <w:bookmarkStart w:id="257" w:name="_Toc95"/>
      <w:bookmarkStart w:id="258" w:name="_Toc6515"/>
      <w:r>
        <w:t>技术文件</w:t>
      </w:r>
      <w:bookmarkEnd w:id="250"/>
      <w:bookmarkEnd w:id="251"/>
      <w:bookmarkEnd w:id="252"/>
      <w:bookmarkEnd w:id="253"/>
      <w:bookmarkEnd w:id="254"/>
      <w:bookmarkEnd w:id="255"/>
      <w:bookmarkEnd w:id="256"/>
      <w:bookmarkEnd w:id="257"/>
      <w:bookmarkEnd w:id="258"/>
    </w:p>
    <w:p>
      <w:pPr>
        <w:spacing w:line="360" w:lineRule="auto"/>
        <w:ind w:firstLine="480" w:firstLineChars="200"/>
        <w:rPr>
          <w:sz w:val="24"/>
        </w:rPr>
      </w:pPr>
      <w:r>
        <w:rPr>
          <w:rFonts w:hint="eastAsia"/>
          <w:sz w:val="24"/>
        </w:rPr>
        <w:t>若存在替换物料建议，报价人应在响应文件中提供替换元器件产品的详细技术参数。</w:t>
      </w:r>
    </w:p>
    <w:p>
      <w:pPr>
        <w:spacing w:line="360" w:lineRule="auto"/>
        <w:ind w:firstLine="480" w:firstLineChars="200"/>
        <w:rPr>
          <w:sz w:val="24"/>
        </w:rPr>
      </w:pPr>
      <w:r>
        <w:rPr>
          <w:rFonts w:hint="eastAsia"/>
          <w:sz w:val="24"/>
        </w:rPr>
        <w:t>成交人</w:t>
      </w:r>
      <w:r>
        <w:rPr>
          <w:sz w:val="24"/>
        </w:rPr>
        <w:t>在订货前应向</w:t>
      </w:r>
      <w:r>
        <w:rPr>
          <w:rFonts w:hint="eastAsia"/>
          <w:sz w:val="24"/>
        </w:rPr>
        <w:t>采购人</w:t>
      </w:r>
      <w:r>
        <w:rPr>
          <w:sz w:val="24"/>
        </w:rPr>
        <w:t>提供</w:t>
      </w:r>
      <w:r>
        <w:rPr>
          <w:rFonts w:hint="eastAsia"/>
          <w:sz w:val="24"/>
        </w:rPr>
        <w:t>物料清单</w:t>
      </w:r>
      <w:r>
        <w:rPr>
          <w:sz w:val="24"/>
        </w:rPr>
        <w:t>。</w:t>
      </w:r>
    </w:p>
    <w:p>
      <w:pPr>
        <w:spacing w:line="360" w:lineRule="auto"/>
        <w:ind w:firstLine="480" w:firstLineChars="200"/>
        <w:rPr>
          <w:sz w:val="24"/>
        </w:rPr>
      </w:pPr>
      <w:r>
        <w:rPr>
          <w:rFonts w:hint="eastAsia"/>
          <w:sz w:val="24"/>
        </w:rPr>
        <w:t>若采购人有需求的情况下，成交人可提供元器件相关的资料：包括安装、运行、维护、修理说明书（中文或中英文对照），部件清单，工厂试验报告，产品合格证等</w:t>
      </w:r>
      <w:r>
        <w:rPr>
          <w:sz w:val="24"/>
        </w:rPr>
        <w:t>。</w:t>
      </w:r>
    </w:p>
    <w:p>
      <w:pPr>
        <w:pStyle w:val="2"/>
        <w:spacing w:before="120" w:beforeLines="50" w:after="120" w:afterLines="50" w:line="360" w:lineRule="auto"/>
      </w:pPr>
      <w:bookmarkStart w:id="259" w:name="_Toc9614"/>
      <w:bookmarkStart w:id="260" w:name="_Toc25618"/>
      <w:bookmarkStart w:id="261" w:name="_Toc31054"/>
      <w:bookmarkStart w:id="262" w:name="_Toc15466"/>
      <w:bookmarkStart w:id="263" w:name="_Toc24923"/>
      <w:bookmarkStart w:id="264" w:name="_Toc169290953"/>
      <w:bookmarkStart w:id="265" w:name="_Toc11417"/>
      <w:bookmarkStart w:id="266" w:name="_Toc11830"/>
      <w:r>
        <w:rPr>
          <w:rFonts w:hint="eastAsia"/>
        </w:rPr>
        <w:t>附件</w:t>
      </w:r>
      <w:bookmarkEnd w:id="259"/>
      <w:bookmarkEnd w:id="260"/>
      <w:bookmarkEnd w:id="261"/>
      <w:bookmarkEnd w:id="262"/>
      <w:bookmarkEnd w:id="263"/>
      <w:bookmarkEnd w:id="264"/>
      <w:bookmarkEnd w:id="265"/>
      <w:bookmarkEnd w:id="266"/>
    </w:p>
    <w:p>
      <w:pPr>
        <w:pStyle w:val="3"/>
        <w:spacing w:before="0" w:after="0"/>
        <w:rPr>
          <w:szCs w:val="24"/>
        </w:rPr>
      </w:pPr>
      <w:bookmarkStart w:id="267" w:name="_Toc28846"/>
      <w:bookmarkStart w:id="268" w:name="_Toc953"/>
      <w:bookmarkStart w:id="269" w:name="_Toc11309"/>
      <w:bookmarkStart w:id="270" w:name="_Toc519"/>
      <w:bookmarkStart w:id="271" w:name="_Toc27901"/>
      <w:bookmarkStart w:id="272" w:name="_Toc121775254"/>
      <w:bookmarkStart w:id="273" w:name="_Toc22849"/>
      <w:bookmarkStart w:id="274" w:name="_Toc13952"/>
      <w:bookmarkStart w:id="275" w:name="_Toc169290954"/>
      <w:bookmarkStart w:id="276" w:name="_Toc6399"/>
      <w:r>
        <w:rPr>
          <w:rFonts w:hint="eastAsia"/>
          <w:szCs w:val="24"/>
        </w:rPr>
        <w:t>差异表</w:t>
      </w:r>
      <w:bookmarkEnd w:id="267"/>
      <w:bookmarkEnd w:id="268"/>
      <w:bookmarkEnd w:id="269"/>
      <w:bookmarkEnd w:id="270"/>
      <w:bookmarkEnd w:id="271"/>
      <w:bookmarkEnd w:id="272"/>
      <w:bookmarkEnd w:id="273"/>
      <w:bookmarkEnd w:id="274"/>
      <w:bookmarkEnd w:id="275"/>
      <w:bookmarkEnd w:id="276"/>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szCs w:val="21"/>
              </w:rPr>
            </w:pPr>
            <w:r>
              <w:rPr>
                <w:rFonts w:hint="eastAsia" w:ascii="仿宋_GB2312" w:eastAsia="仿宋_GB2312"/>
                <w:szCs w:val="21"/>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仿宋_GB2312" w:eastAsia="仿宋_GB2312"/>
                <w:szCs w:val="21"/>
              </w:rPr>
            </w:pPr>
            <w:r>
              <w:rPr>
                <w:rFonts w:hint="eastAsia" w:ascii="仿宋_GB2312" w:eastAsia="仿宋_GB2312"/>
                <w:szCs w:val="21"/>
              </w:rPr>
              <w:t>采购文件要求</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仿宋_GB2312" w:eastAsia="仿宋_GB2312"/>
                <w:szCs w:val="21"/>
              </w:rPr>
            </w:pPr>
            <w:r>
              <w:rPr>
                <w:rFonts w:hint="eastAsia" w:ascii="仿宋_GB2312" w:eastAsia="仿宋_GB2312"/>
                <w:szCs w:val="21"/>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仿宋_GB2312" w:eastAsia="仿宋_GB2312"/>
                <w:szCs w:val="21"/>
              </w:rPr>
            </w:pPr>
          </w:p>
        </w:tc>
        <w:tc>
          <w:tcPr>
            <w:tcW w:w="102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szCs w:val="21"/>
              </w:rPr>
            </w:pPr>
            <w:r>
              <w:rPr>
                <w:rFonts w:hint="eastAsia" w:ascii="仿宋_GB2312" w:eastAsia="仿宋_GB2312"/>
                <w:szCs w:val="21"/>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仿宋_GB2312" w:eastAsia="仿宋_GB2312"/>
                <w:szCs w:val="21"/>
              </w:rPr>
            </w:pPr>
            <w:r>
              <w:rPr>
                <w:rFonts w:hint="eastAsia" w:ascii="仿宋_GB2312" w:eastAsia="仿宋_GB2312"/>
                <w:szCs w:val="21"/>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仿宋_GB2312" w:eastAsia="仿宋_GB2312"/>
                <w:szCs w:val="21"/>
              </w:rPr>
            </w:pPr>
            <w:r>
              <w:rPr>
                <w:rFonts w:hint="eastAsia" w:ascii="仿宋_GB2312" w:eastAsia="仿宋_GB2312"/>
                <w:szCs w:val="21"/>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仿宋_GB2312" w:eastAsia="仿宋_GB2312"/>
                <w:szCs w:val="21"/>
              </w:rPr>
            </w:pPr>
            <w:r>
              <w:rPr>
                <w:rFonts w:hint="eastAsia" w:ascii="仿宋_GB2312" w:eastAsia="仿宋_GB2312"/>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1020"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1605"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2694"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1020"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ind w:firstLine="480"/>
              <w:jc w:val="right"/>
              <w:rPr>
                <w:rFonts w:ascii="仿宋_GB2312" w:eastAsia="仿宋_GB2312"/>
                <w:szCs w:val="21"/>
              </w:rPr>
            </w:pPr>
          </w:p>
        </w:tc>
        <w:tc>
          <w:tcPr>
            <w:tcW w:w="1605"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c>
          <w:tcPr>
            <w:tcW w:w="2694" w:type="dxa"/>
            <w:tcBorders>
              <w:top w:val="single" w:color="auto" w:sz="4" w:space="0"/>
              <w:left w:val="single" w:color="auto" w:sz="4" w:space="0"/>
              <w:bottom w:val="single" w:color="auto" w:sz="4" w:space="0"/>
              <w:right w:val="single" w:color="auto" w:sz="4" w:space="0"/>
            </w:tcBorders>
          </w:tcPr>
          <w:p>
            <w:pPr>
              <w:spacing w:line="360" w:lineRule="auto"/>
              <w:ind w:firstLine="480"/>
              <w:rPr>
                <w:rFonts w:ascii="仿宋_GB2312" w:eastAsia="仿宋_GB2312"/>
                <w:szCs w:val="21"/>
              </w:rPr>
            </w:pPr>
          </w:p>
        </w:tc>
      </w:tr>
    </w:tbl>
    <w:p>
      <w:pPr>
        <w:pStyle w:val="3"/>
        <w:spacing w:before="0" w:after="0"/>
        <w:rPr>
          <w:szCs w:val="24"/>
        </w:rPr>
      </w:pPr>
      <w:bookmarkStart w:id="277" w:name="_Toc7049"/>
      <w:bookmarkStart w:id="278" w:name="_Toc8066"/>
      <w:bookmarkStart w:id="279" w:name="_Toc23594"/>
      <w:bookmarkStart w:id="280" w:name="_Toc121775255"/>
      <w:bookmarkStart w:id="281" w:name="_Toc28423"/>
      <w:bookmarkStart w:id="282" w:name="_Toc16304"/>
      <w:bookmarkStart w:id="283" w:name="_Toc31738"/>
      <w:bookmarkStart w:id="284" w:name="_Toc12986"/>
      <w:bookmarkStart w:id="285" w:name="_Toc169290955"/>
      <w:bookmarkStart w:id="286" w:name="_Toc2127"/>
      <w:r>
        <w:rPr>
          <w:rFonts w:hint="eastAsia"/>
          <w:szCs w:val="24"/>
        </w:rPr>
        <w:t>报价人需要说明的其它问题</w:t>
      </w:r>
      <w:bookmarkEnd w:id="277"/>
      <w:bookmarkEnd w:id="278"/>
      <w:bookmarkEnd w:id="279"/>
      <w:bookmarkEnd w:id="280"/>
      <w:bookmarkEnd w:id="281"/>
      <w:bookmarkEnd w:id="282"/>
      <w:bookmarkEnd w:id="283"/>
      <w:bookmarkEnd w:id="284"/>
      <w:bookmarkEnd w:id="285"/>
      <w:bookmarkEnd w:id="286"/>
    </w:p>
    <w:p>
      <w:pPr>
        <w:spacing w:line="360" w:lineRule="auto"/>
        <w:ind w:firstLine="480" w:firstLineChars="200"/>
        <w:rPr>
          <w:sz w:val="24"/>
        </w:rPr>
      </w:pPr>
      <w:r>
        <w:rPr>
          <w:rFonts w:hint="eastAsia"/>
          <w:sz w:val="24"/>
        </w:rPr>
        <w:t>/</w:t>
      </w:r>
    </w:p>
    <w:sectPr>
      <w:footerReference r:id="rId3" w:type="default"/>
      <w:pgSz w:w="11908" w:h="16838"/>
      <w:pgMar w:top="1418" w:right="1134" w:bottom="1418" w:left="1701" w:header="851" w:footer="992"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EU-F1">
    <w:altName w:val="宋体"/>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right" w:pos="8820"/>
        <w:tab w:val="clear" w:pos="8306"/>
      </w:tabs>
      <w:ind w:right="360"/>
      <w:jc w:val="center"/>
    </w:pP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FB7C1D"/>
    <w:multiLevelType w:val="multilevel"/>
    <w:tmpl w:val="C2FB7C1D"/>
    <w:lvl w:ilvl="0" w:tentative="0">
      <w:start w:val="1"/>
      <w:numFmt w:val="decimal"/>
      <w:suff w:val="nothing"/>
      <w:lvlText w:val="%1"/>
      <w:lvlJc w:val="left"/>
      <w:pPr>
        <w:ind w:left="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C390CF14"/>
    <w:multiLevelType w:val="multilevel"/>
    <w:tmpl w:val="C390CF14"/>
    <w:lvl w:ilvl="0" w:tentative="0">
      <w:start w:val="1"/>
      <w:numFmt w:val="decimal"/>
      <w:suff w:val="nothing"/>
      <w:lvlText w:val="%1"/>
      <w:lvlJc w:val="left"/>
      <w:pPr>
        <w:ind w:left="21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D564A83B"/>
    <w:multiLevelType w:val="multilevel"/>
    <w:tmpl w:val="D564A83B"/>
    <w:lvl w:ilvl="0" w:tentative="0">
      <w:start w:val="1"/>
      <w:numFmt w:val="decimal"/>
      <w:suff w:val="nothing"/>
      <w:lvlText w:val="%1"/>
      <w:lvlJc w:val="left"/>
      <w:pPr>
        <w:ind w:left="21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DE8AB8DA"/>
    <w:multiLevelType w:val="multilevel"/>
    <w:tmpl w:val="DE8AB8DA"/>
    <w:lvl w:ilvl="0" w:tentative="0">
      <w:start w:val="1"/>
      <w:numFmt w:val="decimal"/>
      <w:suff w:val="nothing"/>
      <w:lvlText w:val="%1"/>
      <w:lvlJc w:val="left"/>
      <w:pPr>
        <w:ind w:left="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EAA6C429"/>
    <w:multiLevelType w:val="singleLevel"/>
    <w:tmpl w:val="EAA6C429"/>
    <w:lvl w:ilvl="0" w:tentative="0">
      <w:start w:val="1"/>
      <w:numFmt w:val="decimal"/>
      <w:suff w:val="nothing"/>
      <w:lvlText w:val="（%1）"/>
      <w:lvlJc w:val="left"/>
    </w:lvl>
  </w:abstractNum>
  <w:abstractNum w:abstractNumId="5">
    <w:nsid w:val="F173A1EF"/>
    <w:multiLevelType w:val="singleLevel"/>
    <w:tmpl w:val="F173A1EF"/>
    <w:lvl w:ilvl="0" w:tentative="0">
      <w:start w:val="1"/>
      <w:numFmt w:val="decimal"/>
      <w:lvlText w:val="(%1)"/>
      <w:lvlJc w:val="left"/>
      <w:pPr>
        <w:ind w:left="425" w:hanging="425"/>
      </w:pPr>
      <w:rPr>
        <w:rFonts w:hint="default"/>
      </w:rPr>
    </w:lvl>
  </w:abstractNum>
  <w:abstractNum w:abstractNumId="6">
    <w:nsid w:val="F400E406"/>
    <w:multiLevelType w:val="multilevel"/>
    <w:tmpl w:val="F400E406"/>
    <w:lvl w:ilvl="0" w:tentative="0">
      <w:start w:val="1"/>
      <w:numFmt w:val="decimal"/>
      <w:suff w:val="nothing"/>
      <w:lvlText w:val="%1"/>
      <w:lvlJc w:val="left"/>
      <w:pPr>
        <w:ind w:left="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F644321D"/>
    <w:multiLevelType w:val="multilevel"/>
    <w:tmpl w:val="F644321D"/>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8">
    <w:nsid w:val="FBB2B7DC"/>
    <w:multiLevelType w:val="multilevel"/>
    <w:tmpl w:val="FBB2B7DC"/>
    <w:lvl w:ilvl="0" w:tentative="0">
      <w:start w:val="1"/>
      <w:numFmt w:val="decimal"/>
      <w:suff w:val="nothing"/>
      <w:lvlText w:val="%1"/>
      <w:lvlJc w:val="left"/>
      <w:pPr>
        <w:ind w:left="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9EBAB6"/>
    <w:multiLevelType w:val="singleLevel"/>
    <w:tmpl w:val="039EBAB6"/>
    <w:lvl w:ilvl="0" w:tentative="0">
      <w:start w:val="1"/>
      <w:numFmt w:val="decimal"/>
      <w:suff w:val="nothing"/>
      <w:lvlText w:val="（%1）"/>
      <w:lvlJc w:val="left"/>
    </w:lvl>
  </w:abstractNum>
  <w:abstractNum w:abstractNumId="10">
    <w:nsid w:val="07EBC9F5"/>
    <w:multiLevelType w:val="multilevel"/>
    <w:tmpl w:val="07EBC9F5"/>
    <w:lvl w:ilvl="0" w:tentative="0">
      <w:start w:val="1"/>
      <w:numFmt w:val="decimal"/>
      <w:suff w:val="nothing"/>
      <w:lvlText w:val="%1"/>
      <w:lvlJc w:val="left"/>
      <w:pPr>
        <w:ind w:left="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5DC46C0"/>
    <w:multiLevelType w:val="multilevel"/>
    <w:tmpl w:val="15DC46C0"/>
    <w:lvl w:ilvl="0" w:tentative="0">
      <w:start w:val="1"/>
      <w:numFmt w:val="decimal"/>
      <w:suff w:val="nothing"/>
      <w:lvlText w:val="%1"/>
      <w:lvlJc w:val="left"/>
      <w:pPr>
        <w:ind w:left="21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5F9A002"/>
    <w:multiLevelType w:val="multilevel"/>
    <w:tmpl w:val="25F9A002"/>
    <w:lvl w:ilvl="0" w:tentative="0">
      <w:start w:val="1"/>
      <w:numFmt w:val="decimal"/>
      <w:suff w:val="nothing"/>
      <w:lvlText w:val="%1"/>
      <w:lvlJc w:val="left"/>
      <w:pPr>
        <w:ind w:left="0" w:firstLine="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07F299D"/>
    <w:multiLevelType w:val="multilevel"/>
    <w:tmpl w:val="307F299D"/>
    <w:lvl w:ilvl="0" w:tentative="0">
      <w:start w:val="1"/>
      <w:numFmt w:val="decimal"/>
      <w:suff w:val="space"/>
      <w:lvlText w:val="%1 "/>
      <w:lvlJc w:val="left"/>
      <w:pPr>
        <w:ind w:left="0" w:firstLine="0"/>
      </w:pPr>
      <w:rPr>
        <w:rFonts w:hint="eastAsia"/>
      </w:rPr>
    </w:lvl>
    <w:lvl w:ilvl="1" w:tentative="0">
      <w:start w:val="1"/>
      <w:numFmt w:val="decimal"/>
      <w:pStyle w:val="237"/>
      <w:suff w:val="space"/>
      <w:lvlText w:val="%1.%2 "/>
      <w:lvlJc w:val="left"/>
      <w:pPr>
        <w:ind w:left="2410" w:firstLine="0"/>
      </w:pPr>
      <w:rPr>
        <w:rFonts w:hint="eastAsia"/>
      </w:rPr>
    </w:lvl>
    <w:lvl w:ilvl="2" w:tentative="0">
      <w:start w:val="1"/>
      <w:numFmt w:val="decimal"/>
      <w:pStyle w:val="236"/>
      <w:suff w:val="space"/>
      <w:lvlText w:val="%1.%2.%3 "/>
      <w:lvlJc w:val="left"/>
      <w:pPr>
        <w:ind w:left="0" w:firstLine="0"/>
      </w:pPr>
      <w:rPr>
        <w:rFonts w:hint="eastAsia"/>
        <w:b w:val="0"/>
      </w:rPr>
    </w:lvl>
    <w:lvl w:ilvl="3" w:tentative="0">
      <w:start w:val="1"/>
      <w:numFmt w:val="decimal"/>
      <w:pStyle w:val="238"/>
      <w:suff w:val="space"/>
      <w:lvlText w:val="%1.%2.%3.%4"/>
      <w:lvlJc w:val="left"/>
      <w:pPr>
        <w:ind w:left="630" w:firstLine="0"/>
      </w:pPr>
      <w:rPr>
        <w:rFonts w:hint="eastAsia"/>
      </w:rPr>
    </w:lvl>
    <w:lvl w:ilvl="4" w:tentative="0">
      <w:start w:val="1"/>
      <w:numFmt w:val="decimal"/>
      <w:lvlText w:val="%1.%2.%3.%4.%5"/>
      <w:lvlJc w:val="left"/>
      <w:pPr>
        <w:ind w:left="4395"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1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5784A1DF"/>
    <w:multiLevelType w:val="singleLevel"/>
    <w:tmpl w:val="5784A1DF"/>
    <w:lvl w:ilvl="0" w:tentative="0">
      <w:start w:val="1"/>
      <w:numFmt w:val="decimal"/>
      <w:suff w:val="nothing"/>
      <w:lvlText w:val="（%1）"/>
      <w:lvlJc w:val="left"/>
    </w:lvl>
  </w:abstractNum>
  <w:abstractNum w:abstractNumId="16">
    <w:nsid w:val="593B081A"/>
    <w:multiLevelType w:val="multilevel"/>
    <w:tmpl w:val="593B081A"/>
    <w:lvl w:ilvl="0" w:tentative="0">
      <w:start w:val="1"/>
      <w:numFmt w:val="bullet"/>
      <w:pStyle w:val="200"/>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5D045F55"/>
    <w:multiLevelType w:val="singleLevel"/>
    <w:tmpl w:val="5D045F55"/>
    <w:lvl w:ilvl="0" w:tentative="0">
      <w:start w:val="1"/>
      <w:numFmt w:val="decimal"/>
      <w:suff w:val="nothing"/>
      <w:lvlText w:val="（%1）"/>
      <w:lvlJc w:val="left"/>
    </w:lvl>
  </w:abstractNum>
  <w:abstractNum w:abstractNumId="18">
    <w:nsid w:val="629D65A3"/>
    <w:multiLevelType w:val="multilevel"/>
    <w:tmpl w:val="629D65A3"/>
    <w:lvl w:ilvl="0" w:tentative="0">
      <w:start w:val="1"/>
      <w:numFmt w:val="decimal"/>
      <w:pStyle w:val="204"/>
      <w:lvlText w:val="%1."/>
      <w:lvlJc w:val="left"/>
      <w:pPr>
        <w:ind w:left="720" w:hanging="720"/>
      </w:pPr>
      <w:rPr>
        <w:rFonts w:hint="default"/>
      </w:rPr>
    </w:lvl>
    <w:lvl w:ilvl="1" w:tentative="0">
      <w:start w:val="1"/>
      <w:numFmt w:val="decimal"/>
      <w:pStyle w:val="205"/>
      <w:isLgl/>
      <w:lvlText w:val="%1.%2"/>
      <w:lvlJc w:val="left"/>
      <w:pPr>
        <w:ind w:left="720" w:hanging="720"/>
      </w:pPr>
      <w:rPr>
        <w:rFonts w:hint="default"/>
      </w:rPr>
    </w:lvl>
    <w:lvl w:ilvl="2" w:tentative="0">
      <w:start w:val="1"/>
      <w:numFmt w:val="decimal"/>
      <w:pStyle w:val="206"/>
      <w:isLgl/>
      <w:lvlText w:val="%1.%2.%3"/>
      <w:lvlJc w:val="left"/>
      <w:pPr>
        <w:ind w:left="1080" w:hanging="1080"/>
      </w:pPr>
      <w:rPr>
        <w:rFonts w:hint="default"/>
      </w:rPr>
    </w:lvl>
    <w:lvl w:ilvl="3" w:tentative="0">
      <w:start w:val="1"/>
      <w:numFmt w:val="decimal"/>
      <w:pStyle w:val="208"/>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num w:numId="1">
    <w:abstractNumId w:val="7"/>
  </w:num>
  <w:num w:numId="2">
    <w:abstractNumId w:val="16"/>
  </w:num>
  <w:num w:numId="3">
    <w:abstractNumId w:val="18"/>
  </w:num>
  <w:num w:numId="4">
    <w:abstractNumId w:val="14"/>
  </w:num>
  <w:num w:numId="5">
    <w:abstractNumId w:val="13"/>
  </w:num>
  <w:num w:numId="6">
    <w:abstractNumId w:val="9"/>
  </w:num>
  <w:num w:numId="7">
    <w:abstractNumId w:val="12"/>
  </w:num>
  <w:num w:numId="8">
    <w:abstractNumId w:val="10"/>
  </w:num>
  <w:num w:numId="9">
    <w:abstractNumId w:val="2"/>
  </w:num>
  <w:num w:numId="10">
    <w:abstractNumId w:val="6"/>
  </w:num>
  <w:num w:numId="11">
    <w:abstractNumId w:val="1"/>
  </w:num>
  <w:num w:numId="12">
    <w:abstractNumId w:val="0"/>
  </w:num>
  <w:num w:numId="13">
    <w:abstractNumId w:val="11"/>
  </w:num>
  <w:num w:numId="14">
    <w:abstractNumId w:val="8"/>
  </w:num>
  <w:num w:numId="15">
    <w:abstractNumId w:val="3"/>
  </w:num>
  <w:num w:numId="16">
    <w:abstractNumId w:val="15"/>
  </w:num>
  <w:num w:numId="17">
    <w:abstractNumId w:val="17"/>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UyMDU4NGZmYmNjZDY3NjI4MjY5ZTZhODFmNjg1NjcifQ=="/>
    <w:docVar w:name="KSO_WPS_MARK_KEY" w:val="2daea171-dc8f-41af-ab1d-b9be9b21d012"/>
  </w:docVars>
  <w:rsids>
    <w:rsidRoot w:val="00172A27"/>
    <w:rsid w:val="00001B1B"/>
    <w:rsid w:val="000021D8"/>
    <w:rsid w:val="000023ED"/>
    <w:rsid w:val="000026F9"/>
    <w:rsid w:val="0000296E"/>
    <w:rsid w:val="00003043"/>
    <w:rsid w:val="00003F1C"/>
    <w:rsid w:val="0000428D"/>
    <w:rsid w:val="0000445F"/>
    <w:rsid w:val="00004F32"/>
    <w:rsid w:val="000062DA"/>
    <w:rsid w:val="00007750"/>
    <w:rsid w:val="000117CA"/>
    <w:rsid w:val="000120FB"/>
    <w:rsid w:val="0001290B"/>
    <w:rsid w:val="00012912"/>
    <w:rsid w:val="00013DC9"/>
    <w:rsid w:val="0001528A"/>
    <w:rsid w:val="000161F2"/>
    <w:rsid w:val="00017EB1"/>
    <w:rsid w:val="0002211C"/>
    <w:rsid w:val="000230A5"/>
    <w:rsid w:val="000253AC"/>
    <w:rsid w:val="000266BC"/>
    <w:rsid w:val="000306B0"/>
    <w:rsid w:val="000309B3"/>
    <w:rsid w:val="000309BB"/>
    <w:rsid w:val="00031823"/>
    <w:rsid w:val="000326D2"/>
    <w:rsid w:val="000329A4"/>
    <w:rsid w:val="00033589"/>
    <w:rsid w:val="00033855"/>
    <w:rsid w:val="00036070"/>
    <w:rsid w:val="00036646"/>
    <w:rsid w:val="000406A5"/>
    <w:rsid w:val="000410D6"/>
    <w:rsid w:val="00044B65"/>
    <w:rsid w:val="0004509C"/>
    <w:rsid w:val="00046BD2"/>
    <w:rsid w:val="0004719A"/>
    <w:rsid w:val="000505F6"/>
    <w:rsid w:val="0005076A"/>
    <w:rsid w:val="0005085E"/>
    <w:rsid w:val="00051280"/>
    <w:rsid w:val="00054944"/>
    <w:rsid w:val="0005621D"/>
    <w:rsid w:val="00057BAC"/>
    <w:rsid w:val="0006316B"/>
    <w:rsid w:val="00063BBF"/>
    <w:rsid w:val="0006429F"/>
    <w:rsid w:val="0006434B"/>
    <w:rsid w:val="00064EC8"/>
    <w:rsid w:val="0006617A"/>
    <w:rsid w:val="00067850"/>
    <w:rsid w:val="00067EF9"/>
    <w:rsid w:val="00071E6A"/>
    <w:rsid w:val="00072248"/>
    <w:rsid w:val="00072A80"/>
    <w:rsid w:val="00073F87"/>
    <w:rsid w:val="00074568"/>
    <w:rsid w:val="000745C7"/>
    <w:rsid w:val="0007529D"/>
    <w:rsid w:val="000779CF"/>
    <w:rsid w:val="00083E45"/>
    <w:rsid w:val="0008492C"/>
    <w:rsid w:val="00087400"/>
    <w:rsid w:val="0009341C"/>
    <w:rsid w:val="00094E99"/>
    <w:rsid w:val="0009531F"/>
    <w:rsid w:val="00096B38"/>
    <w:rsid w:val="00096E57"/>
    <w:rsid w:val="00097713"/>
    <w:rsid w:val="000A0339"/>
    <w:rsid w:val="000A0F9A"/>
    <w:rsid w:val="000A1494"/>
    <w:rsid w:val="000A150A"/>
    <w:rsid w:val="000A1962"/>
    <w:rsid w:val="000A284C"/>
    <w:rsid w:val="000A389E"/>
    <w:rsid w:val="000A5CD1"/>
    <w:rsid w:val="000A6887"/>
    <w:rsid w:val="000A6A68"/>
    <w:rsid w:val="000A733E"/>
    <w:rsid w:val="000B0B74"/>
    <w:rsid w:val="000B0EDD"/>
    <w:rsid w:val="000B1DF2"/>
    <w:rsid w:val="000B2456"/>
    <w:rsid w:val="000B4080"/>
    <w:rsid w:val="000B4492"/>
    <w:rsid w:val="000B5942"/>
    <w:rsid w:val="000B60DB"/>
    <w:rsid w:val="000B6885"/>
    <w:rsid w:val="000C010D"/>
    <w:rsid w:val="000C0E81"/>
    <w:rsid w:val="000C202C"/>
    <w:rsid w:val="000C23FD"/>
    <w:rsid w:val="000C2778"/>
    <w:rsid w:val="000C5C2E"/>
    <w:rsid w:val="000C76E9"/>
    <w:rsid w:val="000D03F6"/>
    <w:rsid w:val="000D15C8"/>
    <w:rsid w:val="000D199B"/>
    <w:rsid w:val="000D31FF"/>
    <w:rsid w:val="000D325B"/>
    <w:rsid w:val="000D4410"/>
    <w:rsid w:val="000D5503"/>
    <w:rsid w:val="000D556F"/>
    <w:rsid w:val="000D5F14"/>
    <w:rsid w:val="000D6218"/>
    <w:rsid w:val="000D72BE"/>
    <w:rsid w:val="000D76E4"/>
    <w:rsid w:val="000D7847"/>
    <w:rsid w:val="000E07C2"/>
    <w:rsid w:val="000E1A96"/>
    <w:rsid w:val="000E261A"/>
    <w:rsid w:val="000E4375"/>
    <w:rsid w:val="000E445C"/>
    <w:rsid w:val="000E64B0"/>
    <w:rsid w:val="000E733B"/>
    <w:rsid w:val="000F101D"/>
    <w:rsid w:val="000F3B00"/>
    <w:rsid w:val="000F4ABF"/>
    <w:rsid w:val="000F5141"/>
    <w:rsid w:val="000F7F9B"/>
    <w:rsid w:val="0010092A"/>
    <w:rsid w:val="0010103C"/>
    <w:rsid w:val="00101AB1"/>
    <w:rsid w:val="001058AA"/>
    <w:rsid w:val="001070E3"/>
    <w:rsid w:val="0010753E"/>
    <w:rsid w:val="001075C2"/>
    <w:rsid w:val="00110459"/>
    <w:rsid w:val="0011145C"/>
    <w:rsid w:val="001115C0"/>
    <w:rsid w:val="00111B12"/>
    <w:rsid w:val="00111B2D"/>
    <w:rsid w:val="00114899"/>
    <w:rsid w:val="001148FA"/>
    <w:rsid w:val="00117331"/>
    <w:rsid w:val="00122B3C"/>
    <w:rsid w:val="001249B4"/>
    <w:rsid w:val="00124D8E"/>
    <w:rsid w:val="00125EAC"/>
    <w:rsid w:val="001323C4"/>
    <w:rsid w:val="00133130"/>
    <w:rsid w:val="001343C3"/>
    <w:rsid w:val="001349D4"/>
    <w:rsid w:val="00134C62"/>
    <w:rsid w:val="001363C1"/>
    <w:rsid w:val="001411B3"/>
    <w:rsid w:val="001428A9"/>
    <w:rsid w:val="001460FC"/>
    <w:rsid w:val="00151901"/>
    <w:rsid w:val="00153EF2"/>
    <w:rsid w:val="00160FDF"/>
    <w:rsid w:val="00161B6A"/>
    <w:rsid w:val="00163856"/>
    <w:rsid w:val="00164C15"/>
    <w:rsid w:val="00164F56"/>
    <w:rsid w:val="00165CBE"/>
    <w:rsid w:val="00166421"/>
    <w:rsid w:val="00171962"/>
    <w:rsid w:val="00172A27"/>
    <w:rsid w:val="00172C4E"/>
    <w:rsid w:val="001738B6"/>
    <w:rsid w:val="00175355"/>
    <w:rsid w:val="00175ECE"/>
    <w:rsid w:val="001769D8"/>
    <w:rsid w:val="00180DAE"/>
    <w:rsid w:val="00181146"/>
    <w:rsid w:val="00181FDB"/>
    <w:rsid w:val="00184233"/>
    <w:rsid w:val="00186603"/>
    <w:rsid w:val="00192804"/>
    <w:rsid w:val="0019321D"/>
    <w:rsid w:val="00193F38"/>
    <w:rsid w:val="00197625"/>
    <w:rsid w:val="001978C8"/>
    <w:rsid w:val="00197C36"/>
    <w:rsid w:val="00197D72"/>
    <w:rsid w:val="001A0712"/>
    <w:rsid w:val="001A2AD6"/>
    <w:rsid w:val="001A419A"/>
    <w:rsid w:val="001A571A"/>
    <w:rsid w:val="001B0FA0"/>
    <w:rsid w:val="001B30EF"/>
    <w:rsid w:val="001B35DF"/>
    <w:rsid w:val="001B3FCB"/>
    <w:rsid w:val="001B4974"/>
    <w:rsid w:val="001B59B4"/>
    <w:rsid w:val="001B5A0C"/>
    <w:rsid w:val="001B60BF"/>
    <w:rsid w:val="001B7210"/>
    <w:rsid w:val="001B76CA"/>
    <w:rsid w:val="001B7EB2"/>
    <w:rsid w:val="001C093A"/>
    <w:rsid w:val="001C2B89"/>
    <w:rsid w:val="001C3E27"/>
    <w:rsid w:val="001C6364"/>
    <w:rsid w:val="001C6AC2"/>
    <w:rsid w:val="001C6E61"/>
    <w:rsid w:val="001D02F9"/>
    <w:rsid w:val="001D3188"/>
    <w:rsid w:val="001D5A29"/>
    <w:rsid w:val="001D669A"/>
    <w:rsid w:val="001D6AAE"/>
    <w:rsid w:val="001D733E"/>
    <w:rsid w:val="001E27F7"/>
    <w:rsid w:val="001E3519"/>
    <w:rsid w:val="001E54DA"/>
    <w:rsid w:val="001E662E"/>
    <w:rsid w:val="001E6AF6"/>
    <w:rsid w:val="001E79A7"/>
    <w:rsid w:val="001F14AE"/>
    <w:rsid w:val="001F237E"/>
    <w:rsid w:val="001F28F4"/>
    <w:rsid w:val="001F2E90"/>
    <w:rsid w:val="001F3674"/>
    <w:rsid w:val="001F4149"/>
    <w:rsid w:val="001F4EBF"/>
    <w:rsid w:val="001F5322"/>
    <w:rsid w:val="001F5BF8"/>
    <w:rsid w:val="001F5E9E"/>
    <w:rsid w:val="00200FF4"/>
    <w:rsid w:val="002010AC"/>
    <w:rsid w:val="00204AD8"/>
    <w:rsid w:val="00206688"/>
    <w:rsid w:val="002071E2"/>
    <w:rsid w:val="0020779B"/>
    <w:rsid w:val="002101EC"/>
    <w:rsid w:val="00211134"/>
    <w:rsid w:val="0021184F"/>
    <w:rsid w:val="0021190F"/>
    <w:rsid w:val="00212058"/>
    <w:rsid w:val="00212B5E"/>
    <w:rsid w:val="00215713"/>
    <w:rsid w:val="00216812"/>
    <w:rsid w:val="00220D12"/>
    <w:rsid w:val="00221F35"/>
    <w:rsid w:val="00222182"/>
    <w:rsid w:val="00222998"/>
    <w:rsid w:val="002238AC"/>
    <w:rsid w:val="00223BB8"/>
    <w:rsid w:val="00225AC3"/>
    <w:rsid w:val="00226225"/>
    <w:rsid w:val="002262E2"/>
    <w:rsid w:val="00227857"/>
    <w:rsid w:val="00227F54"/>
    <w:rsid w:val="00231B0B"/>
    <w:rsid w:val="0023393D"/>
    <w:rsid w:val="00234F1B"/>
    <w:rsid w:val="002351EE"/>
    <w:rsid w:val="002354DB"/>
    <w:rsid w:val="002449B2"/>
    <w:rsid w:val="00244F92"/>
    <w:rsid w:val="00245877"/>
    <w:rsid w:val="0024736D"/>
    <w:rsid w:val="002473BA"/>
    <w:rsid w:val="00247CCE"/>
    <w:rsid w:val="00252FD6"/>
    <w:rsid w:val="00253278"/>
    <w:rsid w:val="00254B53"/>
    <w:rsid w:val="0025511F"/>
    <w:rsid w:val="0025563D"/>
    <w:rsid w:val="00257DF2"/>
    <w:rsid w:val="002614AF"/>
    <w:rsid w:val="002623D4"/>
    <w:rsid w:val="00262A2B"/>
    <w:rsid w:val="002636BC"/>
    <w:rsid w:val="002647AC"/>
    <w:rsid w:val="00264CDE"/>
    <w:rsid w:val="00264F15"/>
    <w:rsid w:val="00266465"/>
    <w:rsid w:val="00267650"/>
    <w:rsid w:val="00267F74"/>
    <w:rsid w:val="00272855"/>
    <w:rsid w:val="002741D1"/>
    <w:rsid w:val="00274B8B"/>
    <w:rsid w:val="0027728B"/>
    <w:rsid w:val="002804E3"/>
    <w:rsid w:val="0028184A"/>
    <w:rsid w:val="00282623"/>
    <w:rsid w:val="00282A45"/>
    <w:rsid w:val="0028317B"/>
    <w:rsid w:val="002839D8"/>
    <w:rsid w:val="00286A21"/>
    <w:rsid w:val="00286B19"/>
    <w:rsid w:val="00286D94"/>
    <w:rsid w:val="00291B60"/>
    <w:rsid w:val="00292044"/>
    <w:rsid w:val="0029325B"/>
    <w:rsid w:val="00293356"/>
    <w:rsid w:val="002948A0"/>
    <w:rsid w:val="00295495"/>
    <w:rsid w:val="002A01EC"/>
    <w:rsid w:val="002A4D1C"/>
    <w:rsid w:val="002A5CE3"/>
    <w:rsid w:val="002B2918"/>
    <w:rsid w:val="002B3772"/>
    <w:rsid w:val="002B4683"/>
    <w:rsid w:val="002B4B6D"/>
    <w:rsid w:val="002B55B8"/>
    <w:rsid w:val="002B5AB7"/>
    <w:rsid w:val="002B5BFD"/>
    <w:rsid w:val="002B67C3"/>
    <w:rsid w:val="002B7120"/>
    <w:rsid w:val="002B7C82"/>
    <w:rsid w:val="002C05FF"/>
    <w:rsid w:val="002C105A"/>
    <w:rsid w:val="002C1A9A"/>
    <w:rsid w:val="002C48D4"/>
    <w:rsid w:val="002C6376"/>
    <w:rsid w:val="002C6F58"/>
    <w:rsid w:val="002D07EC"/>
    <w:rsid w:val="002D492E"/>
    <w:rsid w:val="002D5113"/>
    <w:rsid w:val="002D60C2"/>
    <w:rsid w:val="002D7162"/>
    <w:rsid w:val="002E068B"/>
    <w:rsid w:val="002E0C42"/>
    <w:rsid w:val="002E3614"/>
    <w:rsid w:val="002F0DE9"/>
    <w:rsid w:val="002F1057"/>
    <w:rsid w:val="002F130D"/>
    <w:rsid w:val="002F2C89"/>
    <w:rsid w:val="002F2E27"/>
    <w:rsid w:val="002F3E8B"/>
    <w:rsid w:val="002F41BF"/>
    <w:rsid w:val="002F43BB"/>
    <w:rsid w:val="002F6B88"/>
    <w:rsid w:val="002F721A"/>
    <w:rsid w:val="00300A22"/>
    <w:rsid w:val="00301563"/>
    <w:rsid w:val="00301C34"/>
    <w:rsid w:val="00301F87"/>
    <w:rsid w:val="0030256C"/>
    <w:rsid w:val="00302C67"/>
    <w:rsid w:val="003037B5"/>
    <w:rsid w:val="00303A08"/>
    <w:rsid w:val="00303A25"/>
    <w:rsid w:val="00305F0F"/>
    <w:rsid w:val="00307193"/>
    <w:rsid w:val="00307384"/>
    <w:rsid w:val="003073BA"/>
    <w:rsid w:val="0031062C"/>
    <w:rsid w:val="00314CFF"/>
    <w:rsid w:val="00315571"/>
    <w:rsid w:val="00317CF1"/>
    <w:rsid w:val="00317D97"/>
    <w:rsid w:val="003205B0"/>
    <w:rsid w:val="003205E9"/>
    <w:rsid w:val="00321843"/>
    <w:rsid w:val="00321919"/>
    <w:rsid w:val="003234EB"/>
    <w:rsid w:val="00323561"/>
    <w:rsid w:val="0032543A"/>
    <w:rsid w:val="00327119"/>
    <w:rsid w:val="00327EA0"/>
    <w:rsid w:val="00330BC8"/>
    <w:rsid w:val="00330CB0"/>
    <w:rsid w:val="00331D86"/>
    <w:rsid w:val="00332155"/>
    <w:rsid w:val="00334756"/>
    <w:rsid w:val="00335B31"/>
    <w:rsid w:val="00337CEC"/>
    <w:rsid w:val="00337E0A"/>
    <w:rsid w:val="003413AC"/>
    <w:rsid w:val="00342F38"/>
    <w:rsid w:val="00343430"/>
    <w:rsid w:val="00344C48"/>
    <w:rsid w:val="00346295"/>
    <w:rsid w:val="00347107"/>
    <w:rsid w:val="0034750A"/>
    <w:rsid w:val="0035093A"/>
    <w:rsid w:val="003519F9"/>
    <w:rsid w:val="0035215B"/>
    <w:rsid w:val="00354C24"/>
    <w:rsid w:val="00355EAA"/>
    <w:rsid w:val="00362E52"/>
    <w:rsid w:val="003635DB"/>
    <w:rsid w:val="003636CA"/>
    <w:rsid w:val="00366954"/>
    <w:rsid w:val="00371FDA"/>
    <w:rsid w:val="00373591"/>
    <w:rsid w:val="00373D03"/>
    <w:rsid w:val="0037463C"/>
    <w:rsid w:val="00374FD9"/>
    <w:rsid w:val="003752AE"/>
    <w:rsid w:val="00375A68"/>
    <w:rsid w:val="00380947"/>
    <w:rsid w:val="00380EF7"/>
    <w:rsid w:val="00382286"/>
    <w:rsid w:val="003825C0"/>
    <w:rsid w:val="00385852"/>
    <w:rsid w:val="00385DF6"/>
    <w:rsid w:val="00390D9C"/>
    <w:rsid w:val="00392652"/>
    <w:rsid w:val="003929FF"/>
    <w:rsid w:val="00393007"/>
    <w:rsid w:val="00395BCB"/>
    <w:rsid w:val="003A151B"/>
    <w:rsid w:val="003A2638"/>
    <w:rsid w:val="003A29CE"/>
    <w:rsid w:val="003A2DF2"/>
    <w:rsid w:val="003A3913"/>
    <w:rsid w:val="003A3BAC"/>
    <w:rsid w:val="003A3D7F"/>
    <w:rsid w:val="003A5791"/>
    <w:rsid w:val="003A6BFD"/>
    <w:rsid w:val="003A78A9"/>
    <w:rsid w:val="003B0B5E"/>
    <w:rsid w:val="003B0CF5"/>
    <w:rsid w:val="003B27C2"/>
    <w:rsid w:val="003B28D4"/>
    <w:rsid w:val="003B6AC1"/>
    <w:rsid w:val="003C03DC"/>
    <w:rsid w:val="003C0CAE"/>
    <w:rsid w:val="003C328D"/>
    <w:rsid w:val="003C584D"/>
    <w:rsid w:val="003C7AD6"/>
    <w:rsid w:val="003D219F"/>
    <w:rsid w:val="003D29BD"/>
    <w:rsid w:val="003D29DC"/>
    <w:rsid w:val="003D3A00"/>
    <w:rsid w:val="003D5124"/>
    <w:rsid w:val="003D5F54"/>
    <w:rsid w:val="003D6260"/>
    <w:rsid w:val="003D6B9F"/>
    <w:rsid w:val="003D6E8D"/>
    <w:rsid w:val="003E0502"/>
    <w:rsid w:val="003E14BF"/>
    <w:rsid w:val="003E4673"/>
    <w:rsid w:val="003E5753"/>
    <w:rsid w:val="003E5ABE"/>
    <w:rsid w:val="003E6F62"/>
    <w:rsid w:val="003F0EDB"/>
    <w:rsid w:val="003F4102"/>
    <w:rsid w:val="003F4BAE"/>
    <w:rsid w:val="003F5769"/>
    <w:rsid w:val="003F5E64"/>
    <w:rsid w:val="00400AE3"/>
    <w:rsid w:val="004024B7"/>
    <w:rsid w:val="00403E0C"/>
    <w:rsid w:val="00410B20"/>
    <w:rsid w:val="00412B88"/>
    <w:rsid w:val="00413DAC"/>
    <w:rsid w:val="00414DC7"/>
    <w:rsid w:val="00415EB6"/>
    <w:rsid w:val="00420544"/>
    <w:rsid w:val="00424B20"/>
    <w:rsid w:val="004254A2"/>
    <w:rsid w:val="00425560"/>
    <w:rsid w:val="004274D5"/>
    <w:rsid w:val="00427D77"/>
    <w:rsid w:val="00432022"/>
    <w:rsid w:val="0043228F"/>
    <w:rsid w:val="004353F4"/>
    <w:rsid w:val="004358CD"/>
    <w:rsid w:val="00437940"/>
    <w:rsid w:val="00437A9B"/>
    <w:rsid w:val="00437D32"/>
    <w:rsid w:val="00440D9F"/>
    <w:rsid w:val="00442F26"/>
    <w:rsid w:val="0044301B"/>
    <w:rsid w:val="00443922"/>
    <w:rsid w:val="00443CCE"/>
    <w:rsid w:val="00446DF4"/>
    <w:rsid w:val="004536C8"/>
    <w:rsid w:val="00456DE4"/>
    <w:rsid w:val="004574CB"/>
    <w:rsid w:val="0046406C"/>
    <w:rsid w:val="00465C63"/>
    <w:rsid w:val="00466C35"/>
    <w:rsid w:val="004700A4"/>
    <w:rsid w:val="004704EB"/>
    <w:rsid w:val="00471BCC"/>
    <w:rsid w:val="00471C64"/>
    <w:rsid w:val="00471D01"/>
    <w:rsid w:val="0047204B"/>
    <w:rsid w:val="00472FC3"/>
    <w:rsid w:val="00473663"/>
    <w:rsid w:val="00474042"/>
    <w:rsid w:val="0047416C"/>
    <w:rsid w:val="00475AFD"/>
    <w:rsid w:val="00475C4F"/>
    <w:rsid w:val="00475FAA"/>
    <w:rsid w:val="00476B95"/>
    <w:rsid w:val="00481A7A"/>
    <w:rsid w:val="004822B4"/>
    <w:rsid w:val="00483C7D"/>
    <w:rsid w:val="004844B9"/>
    <w:rsid w:val="00487493"/>
    <w:rsid w:val="00487FB6"/>
    <w:rsid w:val="00492A95"/>
    <w:rsid w:val="00494974"/>
    <w:rsid w:val="00495AA3"/>
    <w:rsid w:val="004964B4"/>
    <w:rsid w:val="004A2749"/>
    <w:rsid w:val="004A490D"/>
    <w:rsid w:val="004A52F1"/>
    <w:rsid w:val="004A5A19"/>
    <w:rsid w:val="004A5FBF"/>
    <w:rsid w:val="004A6359"/>
    <w:rsid w:val="004B48E1"/>
    <w:rsid w:val="004B4CB5"/>
    <w:rsid w:val="004B507C"/>
    <w:rsid w:val="004B5396"/>
    <w:rsid w:val="004B5434"/>
    <w:rsid w:val="004B60D0"/>
    <w:rsid w:val="004B6812"/>
    <w:rsid w:val="004C0D80"/>
    <w:rsid w:val="004C0E4A"/>
    <w:rsid w:val="004C1079"/>
    <w:rsid w:val="004C1C45"/>
    <w:rsid w:val="004C3486"/>
    <w:rsid w:val="004C435F"/>
    <w:rsid w:val="004C4A9A"/>
    <w:rsid w:val="004C646A"/>
    <w:rsid w:val="004C66E0"/>
    <w:rsid w:val="004C6A11"/>
    <w:rsid w:val="004C7E72"/>
    <w:rsid w:val="004D3D4E"/>
    <w:rsid w:val="004D6376"/>
    <w:rsid w:val="004D75A1"/>
    <w:rsid w:val="004D75EC"/>
    <w:rsid w:val="004D7AE6"/>
    <w:rsid w:val="004D7AF3"/>
    <w:rsid w:val="004D7F97"/>
    <w:rsid w:val="004E1110"/>
    <w:rsid w:val="004E1EA1"/>
    <w:rsid w:val="004E290B"/>
    <w:rsid w:val="004E4AEA"/>
    <w:rsid w:val="004E6E11"/>
    <w:rsid w:val="004F2803"/>
    <w:rsid w:val="004F2969"/>
    <w:rsid w:val="004F2C33"/>
    <w:rsid w:val="004F3DDB"/>
    <w:rsid w:val="004F4C56"/>
    <w:rsid w:val="004F52EE"/>
    <w:rsid w:val="004F695C"/>
    <w:rsid w:val="004F6BE6"/>
    <w:rsid w:val="004F7D97"/>
    <w:rsid w:val="00502A44"/>
    <w:rsid w:val="00503206"/>
    <w:rsid w:val="0050342A"/>
    <w:rsid w:val="005049C8"/>
    <w:rsid w:val="0050516C"/>
    <w:rsid w:val="0050721B"/>
    <w:rsid w:val="0051444B"/>
    <w:rsid w:val="00514534"/>
    <w:rsid w:val="005146B8"/>
    <w:rsid w:val="005148D0"/>
    <w:rsid w:val="00515238"/>
    <w:rsid w:val="005162D9"/>
    <w:rsid w:val="005171B4"/>
    <w:rsid w:val="005176A0"/>
    <w:rsid w:val="00523C99"/>
    <w:rsid w:val="00524733"/>
    <w:rsid w:val="00524EA1"/>
    <w:rsid w:val="00526E2A"/>
    <w:rsid w:val="005272C3"/>
    <w:rsid w:val="00533555"/>
    <w:rsid w:val="00535781"/>
    <w:rsid w:val="00540779"/>
    <w:rsid w:val="00541133"/>
    <w:rsid w:val="0054196A"/>
    <w:rsid w:val="005425A8"/>
    <w:rsid w:val="00542879"/>
    <w:rsid w:val="00543455"/>
    <w:rsid w:val="0054394A"/>
    <w:rsid w:val="00543BBD"/>
    <w:rsid w:val="005440CE"/>
    <w:rsid w:val="00545830"/>
    <w:rsid w:val="005462C8"/>
    <w:rsid w:val="00546D8B"/>
    <w:rsid w:val="005473AD"/>
    <w:rsid w:val="005478DB"/>
    <w:rsid w:val="00550D2E"/>
    <w:rsid w:val="005517F3"/>
    <w:rsid w:val="005518AD"/>
    <w:rsid w:val="00554A70"/>
    <w:rsid w:val="0055625D"/>
    <w:rsid w:val="00560ED8"/>
    <w:rsid w:val="005629AA"/>
    <w:rsid w:val="005633C2"/>
    <w:rsid w:val="005634AC"/>
    <w:rsid w:val="005640E4"/>
    <w:rsid w:val="005665E8"/>
    <w:rsid w:val="00566A16"/>
    <w:rsid w:val="00567838"/>
    <w:rsid w:val="00567D1D"/>
    <w:rsid w:val="0057156A"/>
    <w:rsid w:val="00571FD8"/>
    <w:rsid w:val="00573BC6"/>
    <w:rsid w:val="00573C08"/>
    <w:rsid w:val="00574878"/>
    <w:rsid w:val="00576CF9"/>
    <w:rsid w:val="005806C1"/>
    <w:rsid w:val="00581956"/>
    <w:rsid w:val="005824C8"/>
    <w:rsid w:val="005841CB"/>
    <w:rsid w:val="00585085"/>
    <w:rsid w:val="00585BDF"/>
    <w:rsid w:val="00586B46"/>
    <w:rsid w:val="0058737F"/>
    <w:rsid w:val="00590C94"/>
    <w:rsid w:val="00591179"/>
    <w:rsid w:val="00591621"/>
    <w:rsid w:val="005918E3"/>
    <w:rsid w:val="0059194E"/>
    <w:rsid w:val="00591951"/>
    <w:rsid w:val="00591EA0"/>
    <w:rsid w:val="005934CD"/>
    <w:rsid w:val="00594906"/>
    <w:rsid w:val="005953EA"/>
    <w:rsid w:val="00595ED5"/>
    <w:rsid w:val="005A191B"/>
    <w:rsid w:val="005A25C3"/>
    <w:rsid w:val="005A2C4F"/>
    <w:rsid w:val="005A43D8"/>
    <w:rsid w:val="005A51CC"/>
    <w:rsid w:val="005A54FC"/>
    <w:rsid w:val="005A59D4"/>
    <w:rsid w:val="005A6C04"/>
    <w:rsid w:val="005A6DAD"/>
    <w:rsid w:val="005A70DA"/>
    <w:rsid w:val="005A7ECD"/>
    <w:rsid w:val="005B07C7"/>
    <w:rsid w:val="005B1039"/>
    <w:rsid w:val="005B120F"/>
    <w:rsid w:val="005B19D3"/>
    <w:rsid w:val="005B1AB4"/>
    <w:rsid w:val="005B1DAD"/>
    <w:rsid w:val="005B28D0"/>
    <w:rsid w:val="005B2A7A"/>
    <w:rsid w:val="005B4A0C"/>
    <w:rsid w:val="005B55FC"/>
    <w:rsid w:val="005B57DC"/>
    <w:rsid w:val="005B5878"/>
    <w:rsid w:val="005B7B76"/>
    <w:rsid w:val="005B7B90"/>
    <w:rsid w:val="005C1A1A"/>
    <w:rsid w:val="005C4ECF"/>
    <w:rsid w:val="005C5E80"/>
    <w:rsid w:val="005D06A2"/>
    <w:rsid w:val="005D0F65"/>
    <w:rsid w:val="005D34B8"/>
    <w:rsid w:val="005D363A"/>
    <w:rsid w:val="005D534B"/>
    <w:rsid w:val="005D6BAB"/>
    <w:rsid w:val="005D7D9D"/>
    <w:rsid w:val="005E0B2E"/>
    <w:rsid w:val="005E1AA6"/>
    <w:rsid w:val="005E4261"/>
    <w:rsid w:val="005E471A"/>
    <w:rsid w:val="005E5AB1"/>
    <w:rsid w:val="005E611F"/>
    <w:rsid w:val="005E779B"/>
    <w:rsid w:val="005E77F5"/>
    <w:rsid w:val="005E7D4A"/>
    <w:rsid w:val="005F387B"/>
    <w:rsid w:val="005F43AA"/>
    <w:rsid w:val="005F4E3D"/>
    <w:rsid w:val="005F5D43"/>
    <w:rsid w:val="005F5EBA"/>
    <w:rsid w:val="00602597"/>
    <w:rsid w:val="00602DF8"/>
    <w:rsid w:val="00603519"/>
    <w:rsid w:val="00603636"/>
    <w:rsid w:val="006053D9"/>
    <w:rsid w:val="0060559D"/>
    <w:rsid w:val="00607943"/>
    <w:rsid w:val="00607AB8"/>
    <w:rsid w:val="006137D6"/>
    <w:rsid w:val="00615784"/>
    <w:rsid w:val="006159C3"/>
    <w:rsid w:val="00616276"/>
    <w:rsid w:val="0061685D"/>
    <w:rsid w:val="006207C0"/>
    <w:rsid w:val="00620992"/>
    <w:rsid w:val="006219D0"/>
    <w:rsid w:val="00621ABE"/>
    <w:rsid w:val="0062304F"/>
    <w:rsid w:val="006233EC"/>
    <w:rsid w:val="006242BD"/>
    <w:rsid w:val="00624413"/>
    <w:rsid w:val="00624496"/>
    <w:rsid w:val="006258FB"/>
    <w:rsid w:val="00625A28"/>
    <w:rsid w:val="00626437"/>
    <w:rsid w:val="00627546"/>
    <w:rsid w:val="00631584"/>
    <w:rsid w:val="00631A4F"/>
    <w:rsid w:val="00631F6A"/>
    <w:rsid w:val="0063296F"/>
    <w:rsid w:val="006333C2"/>
    <w:rsid w:val="0063521A"/>
    <w:rsid w:val="00637C90"/>
    <w:rsid w:val="00640164"/>
    <w:rsid w:val="006401D9"/>
    <w:rsid w:val="006409B5"/>
    <w:rsid w:val="00641D92"/>
    <w:rsid w:val="00641E48"/>
    <w:rsid w:val="00642C57"/>
    <w:rsid w:val="0064343A"/>
    <w:rsid w:val="006465DF"/>
    <w:rsid w:val="006506E4"/>
    <w:rsid w:val="00650A7C"/>
    <w:rsid w:val="006523C6"/>
    <w:rsid w:val="00652692"/>
    <w:rsid w:val="00652B7A"/>
    <w:rsid w:val="00655C8F"/>
    <w:rsid w:val="00655F59"/>
    <w:rsid w:val="0065695D"/>
    <w:rsid w:val="0065716C"/>
    <w:rsid w:val="006577FA"/>
    <w:rsid w:val="0066075C"/>
    <w:rsid w:val="00660A2F"/>
    <w:rsid w:val="00661482"/>
    <w:rsid w:val="006618EE"/>
    <w:rsid w:val="00661B15"/>
    <w:rsid w:val="00662CC4"/>
    <w:rsid w:val="00663E42"/>
    <w:rsid w:val="006645B1"/>
    <w:rsid w:val="00666616"/>
    <w:rsid w:val="00666E5A"/>
    <w:rsid w:val="00666EB8"/>
    <w:rsid w:val="0066787F"/>
    <w:rsid w:val="00671EA3"/>
    <w:rsid w:val="0067242D"/>
    <w:rsid w:val="006729AC"/>
    <w:rsid w:val="00672ADC"/>
    <w:rsid w:val="006732A6"/>
    <w:rsid w:val="00673CC3"/>
    <w:rsid w:val="00674D7D"/>
    <w:rsid w:val="00676951"/>
    <w:rsid w:val="00676D08"/>
    <w:rsid w:val="00682882"/>
    <w:rsid w:val="00687000"/>
    <w:rsid w:val="00687176"/>
    <w:rsid w:val="00690EEB"/>
    <w:rsid w:val="00692450"/>
    <w:rsid w:val="0069256B"/>
    <w:rsid w:val="006928C9"/>
    <w:rsid w:val="00693C64"/>
    <w:rsid w:val="00693E08"/>
    <w:rsid w:val="00694578"/>
    <w:rsid w:val="00695235"/>
    <w:rsid w:val="00695E9D"/>
    <w:rsid w:val="00696343"/>
    <w:rsid w:val="00696B4E"/>
    <w:rsid w:val="00696EB8"/>
    <w:rsid w:val="006971D9"/>
    <w:rsid w:val="00697323"/>
    <w:rsid w:val="006A414F"/>
    <w:rsid w:val="006B1435"/>
    <w:rsid w:val="006B359B"/>
    <w:rsid w:val="006B36E6"/>
    <w:rsid w:val="006B51C6"/>
    <w:rsid w:val="006B6A9F"/>
    <w:rsid w:val="006B6B2E"/>
    <w:rsid w:val="006B7761"/>
    <w:rsid w:val="006C0B23"/>
    <w:rsid w:val="006C0C26"/>
    <w:rsid w:val="006C1D88"/>
    <w:rsid w:val="006C2D73"/>
    <w:rsid w:val="006C3E08"/>
    <w:rsid w:val="006C428F"/>
    <w:rsid w:val="006C4AEC"/>
    <w:rsid w:val="006D1185"/>
    <w:rsid w:val="006D1214"/>
    <w:rsid w:val="006D1451"/>
    <w:rsid w:val="006D3E02"/>
    <w:rsid w:val="006D643A"/>
    <w:rsid w:val="006E0130"/>
    <w:rsid w:val="006E0690"/>
    <w:rsid w:val="006E1443"/>
    <w:rsid w:val="006E2A9A"/>
    <w:rsid w:val="006E2DCD"/>
    <w:rsid w:val="006E581C"/>
    <w:rsid w:val="006E602E"/>
    <w:rsid w:val="006E7873"/>
    <w:rsid w:val="006E7FB1"/>
    <w:rsid w:val="006F07BA"/>
    <w:rsid w:val="006F31E1"/>
    <w:rsid w:val="006F435B"/>
    <w:rsid w:val="006F50C4"/>
    <w:rsid w:val="006F538A"/>
    <w:rsid w:val="006F6A93"/>
    <w:rsid w:val="0070256C"/>
    <w:rsid w:val="0070269D"/>
    <w:rsid w:val="00703041"/>
    <w:rsid w:val="007051FB"/>
    <w:rsid w:val="007065E3"/>
    <w:rsid w:val="0070759D"/>
    <w:rsid w:val="00710128"/>
    <w:rsid w:val="00710ECC"/>
    <w:rsid w:val="007114EB"/>
    <w:rsid w:val="007133BE"/>
    <w:rsid w:val="007137FE"/>
    <w:rsid w:val="007153B9"/>
    <w:rsid w:val="00717408"/>
    <w:rsid w:val="00720F46"/>
    <w:rsid w:val="007213C7"/>
    <w:rsid w:val="00721E1E"/>
    <w:rsid w:val="00722157"/>
    <w:rsid w:val="00723CDC"/>
    <w:rsid w:val="00723EC5"/>
    <w:rsid w:val="00723F12"/>
    <w:rsid w:val="0072406D"/>
    <w:rsid w:val="007245C5"/>
    <w:rsid w:val="00725781"/>
    <w:rsid w:val="00727AAD"/>
    <w:rsid w:val="00731224"/>
    <w:rsid w:val="00733F35"/>
    <w:rsid w:val="0073456C"/>
    <w:rsid w:val="0073467C"/>
    <w:rsid w:val="0073641E"/>
    <w:rsid w:val="00740E47"/>
    <w:rsid w:val="00741C18"/>
    <w:rsid w:val="0074259C"/>
    <w:rsid w:val="00745303"/>
    <w:rsid w:val="00745F64"/>
    <w:rsid w:val="00750A17"/>
    <w:rsid w:val="00751026"/>
    <w:rsid w:val="00753CC2"/>
    <w:rsid w:val="0075490F"/>
    <w:rsid w:val="007555A2"/>
    <w:rsid w:val="00756EED"/>
    <w:rsid w:val="0075782B"/>
    <w:rsid w:val="007600E0"/>
    <w:rsid w:val="0076050D"/>
    <w:rsid w:val="007617F7"/>
    <w:rsid w:val="00761FB4"/>
    <w:rsid w:val="00764763"/>
    <w:rsid w:val="00764B79"/>
    <w:rsid w:val="00765730"/>
    <w:rsid w:val="0076650A"/>
    <w:rsid w:val="00770885"/>
    <w:rsid w:val="007710CD"/>
    <w:rsid w:val="0077232F"/>
    <w:rsid w:val="00774CFB"/>
    <w:rsid w:val="00775EA3"/>
    <w:rsid w:val="007767BC"/>
    <w:rsid w:val="00776831"/>
    <w:rsid w:val="00777AFD"/>
    <w:rsid w:val="00780388"/>
    <w:rsid w:val="007803CC"/>
    <w:rsid w:val="00781A39"/>
    <w:rsid w:val="007833A0"/>
    <w:rsid w:val="00785458"/>
    <w:rsid w:val="007857D2"/>
    <w:rsid w:val="00786350"/>
    <w:rsid w:val="007869AE"/>
    <w:rsid w:val="007965BA"/>
    <w:rsid w:val="007A010E"/>
    <w:rsid w:val="007A053A"/>
    <w:rsid w:val="007A7378"/>
    <w:rsid w:val="007A76A8"/>
    <w:rsid w:val="007B0570"/>
    <w:rsid w:val="007B13CE"/>
    <w:rsid w:val="007B3485"/>
    <w:rsid w:val="007B5079"/>
    <w:rsid w:val="007C0EC0"/>
    <w:rsid w:val="007C104D"/>
    <w:rsid w:val="007C1DC0"/>
    <w:rsid w:val="007C217B"/>
    <w:rsid w:val="007C2840"/>
    <w:rsid w:val="007C4E98"/>
    <w:rsid w:val="007C4FB7"/>
    <w:rsid w:val="007C53B7"/>
    <w:rsid w:val="007C6D04"/>
    <w:rsid w:val="007C73A3"/>
    <w:rsid w:val="007C74E5"/>
    <w:rsid w:val="007C7B7F"/>
    <w:rsid w:val="007D10E7"/>
    <w:rsid w:val="007D11DC"/>
    <w:rsid w:val="007D3C98"/>
    <w:rsid w:val="007D54FC"/>
    <w:rsid w:val="007D7178"/>
    <w:rsid w:val="007D7957"/>
    <w:rsid w:val="007E12FD"/>
    <w:rsid w:val="007E17D1"/>
    <w:rsid w:val="007E1B7C"/>
    <w:rsid w:val="007E2578"/>
    <w:rsid w:val="007E42AA"/>
    <w:rsid w:val="007E57D2"/>
    <w:rsid w:val="007E58EC"/>
    <w:rsid w:val="007E6C14"/>
    <w:rsid w:val="007F0522"/>
    <w:rsid w:val="007F14DC"/>
    <w:rsid w:val="007F2AEB"/>
    <w:rsid w:val="007F3099"/>
    <w:rsid w:val="007F43E5"/>
    <w:rsid w:val="007F5A6D"/>
    <w:rsid w:val="007F60EC"/>
    <w:rsid w:val="007F6D50"/>
    <w:rsid w:val="007F7941"/>
    <w:rsid w:val="00800134"/>
    <w:rsid w:val="008005FD"/>
    <w:rsid w:val="0080184B"/>
    <w:rsid w:val="00801D12"/>
    <w:rsid w:val="008046AC"/>
    <w:rsid w:val="008073E3"/>
    <w:rsid w:val="0081487C"/>
    <w:rsid w:val="00817A26"/>
    <w:rsid w:val="00817A7F"/>
    <w:rsid w:val="0082083C"/>
    <w:rsid w:val="00821A92"/>
    <w:rsid w:val="00821BFD"/>
    <w:rsid w:val="008227C2"/>
    <w:rsid w:val="0082431A"/>
    <w:rsid w:val="0082604F"/>
    <w:rsid w:val="00826137"/>
    <w:rsid w:val="00826C26"/>
    <w:rsid w:val="008274FC"/>
    <w:rsid w:val="00827635"/>
    <w:rsid w:val="00831324"/>
    <w:rsid w:val="008333F9"/>
    <w:rsid w:val="00834B55"/>
    <w:rsid w:val="008359FA"/>
    <w:rsid w:val="0083724F"/>
    <w:rsid w:val="00840650"/>
    <w:rsid w:val="00840FDE"/>
    <w:rsid w:val="008412E8"/>
    <w:rsid w:val="00841AFC"/>
    <w:rsid w:val="00842B34"/>
    <w:rsid w:val="00842CFE"/>
    <w:rsid w:val="00843B2A"/>
    <w:rsid w:val="00844750"/>
    <w:rsid w:val="008447A8"/>
    <w:rsid w:val="0084509C"/>
    <w:rsid w:val="0084509E"/>
    <w:rsid w:val="00845C18"/>
    <w:rsid w:val="00846C31"/>
    <w:rsid w:val="00846D06"/>
    <w:rsid w:val="008475B5"/>
    <w:rsid w:val="00847BFB"/>
    <w:rsid w:val="00847CB3"/>
    <w:rsid w:val="00850368"/>
    <w:rsid w:val="00850F16"/>
    <w:rsid w:val="00852FD1"/>
    <w:rsid w:val="00853F56"/>
    <w:rsid w:val="00860312"/>
    <w:rsid w:val="00860FA5"/>
    <w:rsid w:val="00861CBA"/>
    <w:rsid w:val="008623F3"/>
    <w:rsid w:val="008639B9"/>
    <w:rsid w:val="00863C8B"/>
    <w:rsid w:val="008649CB"/>
    <w:rsid w:val="008654A5"/>
    <w:rsid w:val="0086559F"/>
    <w:rsid w:val="0086654A"/>
    <w:rsid w:val="00867AA1"/>
    <w:rsid w:val="00871025"/>
    <w:rsid w:val="0087219B"/>
    <w:rsid w:val="00872A5C"/>
    <w:rsid w:val="00873DAC"/>
    <w:rsid w:val="008757E7"/>
    <w:rsid w:val="00875FCC"/>
    <w:rsid w:val="00876530"/>
    <w:rsid w:val="008770D0"/>
    <w:rsid w:val="0087712A"/>
    <w:rsid w:val="00880352"/>
    <w:rsid w:val="00881F55"/>
    <w:rsid w:val="008830AA"/>
    <w:rsid w:val="00887139"/>
    <w:rsid w:val="00887D72"/>
    <w:rsid w:val="00892C4D"/>
    <w:rsid w:val="00893243"/>
    <w:rsid w:val="008963DA"/>
    <w:rsid w:val="00896530"/>
    <w:rsid w:val="00896629"/>
    <w:rsid w:val="008979BF"/>
    <w:rsid w:val="008A0770"/>
    <w:rsid w:val="008A3182"/>
    <w:rsid w:val="008A3B72"/>
    <w:rsid w:val="008A49EB"/>
    <w:rsid w:val="008A51DC"/>
    <w:rsid w:val="008A5D49"/>
    <w:rsid w:val="008A7823"/>
    <w:rsid w:val="008B0062"/>
    <w:rsid w:val="008B1300"/>
    <w:rsid w:val="008B23A5"/>
    <w:rsid w:val="008B3C05"/>
    <w:rsid w:val="008B5FE2"/>
    <w:rsid w:val="008B68F6"/>
    <w:rsid w:val="008C02FA"/>
    <w:rsid w:val="008C0F68"/>
    <w:rsid w:val="008C193A"/>
    <w:rsid w:val="008C22B7"/>
    <w:rsid w:val="008C3314"/>
    <w:rsid w:val="008C3C24"/>
    <w:rsid w:val="008C4DE1"/>
    <w:rsid w:val="008C5825"/>
    <w:rsid w:val="008C594B"/>
    <w:rsid w:val="008C6B36"/>
    <w:rsid w:val="008D0CA1"/>
    <w:rsid w:val="008D1637"/>
    <w:rsid w:val="008D1D8C"/>
    <w:rsid w:val="008D3229"/>
    <w:rsid w:val="008D4BCE"/>
    <w:rsid w:val="008D4DAD"/>
    <w:rsid w:val="008D54E9"/>
    <w:rsid w:val="008D7DF5"/>
    <w:rsid w:val="008E0A7F"/>
    <w:rsid w:val="008E1F46"/>
    <w:rsid w:val="008E3C92"/>
    <w:rsid w:val="008E4A88"/>
    <w:rsid w:val="008E4B8D"/>
    <w:rsid w:val="008E4D1B"/>
    <w:rsid w:val="008E566B"/>
    <w:rsid w:val="008E5DB6"/>
    <w:rsid w:val="008F016A"/>
    <w:rsid w:val="008F0FED"/>
    <w:rsid w:val="008F13C2"/>
    <w:rsid w:val="008F1499"/>
    <w:rsid w:val="008F44BD"/>
    <w:rsid w:val="008F54FB"/>
    <w:rsid w:val="008F5986"/>
    <w:rsid w:val="008F6708"/>
    <w:rsid w:val="008F6CA6"/>
    <w:rsid w:val="008F6E81"/>
    <w:rsid w:val="00901950"/>
    <w:rsid w:val="009024C8"/>
    <w:rsid w:val="0090324F"/>
    <w:rsid w:val="00905BDC"/>
    <w:rsid w:val="00910572"/>
    <w:rsid w:val="00911FF0"/>
    <w:rsid w:val="0091389E"/>
    <w:rsid w:val="00916A35"/>
    <w:rsid w:val="00917FF0"/>
    <w:rsid w:val="00920C52"/>
    <w:rsid w:val="00921CC1"/>
    <w:rsid w:val="009229BD"/>
    <w:rsid w:val="0092304B"/>
    <w:rsid w:val="00923BF1"/>
    <w:rsid w:val="009245C3"/>
    <w:rsid w:val="00925A00"/>
    <w:rsid w:val="0092644C"/>
    <w:rsid w:val="00927B9C"/>
    <w:rsid w:val="00931A6D"/>
    <w:rsid w:val="0093332B"/>
    <w:rsid w:val="0093356C"/>
    <w:rsid w:val="00935482"/>
    <w:rsid w:val="00940831"/>
    <w:rsid w:val="00941F03"/>
    <w:rsid w:val="009425E4"/>
    <w:rsid w:val="00942EED"/>
    <w:rsid w:val="0094325C"/>
    <w:rsid w:val="009438D8"/>
    <w:rsid w:val="00943B37"/>
    <w:rsid w:val="00943B39"/>
    <w:rsid w:val="00943FF3"/>
    <w:rsid w:val="00945541"/>
    <w:rsid w:val="009459E6"/>
    <w:rsid w:val="0094622A"/>
    <w:rsid w:val="0094736D"/>
    <w:rsid w:val="009507B4"/>
    <w:rsid w:val="00950A50"/>
    <w:rsid w:val="00950D16"/>
    <w:rsid w:val="00951643"/>
    <w:rsid w:val="00952295"/>
    <w:rsid w:val="009538B6"/>
    <w:rsid w:val="00957B5F"/>
    <w:rsid w:val="00960A8A"/>
    <w:rsid w:val="0096140F"/>
    <w:rsid w:val="0096258A"/>
    <w:rsid w:val="009634D1"/>
    <w:rsid w:val="009640E3"/>
    <w:rsid w:val="00964232"/>
    <w:rsid w:val="00964BAE"/>
    <w:rsid w:val="00964F40"/>
    <w:rsid w:val="00964F7A"/>
    <w:rsid w:val="00965485"/>
    <w:rsid w:val="00965953"/>
    <w:rsid w:val="00966919"/>
    <w:rsid w:val="0096768B"/>
    <w:rsid w:val="00972E3A"/>
    <w:rsid w:val="009735A6"/>
    <w:rsid w:val="00974272"/>
    <w:rsid w:val="009750E7"/>
    <w:rsid w:val="00981C33"/>
    <w:rsid w:val="00982D57"/>
    <w:rsid w:val="00985735"/>
    <w:rsid w:val="00985D2C"/>
    <w:rsid w:val="009861CE"/>
    <w:rsid w:val="00986662"/>
    <w:rsid w:val="009866CF"/>
    <w:rsid w:val="00986D73"/>
    <w:rsid w:val="00987520"/>
    <w:rsid w:val="00987EF4"/>
    <w:rsid w:val="00991015"/>
    <w:rsid w:val="00991E70"/>
    <w:rsid w:val="00992801"/>
    <w:rsid w:val="00992F93"/>
    <w:rsid w:val="009941B8"/>
    <w:rsid w:val="00994C62"/>
    <w:rsid w:val="00994CA2"/>
    <w:rsid w:val="0099668B"/>
    <w:rsid w:val="009A14E7"/>
    <w:rsid w:val="009A1E67"/>
    <w:rsid w:val="009A1EB3"/>
    <w:rsid w:val="009A3E17"/>
    <w:rsid w:val="009A41E9"/>
    <w:rsid w:val="009A631B"/>
    <w:rsid w:val="009A7994"/>
    <w:rsid w:val="009B0061"/>
    <w:rsid w:val="009B03FF"/>
    <w:rsid w:val="009B2764"/>
    <w:rsid w:val="009B2957"/>
    <w:rsid w:val="009B3D3F"/>
    <w:rsid w:val="009B607E"/>
    <w:rsid w:val="009B61CD"/>
    <w:rsid w:val="009B69F8"/>
    <w:rsid w:val="009C11EF"/>
    <w:rsid w:val="009C22B2"/>
    <w:rsid w:val="009C2B6C"/>
    <w:rsid w:val="009C3758"/>
    <w:rsid w:val="009C67B6"/>
    <w:rsid w:val="009C773F"/>
    <w:rsid w:val="009D0B05"/>
    <w:rsid w:val="009D2310"/>
    <w:rsid w:val="009D2772"/>
    <w:rsid w:val="009D3FB0"/>
    <w:rsid w:val="009D42CA"/>
    <w:rsid w:val="009D4BAE"/>
    <w:rsid w:val="009D68FD"/>
    <w:rsid w:val="009D7789"/>
    <w:rsid w:val="009E0073"/>
    <w:rsid w:val="009E0743"/>
    <w:rsid w:val="009E0913"/>
    <w:rsid w:val="009E1B08"/>
    <w:rsid w:val="009E4415"/>
    <w:rsid w:val="009E493A"/>
    <w:rsid w:val="009E6175"/>
    <w:rsid w:val="009E65F3"/>
    <w:rsid w:val="009E6D58"/>
    <w:rsid w:val="009E7598"/>
    <w:rsid w:val="009E772F"/>
    <w:rsid w:val="009F0477"/>
    <w:rsid w:val="009F1069"/>
    <w:rsid w:val="009F2D2A"/>
    <w:rsid w:val="009F3F6D"/>
    <w:rsid w:val="009F45EE"/>
    <w:rsid w:val="009F49BD"/>
    <w:rsid w:val="009F577B"/>
    <w:rsid w:val="009F5989"/>
    <w:rsid w:val="009F5BB5"/>
    <w:rsid w:val="00A0077E"/>
    <w:rsid w:val="00A01219"/>
    <w:rsid w:val="00A02444"/>
    <w:rsid w:val="00A032E0"/>
    <w:rsid w:val="00A032EC"/>
    <w:rsid w:val="00A04C6E"/>
    <w:rsid w:val="00A077A5"/>
    <w:rsid w:val="00A10DF7"/>
    <w:rsid w:val="00A11CA0"/>
    <w:rsid w:val="00A12787"/>
    <w:rsid w:val="00A138AE"/>
    <w:rsid w:val="00A14201"/>
    <w:rsid w:val="00A14458"/>
    <w:rsid w:val="00A153C5"/>
    <w:rsid w:val="00A158B2"/>
    <w:rsid w:val="00A1667B"/>
    <w:rsid w:val="00A16725"/>
    <w:rsid w:val="00A167DA"/>
    <w:rsid w:val="00A17B02"/>
    <w:rsid w:val="00A20833"/>
    <w:rsid w:val="00A20DBA"/>
    <w:rsid w:val="00A2202A"/>
    <w:rsid w:val="00A24520"/>
    <w:rsid w:val="00A24CAE"/>
    <w:rsid w:val="00A255EE"/>
    <w:rsid w:val="00A30C48"/>
    <w:rsid w:val="00A30FBF"/>
    <w:rsid w:val="00A31062"/>
    <w:rsid w:val="00A319B5"/>
    <w:rsid w:val="00A32351"/>
    <w:rsid w:val="00A3243B"/>
    <w:rsid w:val="00A36438"/>
    <w:rsid w:val="00A3752F"/>
    <w:rsid w:val="00A37838"/>
    <w:rsid w:val="00A408AE"/>
    <w:rsid w:val="00A415CE"/>
    <w:rsid w:val="00A42401"/>
    <w:rsid w:val="00A43E1A"/>
    <w:rsid w:val="00A43E4B"/>
    <w:rsid w:val="00A44ABE"/>
    <w:rsid w:val="00A44DBC"/>
    <w:rsid w:val="00A50F8C"/>
    <w:rsid w:val="00A531FB"/>
    <w:rsid w:val="00A54D59"/>
    <w:rsid w:val="00A54F98"/>
    <w:rsid w:val="00A56068"/>
    <w:rsid w:val="00A56CEE"/>
    <w:rsid w:val="00A5791D"/>
    <w:rsid w:val="00A57EE6"/>
    <w:rsid w:val="00A613E6"/>
    <w:rsid w:val="00A628B2"/>
    <w:rsid w:val="00A632BD"/>
    <w:rsid w:val="00A64206"/>
    <w:rsid w:val="00A6468F"/>
    <w:rsid w:val="00A647E5"/>
    <w:rsid w:val="00A72C66"/>
    <w:rsid w:val="00A74B0D"/>
    <w:rsid w:val="00A74FFD"/>
    <w:rsid w:val="00A757AF"/>
    <w:rsid w:val="00A76299"/>
    <w:rsid w:val="00A76B1A"/>
    <w:rsid w:val="00A76B63"/>
    <w:rsid w:val="00A76BB8"/>
    <w:rsid w:val="00A800FF"/>
    <w:rsid w:val="00A8160A"/>
    <w:rsid w:val="00A844B0"/>
    <w:rsid w:val="00A848E2"/>
    <w:rsid w:val="00A84EC3"/>
    <w:rsid w:val="00A85951"/>
    <w:rsid w:val="00A86EAD"/>
    <w:rsid w:val="00A871C6"/>
    <w:rsid w:val="00A8764E"/>
    <w:rsid w:val="00A87C2D"/>
    <w:rsid w:val="00A91AF7"/>
    <w:rsid w:val="00A92DF0"/>
    <w:rsid w:val="00A937B1"/>
    <w:rsid w:val="00A94F4D"/>
    <w:rsid w:val="00A96FCD"/>
    <w:rsid w:val="00AA273C"/>
    <w:rsid w:val="00AA2A87"/>
    <w:rsid w:val="00AA3720"/>
    <w:rsid w:val="00AA436F"/>
    <w:rsid w:val="00AA43C3"/>
    <w:rsid w:val="00AA5956"/>
    <w:rsid w:val="00AA7BE3"/>
    <w:rsid w:val="00AA7C51"/>
    <w:rsid w:val="00AB1E97"/>
    <w:rsid w:val="00AB2A5A"/>
    <w:rsid w:val="00AB31CB"/>
    <w:rsid w:val="00AB4171"/>
    <w:rsid w:val="00AB41AD"/>
    <w:rsid w:val="00AB6A75"/>
    <w:rsid w:val="00AC0114"/>
    <w:rsid w:val="00AC19EA"/>
    <w:rsid w:val="00AC2B4E"/>
    <w:rsid w:val="00AC3187"/>
    <w:rsid w:val="00AC37FC"/>
    <w:rsid w:val="00AC3C11"/>
    <w:rsid w:val="00AC4A7C"/>
    <w:rsid w:val="00AC59A4"/>
    <w:rsid w:val="00AC5C1A"/>
    <w:rsid w:val="00AC5E06"/>
    <w:rsid w:val="00AC613A"/>
    <w:rsid w:val="00AC61BD"/>
    <w:rsid w:val="00AC7A69"/>
    <w:rsid w:val="00AC7DBB"/>
    <w:rsid w:val="00AD0C96"/>
    <w:rsid w:val="00AD1220"/>
    <w:rsid w:val="00AD5FF9"/>
    <w:rsid w:val="00AD7B6F"/>
    <w:rsid w:val="00AD7C3A"/>
    <w:rsid w:val="00AE05D6"/>
    <w:rsid w:val="00AE0C0A"/>
    <w:rsid w:val="00AE32E2"/>
    <w:rsid w:val="00AE3CEC"/>
    <w:rsid w:val="00AE43AE"/>
    <w:rsid w:val="00AE44B9"/>
    <w:rsid w:val="00AE4E47"/>
    <w:rsid w:val="00AE6CE7"/>
    <w:rsid w:val="00AE7BAD"/>
    <w:rsid w:val="00AF08B0"/>
    <w:rsid w:val="00AF52C3"/>
    <w:rsid w:val="00AF559B"/>
    <w:rsid w:val="00AF6839"/>
    <w:rsid w:val="00AF6FBE"/>
    <w:rsid w:val="00AF7D63"/>
    <w:rsid w:val="00B01264"/>
    <w:rsid w:val="00B01B6F"/>
    <w:rsid w:val="00B0343D"/>
    <w:rsid w:val="00B04BC0"/>
    <w:rsid w:val="00B05C35"/>
    <w:rsid w:val="00B06738"/>
    <w:rsid w:val="00B079EC"/>
    <w:rsid w:val="00B07E98"/>
    <w:rsid w:val="00B1072A"/>
    <w:rsid w:val="00B13F6E"/>
    <w:rsid w:val="00B14516"/>
    <w:rsid w:val="00B14627"/>
    <w:rsid w:val="00B16AAD"/>
    <w:rsid w:val="00B1771D"/>
    <w:rsid w:val="00B2046E"/>
    <w:rsid w:val="00B22412"/>
    <w:rsid w:val="00B22903"/>
    <w:rsid w:val="00B22B84"/>
    <w:rsid w:val="00B22C86"/>
    <w:rsid w:val="00B23559"/>
    <w:rsid w:val="00B24530"/>
    <w:rsid w:val="00B25C96"/>
    <w:rsid w:val="00B2731C"/>
    <w:rsid w:val="00B27FAC"/>
    <w:rsid w:val="00B3159E"/>
    <w:rsid w:val="00B317A0"/>
    <w:rsid w:val="00B318C6"/>
    <w:rsid w:val="00B32EAA"/>
    <w:rsid w:val="00B348B2"/>
    <w:rsid w:val="00B356E1"/>
    <w:rsid w:val="00B365BB"/>
    <w:rsid w:val="00B36773"/>
    <w:rsid w:val="00B439CB"/>
    <w:rsid w:val="00B44001"/>
    <w:rsid w:val="00B442BC"/>
    <w:rsid w:val="00B4444E"/>
    <w:rsid w:val="00B44717"/>
    <w:rsid w:val="00B45DF9"/>
    <w:rsid w:val="00B46CE5"/>
    <w:rsid w:val="00B527A8"/>
    <w:rsid w:val="00B52CCC"/>
    <w:rsid w:val="00B5364F"/>
    <w:rsid w:val="00B5368E"/>
    <w:rsid w:val="00B54CEB"/>
    <w:rsid w:val="00B54D10"/>
    <w:rsid w:val="00B54E63"/>
    <w:rsid w:val="00B56755"/>
    <w:rsid w:val="00B57725"/>
    <w:rsid w:val="00B578CC"/>
    <w:rsid w:val="00B6094A"/>
    <w:rsid w:val="00B6160D"/>
    <w:rsid w:val="00B61DE1"/>
    <w:rsid w:val="00B63BE5"/>
    <w:rsid w:val="00B65834"/>
    <w:rsid w:val="00B671A0"/>
    <w:rsid w:val="00B7164C"/>
    <w:rsid w:val="00B71A7B"/>
    <w:rsid w:val="00B7318B"/>
    <w:rsid w:val="00B754FF"/>
    <w:rsid w:val="00B75758"/>
    <w:rsid w:val="00B7614C"/>
    <w:rsid w:val="00B77276"/>
    <w:rsid w:val="00B77431"/>
    <w:rsid w:val="00B82392"/>
    <w:rsid w:val="00B83887"/>
    <w:rsid w:val="00B83E5C"/>
    <w:rsid w:val="00B86D4D"/>
    <w:rsid w:val="00B8715F"/>
    <w:rsid w:val="00B87625"/>
    <w:rsid w:val="00B90D39"/>
    <w:rsid w:val="00B92677"/>
    <w:rsid w:val="00B9308F"/>
    <w:rsid w:val="00B956CD"/>
    <w:rsid w:val="00B96E4C"/>
    <w:rsid w:val="00BA0038"/>
    <w:rsid w:val="00BA02DB"/>
    <w:rsid w:val="00BA091C"/>
    <w:rsid w:val="00BA3C0A"/>
    <w:rsid w:val="00BA56F7"/>
    <w:rsid w:val="00BA5B05"/>
    <w:rsid w:val="00BA639D"/>
    <w:rsid w:val="00BA7256"/>
    <w:rsid w:val="00BA75B4"/>
    <w:rsid w:val="00BA7F1F"/>
    <w:rsid w:val="00BB0A52"/>
    <w:rsid w:val="00BB287B"/>
    <w:rsid w:val="00BB2995"/>
    <w:rsid w:val="00BB33D4"/>
    <w:rsid w:val="00BB4027"/>
    <w:rsid w:val="00BB5605"/>
    <w:rsid w:val="00BB708B"/>
    <w:rsid w:val="00BB752C"/>
    <w:rsid w:val="00BB796A"/>
    <w:rsid w:val="00BC06A2"/>
    <w:rsid w:val="00BC2A3A"/>
    <w:rsid w:val="00BC4F0B"/>
    <w:rsid w:val="00BC6F64"/>
    <w:rsid w:val="00BD1424"/>
    <w:rsid w:val="00BD1F31"/>
    <w:rsid w:val="00BD2453"/>
    <w:rsid w:val="00BD2E32"/>
    <w:rsid w:val="00BD3A3A"/>
    <w:rsid w:val="00BD48C0"/>
    <w:rsid w:val="00BD51B8"/>
    <w:rsid w:val="00BD5A8F"/>
    <w:rsid w:val="00BD6954"/>
    <w:rsid w:val="00BD71F1"/>
    <w:rsid w:val="00BE137A"/>
    <w:rsid w:val="00BE2627"/>
    <w:rsid w:val="00BE29F8"/>
    <w:rsid w:val="00BE300D"/>
    <w:rsid w:val="00BE5EC9"/>
    <w:rsid w:val="00BE76F4"/>
    <w:rsid w:val="00BF0A9F"/>
    <w:rsid w:val="00BF1A64"/>
    <w:rsid w:val="00BF1A75"/>
    <w:rsid w:val="00C0049F"/>
    <w:rsid w:val="00C01ABC"/>
    <w:rsid w:val="00C01D50"/>
    <w:rsid w:val="00C02A44"/>
    <w:rsid w:val="00C02C0C"/>
    <w:rsid w:val="00C034BB"/>
    <w:rsid w:val="00C03B4B"/>
    <w:rsid w:val="00C04F6E"/>
    <w:rsid w:val="00C06822"/>
    <w:rsid w:val="00C07794"/>
    <w:rsid w:val="00C14B7F"/>
    <w:rsid w:val="00C14E75"/>
    <w:rsid w:val="00C16120"/>
    <w:rsid w:val="00C1641E"/>
    <w:rsid w:val="00C17419"/>
    <w:rsid w:val="00C17AB3"/>
    <w:rsid w:val="00C17C49"/>
    <w:rsid w:val="00C20B64"/>
    <w:rsid w:val="00C22F7C"/>
    <w:rsid w:val="00C26B12"/>
    <w:rsid w:val="00C27167"/>
    <w:rsid w:val="00C2736B"/>
    <w:rsid w:val="00C2747E"/>
    <w:rsid w:val="00C31E52"/>
    <w:rsid w:val="00C32940"/>
    <w:rsid w:val="00C35B5E"/>
    <w:rsid w:val="00C369EB"/>
    <w:rsid w:val="00C37CCB"/>
    <w:rsid w:val="00C41402"/>
    <w:rsid w:val="00C4253B"/>
    <w:rsid w:val="00C42907"/>
    <w:rsid w:val="00C43BA5"/>
    <w:rsid w:val="00C459A2"/>
    <w:rsid w:val="00C45A33"/>
    <w:rsid w:val="00C46B8D"/>
    <w:rsid w:val="00C476C9"/>
    <w:rsid w:val="00C54FE2"/>
    <w:rsid w:val="00C5534F"/>
    <w:rsid w:val="00C553C0"/>
    <w:rsid w:val="00C559CF"/>
    <w:rsid w:val="00C56D3D"/>
    <w:rsid w:val="00C601ED"/>
    <w:rsid w:val="00C60466"/>
    <w:rsid w:val="00C60556"/>
    <w:rsid w:val="00C62924"/>
    <w:rsid w:val="00C63645"/>
    <w:rsid w:val="00C64DD8"/>
    <w:rsid w:val="00C67FD6"/>
    <w:rsid w:val="00C70ABF"/>
    <w:rsid w:val="00C7146B"/>
    <w:rsid w:val="00C71B6B"/>
    <w:rsid w:val="00C7223B"/>
    <w:rsid w:val="00C74AFD"/>
    <w:rsid w:val="00C74F70"/>
    <w:rsid w:val="00C75F21"/>
    <w:rsid w:val="00C75FFE"/>
    <w:rsid w:val="00C7639D"/>
    <w:rsid w:val="00C76767"/>
    <w:rsid w:val="00C81BA8"/>
    <w:rsid w:val="00C844D9"/>
    <w:rsid w:val="00C848DE"/>
    <w:rsid w:val="00C858D5"/>
    <w:rsid w:val="00C85D35"/>
    <w:rsid w:val="00C87E16"/>
    <w:rsid w:val="00C90E08"/>
    <w:rsid w:val="00C91114"/>
    <w:rsid w:val="00C912AF"/>
    <w:rsid w:val="00C9209D"/>
    <w:rsid w:val="00C95C64"/>
    <w:rsid w:val="00C95D4E"/>
    <w:rsid w:val="00C96ADC"/>
    <w:rsid w:val="00C96E18"/>
    <w:rsid w:val="00CA5952"/>
    <w:rsid w:val="00CA5962"/>
    <w:rsid w:val="00CA6942"/>
    <w:rsid w:val="00CA722F"/>
    <w:rsid w:val="00CA75C1"/>
    <w:rsid w:val="00CB1167"/>
    <w:rsid w:val="00CB196D"/>
    <w:rsid w:val="00CB3284"/>
    <w:rsid w:val="00CB405A"/>
    <w:rsid w:val="00CB4151"/>
    <w:rsid w:val="00CB5A94"/>
    <w:rsid w:val="00CB640A"/>
    <w:rsid w:val="00CC0683"/>
    <w:rsid w:val="00CC1B86"/>
    <w:rsid w:val="00CC1DE3"/>
    <w:rsid w:val="00CC6ABD"/>
    <w:rsid w:val="00CD0962"/>
    <w:rsid w:val="00CD2C66"/>
    <w:rsid w:val="00CD3616"/>
    <w:rsid w:val="00CD4C70"/>
    <w:rsid w:val="00CD617D"/>
    <w:rsid w:val="00CD6377"/>
    <w:rsid w:val="00CE132D"/>
    <w:rsid w:val="00CE24E4"/>
    <w:rsid w:val="00CE33A8"/>
    <w:rsid w:val="00CE4DD0"/>
    <w:rsid w:val="00CE50C3"/>
    <w:rsid w:val="00CE5502"/>
    <w:rsid w:val="00CE5BB9"/>
    <w:rsid w:val="00CE7058"/>
    <w:rsid w:val="00CF0FBF"/>
    <w:rsid w:val="00CF1033"/>
    <w:rsid w:val="00CF1C26"/>
    <w:rsid w:val="00CF26F3"/>
    <w:rsid w:val="00CF660E"/>
    <w:rsid w:val="00D0165F"/>
    <w:rsid w:val="00D03185"/>
    <w:rsid w:val="00D03A2A"/>
    <w:rsid w:val="00D045A5"/>
    <w:rsid w:val="00D0483F"/>
    <w:rsid w:val="00D06A49"/>
    <w:rsid w:val="00D074EE"/>
    <w:rsid w:val="00D10962"/>
    <w:rsid w:val="00D111AA"/>
    <w:rsid w:val="00D12176"/>
    <w:rsid w:val="00D12875"/>
    <w:rsid w:val="00D12B7D"/>
    <w:rsid w:val="00D12EE5"/>
    <w:rsid w:val="00D15232"/>
    <w:rsid w:val="00D2048E"/>
    <w:rsid w:val="00D23F01"/>
    <w:rsid w:val="00D242C3"/>
    <w:rsid w:val="00D24724"/>
    <w:rsid w:val="00D248B3"/>
    <w:rsid w:val="00D26907"/>
    <w:rsid w:val="00D31721"/>
    <w:rsid w:val="00D32EDE"/>
    <w:rsid w:val="00D3349B"/>
    <w:rsid w:val="00D33FE4"/>
    <w:rsid w:val="00D3408E"/>
    <w:rsid w:val="00D362B6"/>
    <w:rsid w:val="00D36E0B"/>
    <w:rsid w:val="00D3705E"/>
    <w:rsid w:val="00D401A8"/>
    <w:rsid w:val="00D40F76"/>
    <w:rsid w:val="00D41729"/>
    <w:rsid w:val="00D42E00"/>
    <w:rsid w:val="00D437C1"/>
    <w:rsid w:val="00D4486B"/>
    <w:rsid w:val="00D44892"/>
    <w:rsid w:val="00D45F53"/>
    <w:rsid w:val="00D46017"/>
    <w:rsid w:val="00D47FFD"/>
    <w:rsid w:val="00D504C3"/>
    <w:rsid w:val="00D517C8"/>
    <w:rsid w:val="00D5299E"/>
    <w:rsid w:val="00D53A1C"/>
    <w:rsid w:val="00D548A5"/>
    <w:rsid w:val="00D55979"/>
    <w:rsid w:val="00D55D94"/>
    <w:rsid w:val="00D615DF"/>
    <w:rsid w:val="00D61EB9"/>
    <w:rsid w:val="00D636DB"/>
    <w:rsid w:val="00D63F35"/>
    <w:rsid w:val="00D6425B"/>
    <w:rsid w:val="00D6613B"/>
    <w:rsid w:val="00D66403"/>
    <w:rsid w:val="00D7076F"/>
    <w:rsid w:val="00D74A30"/>
    <w:rsid w:val="00D779A0"/>
    <w:rsid w:val="00D805A1"/>
    <w:rsid w:val="00D8062B"/>
    <w:rsid w:val="00D8375B"/>
    <w:rsid w:val="00D83AE4"/>
    <w:rsid w:val="00D86DF0"/>
    <w:rsid w:val="00D8739C"/>
    <w:rsid w:val="00D873C4"/>
    <w:rsid w:val="00D92103"/>
    <w:rsid w:val="00D926A5"/>
    <w:rsid w:val="00D934EF"/>
    <w:rsid w:val="00D9361E"/>
    <w:rsid w:val="00D93701"/>
    <w:rsid w:val="00D939C9"/>
    <w:rsid w:val="00D94CFC"/>
    <w:rsid w:val="00D9637F"/>
    <w:rsid w:val="00D9665A"/>
    <w:rsid w:val="00D96954"/>
    <w:rsid w:val="00D97E90"/>
    <w:rsid w:val="00DA0137"/>
    <w:rsid w:val="00DA14BA"/>
    <w:rsid w:val="00DA2396"/>
    <w:rsid w:val="00DA28B0"/>
    <w:rsid w:val="00DA2CF8"/>
    <w:rsid w:val="00DA30ED"/>
    <w:rsid w:val="00DA63B6"/>
    <w:rsid w:val="00DB0725"/>
    <w:rsid w:val="00DB3347"/>
    <w:rsid w:val="00DB3A61"/>
    <w:rsid w:val="00DB3E0A"/>
    <w:rsid w:val="00DB4276"/>
    <w:rsid w:val="00DB4671"/>
    <w:rsid w:val="00DB47E3"/>
    <w:rsid w:val="00DB4E67"/>
    <w:rsid w:val="00DB514E"/>
    <w:rsid w:val="00DB6635"/>
    <w:rsid w:val="00DB7EAD"/>
    <w:rsid w:val="00DC09B7"/>
    <w:rsid w:val="00DC14DC"/>
    <w:rsid w:val="00DC19AE"/>
    <w:rsid w:val="00DC2922"/>
    <w:rsid w:val="00DC307C"/>
    <w:rsid w:val="00DC5B34"/>
    <w:rsid w:val="00DC7194"/>
    <w:rsid w:val="00DD1013"/>
    <w:rsid w:val="00DD11BF"/>
    <w:rsid w:val="00DD14DF"/>
    <w:rsid w:val="00DD4A85"/>
    <w:rsid w:val="00DD6CCE"/>
    <w:rsid w:val="00DD7647"/>
    <w:rsid w:val="00DD76A9"/>
    <w:rsid w:val="00DD7FC8"/>
    <w:rsid w:val="00DE17DA"/>
    <w:rsid w:val="00DE2460"/>
    <w:rsid w:val="00DE33FB"/>
    <w:rsid w:val="00DE3476"/>
    <w:rsid w:val="00DE4774"/>
    <w:rsid w:val="00DE66B7"/>
    <w:rsid w:val="00DF181B"/>
    <w:rsid w:val="00DF20EE"/>
    <w:rsid w:val="00DF222D"/>
    <w:rsid w:val="00DF2DFC"/>
    <w:rsid w:val="00DF30F3"/>
    <w:rsid w:val="00DF430F"/>
    <w:rsid w:val="00DF4B51"/>
    <w:rsid w:val="00DF6504"/>
    <w:rsid w:val="00DF71ED"/>
    <w:rsid w:val="00E00047"/>
    <w:rsid w:val="00E00072"/>
    <w:rsid w:val="00E00F66"/>
    <w:rsid w:val="00E00F93"/>
    <w:rsid w:val="00E05A25"/>
    <w:rsid w:val="00E110D7"/>
    <w:rsid w:val="00E144DD"/>
    <w:rsid w:val="00E164E6"/>
    <w:rsid w:val="00E20DCD"/>
    <w:rsid w:val="00E23316"/>
    <w:rsid w:val="00E251F5"/>
    <w:rsid w:val="00E255B4"/>
    <w:rsid w:val="00E25D7E"/>
    <w:rsid w:val="00E26146"/>
    <w:rsid w:val="00E26D2F"/>
    <w:rsid w:val="00E26D44"/>
    <w:rsid w:val="00E3230B"/>
    <w:rsid w:val="00E32505"/>
    <w:rsid w:val="00E3500B"/>
    <w:rsid w:val="00E3538C"/>
    <w:rsid w:val="00E37514"/>
    <w:rsid w:val="00E427CE"/>
    <w:rsid w:val="00E43944"/>
    <w:rsid w:val="00E44A39"/>
    <w:rsid w:val="00E46876"/>
    <w:rsid w:val="00E46B21"/>
    <w:rsid w:val="00E5126B"/>
    <w:rsid w:val="00E51B2C"/>
    <w:rsid w:val="00E51C3B"/>
    <w:rsid w:val="00E5250F"/>
    <w:rsid w:val="00E52E3A"/>
    <w:rsid w:val="00E53AB3"/>
    <w:rsid w:val="00E547C7"/>
    <w:rsid w:val="00E5489C"/>
    <w:rsid w:val="00E57846"/>
    <w:rsid w:val="00E604A3"/>
    <w:rsid w:val="00E60862"/>
    <w:rsid w:val="00E61E11"/>
    <w:rsid w:val="00E61ED1"/>
    <w:rsid w:val="00E66D7D"/>
    <w:rsid w:val="00E66E67"/>
    <w:rsid w:val="00E703AC"/>
    <w:rsid w:val="00E70CCC"/>
    <w:rsid w:val="00E71D5D"/>
    <w:rsid w:val="00E71FFA"/>
    <w:rsid w:val="00E72167"/>
    <w:rsid w:val="00E75653"/>
    <w:rsid w:val="00E7575E"/>
    <w:rsid w:val="00E75CAD"/>
    <w:rsid w:val="00E7700E"/>
    <w:rsid w:val="00E81195"/>
    <w:rsid w:val="00E81D0F"/>
    <w:rsid w:val="00E84C7A"/>
    <w:rsid w:val="00E84E47"/>
    <w:rsid w:val="00E84EBE"/>
    <w:rsid w:val="00E86351"/>
    <w:rsid w:val="00E8658C"/>
    <w:rsid w:val="00E90BFA"/>
    <w:rsid w:val="00E9356E"/>
    <w:rsid w:val="00E9712A"/>
    <w:rsid w:val="00EA0022"/>
    <w:rsid w:val="00EA020A"/>
    <w:rsid w:val="00EA3CFC"/>
    <w:rsid w:val="00EA41A1"/>
    <w:rsid w:val="00EA4A02"/>
    <w:rsid w:val="00EA629D"/>
    <w:rsid w:val="00EA7BC5"/>
    <w:rsid w:val="00EA7EF5"/>
    <w:rsid w:val="00EB4491"/>
    <w:rsid w:val="00EB54AF"/>
    <w:rsid w:val="00EB6C90"/>
    <w:rsid w:val="00EB6E42"/>
    <w:rsid w:val="00EB73A1"/>
    <w:rsid w:val="00EB7BB2"/>
    <w:rsid w:val="00EC002E"/>
    <w:rsid w:val="00EC2ABA"/>
    <w:rsid w:val="00EC2FD4"/>
    <w:rsid w:val="00EC3B8B"/>
    <w:rsid w:val="00EC3BBA"/>
    <w:rsid w:val="00EC57CC"/>
    <w:rsid w:val="00EC7E23"/>
    <w:rsid w:val="00ED2B14"/>
    <w:rsid w:val="00ED2ED0"/>
    <w:rsid w:val="00ED3009"/>
    <w:rsid w:val="00ED31D5"/>
    <w:rsid w:val="00ED6023"/>
    <w:rsid w:val="00ED6F28"/>
    <w:rsid w:val="00ED7769"/>
    <w:rsid w:val="00ED7A79"/>
    <w:rsid w:val="00EE1ADD"/>
    <w:rsid w:val="00EE3F90"/>
    <w:rsid w:val="00EE55AC"/>
    <w:rsid w:val="00EE586E"/>
    <w:rsid w:val="00EE6D75"/>
    <w:rsid w:val="00EF0A39"/>
    <w:rsid w:val="00EF10CA"/>
    <w:rsid w:val="00EF234F"/>
    <w:rsid w:val="00EF5163"/>
    <w:rsid w:val="00EF6930"/>
    <w:rsid w:val="00EF6CE9"/>
    <w:rsid w:val="00EF7EF3"/>
    <w:rsid w:val="00F003E3"/>
    <w:rsid w:val="00F0054E"/>
    <w:rsid w:val="00F01443"/>
    <w:rsid w:val="00F020A6"/>
    <w:rsid w:val="00F02343"/>
    <w:rsid w:val="00F02643"/>
    <w:rsid w:val="00F02860"/>
    <w:rsid w:val="00F02A6D"/>
    <w:rsid w:val="00F02F2B"/>
    <w:rsid w:val="00F0324E"/>
    <w:rsid w:val="00F064C5"/>
    <w:rsid w:val="00F0684C"/>
    <w:rsid w:val="00F069AC"/>
    <w:rsid w:val="00F07A0A"/>
    <w:rsid w:val="00F07F28"/>
    <w:rsid w:val="00F110D7"/>
    <w:rsid w:val="00F11418"/>
    <w:rsid w:val="00F131B6"/>
    <w:rsid w:val="00F13E6D"/>
    <w:rsid w:val="00F13F60"/>
    <w:rsid w:val="00F14473"/>
    <w:rsid w:val="00F1488D"/>
    <w:rsid w:val="00F14C0E"/>
    <w:rsid w:val="00F1520A"/>
    <w:rsid w:val="00F15AAB"/>
    <w:rsid w:val="00F200F1"/>
    <w:rsid w:val="00F21A6E"/>
    <w:rsid w:val="00F232EE"/>
    <w:rsid w:val="00F257EA"/>
    <w:rsid w:val="00F263B8"/>
    <w:rsid w:val="00F26D8F"/>
    <w:rsid w:val="00F27D12"/>
    <w:rsid w:val="00F30304"/>
    <w:rsid w:val="00F3319B"/>
    <w:rsid w:val="00F3356C"/>
    <w:rsid w:val="00F34431"/>
    <w:rsid w:val="00F358FE"/>
    <w:rsid w:val="00F42155"/>
    <w:rsid w:val="00F422CB"/>
    <w:rsid w:val="00F42A5C"/>
    <w:rsid w:val="00F42A88"/>
    <w:rsid w:val="00F4313C"/>
    <w:rsid w:val="00F43250"/>
    <w:rsid w:val="00F448B4"/>
    <w:rsid w:val="00F50181"/>
    <w:rsid w:val="00F52FAF"/>
    <w:rsid w:val="00F53EC9"/>
    <w:rsid w:val="00F5590D"/>
    <w:rsid w:val="00F55EAA"/>
    <w:rsid w:val="00F579EF"/>
    <w:rsid w:val="00F6002D"/>
    <w:rsid w:val="00F6098C"/>
    <w:rsid w:val="00F62850"/>
    <w:rsid w:val="00F6348F"/>
    <w:rsid w:val="00F6483A"/>
    <w:rsid w:val="00F64A30"/>
    <w:rsid w:val="00F64AF1"/>
    <w:rsid w:val="00F652F9"/>
    <w:rsid w:val="00F661C1"/>
    <w:rsid w:val="00F70F33"/>
    <w:rsid w:val="00F715C1"/>
    <w:rsid w:val="00F72EF9"/>
    <w:rsid w:val="00F73A16"/>
    <w:rsid w:val="00F74FA1"/>
    <w:rsid w:val="00F754F0"/>
    <w:rsid w:val="00F75757"/>
    <w:rsid w:val="00F80531"/>
    <w:rsid w:val="00F858AA"/>
    <w:rsid w:val="00F87FAD"/>
    <w:rsid w:val="00F90653"/>
    <w:rsid w:val="00F91830"/>
    <w:rsid w:val="00F92396"/>
    <w:rsid w:val="00F93D51"/>
    <w:rsid w:val="00F941C6"/>
    <w:rsid w:val="00F94BAF"/>
    <w:rsid w:val="00F96148"/>
    <w:rsid w:val="00F965D2"/>
    <w:rsid w:val="00F967D0"/>
    <w:rsid w:val="00FA03E9"/>
    <w:rsid w:val="00FA0555"/>
    <w:rsid w:val="00FA20AB"/>
    <w:rsid w:val="00FA4021"/>
    <w:rsid w:val="00FA41DB"/>
    <w:rsid w:val="00FA4EEB"/>
    <w:rsid w:val="00FA6FAF"/>
    <w:rsid w:val="00FB0203"/>
    <w:rsid w:val="00FB0B36"/>
    <w:rsid w:val="00FB1C3E"/>
    <w:rsid w:val="00FB2C65"/>
    <w:rsid w:val="00FB3148"/>
    <w:rsid w:val="00FB32F7"/>
    <w:rsid w:val="00FB43CB"/>
    <w:rsid w:val="00FB46BA"/>
    <w:rsid w:val="00FB6F19"/>
    <w:rsid w:val="00FC0FBC"/>
    <w:rsid w:val="00FC190B"/>
    <w:rsid w:val="00FC2410"/>
    <w:rsid w:val="00FC2D6A"/>
    <w:rsid w:val="00FC33CA"/>
    <w:rsid w:val="00FC3672"/>
    <w:rsid w:val="00FC3905"/>
    <w:rsid w:val="00FC391E"/>
    <w:rsid w:val="00FC3BC7"/>
    <w:rsid w:val="00FC6D88"/>
    <w:rsid w:val="00FD126D"/>
    <w:rsid w:val="00FD153C"/>
    <w:rsid w:val="00FD2AA7"/>
    <w:rsid w:val="00FD37BA"/>
    <w:rsid w:val="00FD40B9"/>
    <w:rsid w:val="00FD45FB"/>
    <w:rsid w:val="00FD7725"/>
    <w:rsid w:val="00FE0761"/>
    <w:rsid w:val="00FE097B"/>
    <w:rsid w:val="00FE0C67"/>
    <w:rsid w:val="00FE128A"/>
    <w:rsid w:val="00FE4C78"/>
    <w:rsid w:val="00FE5468"/>
    <w:rsid w:val="00FE5945"/>
    <w:rsid w:val="00FE7A52"/>
    <w:rsid w:val="00FF0107"/>
    <w:rsid w:val="00FF0605"/>
    <w:rsid w:val="00FF1FDC"/>
    <w:rsid w:val="00FF2EA3"/>
    <w:rsid w:val="00FF2FE1"/>
    <w:rsid w:val="00FF3B4C"/>
    <w:rsid w:val="00FF417B"/>
    <w:rsid w:val="00FF50FD"/>
    <w:rsid w:val="00FF5143"/>
    <w:rsid w:val="00FF5549"/>
    <w:rsid w:val="00FF5AE0"/>
    <w:rsid w:val="00FF5E1F"/>
    <w:rsid w:val="00FF656E"/>
    <w:rsid w:val="00FF7A1D"/>
    <w:rsid w:val="01100BAB"/>
    <w:rsid w:val="0167281B"/>
    <w:rsid w:val="020B1933"/>
    <w:rsid w:val="02105DD0"/>
    <w:rsid w:val="02243B3B"/>
    <w:rsid w:val="023D46EC"/>
    <w:rsid w:val="02571C51"/>
    <w:rsid w:val="025A725E"/>
    <w:rsid w:val="02602601"/>
    <w:rsid w:val="02777BFD"/>
    <w:rsid w:val="029B0E4F"/>
    <w:rsid w:val="029F53A6"/>
    <w:rsid w:val="02A209F3"/>
    <w:rsid w:val="02BF3353"/>
    <w:rsid w:val="02C44DFF"/>
    <w:rsid w:val="03031491"/>
    <w:rsid w:val="031E34C6"/>
    <w:rsid w:val="03222BF9"/>
    <w:rsid w:val="034A057C"/>
    <w:rsid w:val="034E289A"/>
    <w:rsid w:val="03690CDE"/>
    <w:rsid w:val="0396090D"/>
    <w:rsid w:val="041476CE"/>
    <w:rsid w:val="04155920"/>
    <w:rsid w:val="041D6583"/>
    <w:rsid w:val="046A66C2"/>
    <w:rsid w:val="04765442"/>
    <w:rsid w:val="04960477"/>
    <w:rsid w:val="049F2951"/>
    <w:rsid w:val="04C20027"/>
    <w:rsid w:val="04C75720"/>
    <w:rsid w:val="04D74983"/>
    <w:rsid w:val="04E20A95"/>
    <w:rsid w:val="04E946B7"/>
    <w:rsid w:val="05013DBF"/>
    <w:rsid w:val="05151950"/>
    <w:rsid w:val="051F632A"/>
    <w:rsid w:val="05230EF2"/>
    <w:rsid w:val="05504736"/>
    <w:rsid w:val="055A55B4"/>
    <w:rsid w:val="05AD7DDA"/>
    <w:rsid w:val="05B14BCB"/>
    <w:rsid w:val="05D45367"/>
    <w:rsid w:val="05E41A4E"/>
    <w:rsid w:val="061064E1"/>
    <w:rsid w:val="06131D94"/>
    <w:rsid w:val="06233BF8"/>
    <w:rsid w:val="063A0363"/>
    <w:rsid w:val="06A30558"/>
    <w:rsid w:val="06A411DD"/>
    <w:rsid w:val="06B4067E"/>
    <w:rsid w:val="06D05B2E"/>
    <w:rsid w:val="06EE2873"/>
    <w:rsid w:val="06F73A93"/>
    <w:rsid w:val="07113B3D"/>
    <w:rsid w:val="07134A24"/>
    <w:rsid w:val="073267E9"/>
    <w:rsid w:val="07966D78"/>
    <w:rsid w:val="079B34B5"/>
    <w:rsid w:val="07D829D1"/>
    <w:rsid w:val="07D94EB6"/>
    <w:rsid w:val="07EA2C20"/>
    <w:rsid w:val="08052C9F"/>
    <w:rsid w:val="081662FA"/>
    <w:rsid w:val="08493DEA"/>
    <w:rsid w:val="084C7436"/>
    <w:rsid w:val="088E7E69"/>
    <w:rsid w:val="08A63F92"/>
    <w:rsid w:val="08C13DF4"/>
    <w:rsid w:val="08F55D20"/>
    <w:rsid w:val="09605EAD"/>
    <w:rsid w:val="096B3CA2"/>
    <w:rsid w:val="098D5F59"/>
    <w:rsid w:val="09DE31C8"/>
    <w:rsid w:val="09F63AFE"/>
    <w:rsid w:val="0A045471"/>
    <w:rsid w:val="0A1A53AB"/>
    <w:rsid w:val="0A1F0E12"/>
    <w:rsid w:val="0A5627EE"/>
    <w:rsid w:val="0A5B39D6"/>
    <w:rsid w:val="0A7E2640"/>
    <w:rsid w:val="0A920540"/>
    <w:rsid w:val="0AA96DC2"/>
    <w:rsid w:val="0AC0777A"/>
    <w:rsid w:val="0AFD2C6A"/>
    <w:rsid w:val="0B3C19E4"/>
    <w:rsid w:val="0B4C07B4"/>
    <w:rsid w:val="0B660299"/>
    <w:rsid w:val="0BD04822"/>
    <w:rsid w:val="0BFC4614"/>
    <w:rsid w:val="0C0F0873"/>
    <w:rsid w:val="0C13471F"/>
    <w:rsid w:val="0C2715FB"/>
    <w:rsid w:val="0C366A01"/>
    <w:rsid w:val="0C474AE5"/>
    <w:rsid w:val="0C871385"/>
    <w:rsid w:val="0C9F3651"/>
    <w:rsid w:val="0C9F52E7"/>
    <w:rsid w:val="0CA830A9"/>
    <w:rsid w:val="0CBB2DDD"/>
    <w:rsid w:val="0CC66B41"/>
    <w:rsid w:val="0CDC5462"/>
    <w:rsid w:val="0CF71C5A"/>
    <w:rsid w:val="0D003BE6"/>
    <w:rsid w:val="0D24647D"/>
    <w:rsid w:val="0D703BC7"/>
    <w:rsid w:val="0D7A4A46"/>
    <w:rsid w:val="0D821B4C"/>
    <w:rsid w:val="0D8635BB"/>
    <w:rsid w:val="0D870F11"/>
    <w:rsid w:val="0DA87805"/>
    <w:rsid w:val="0DB25E79"/>
    <w:rsid w:val="0DBA12E6"/>
    <w:rsid w:val="0DBC0BBA"/>
    <w:rsid w:val="0DBD41ED"/>
    <w:rsid w:val="0DD55CAA"/>
    <w:rsid w:val="0DDC125D"/>
    <w:rsid w:val="0DEB14A0"/>
    <w:rsid w:val="0DF30354"/>
    <w:rsid w:val="0DFC36AD"/>
    <w:rsid w:val="0E556E4F"/>
    <w:rsid w:val="0E7A091F"/>
    <w:rsid w:val="0E7E2314"/>
    <w:rsid w:val="0E87741A"/>
    <w:rsid w:val="0E963B01"/>
    <w:rsid w:val="0EDA2EC2"/>
    <w:rsid w:val="0EF71094"/>
    <w:rsid w:val="0F111262"/>
    <w:rsid w:val="0F2F360E"/>
    <w:rsid w:val="0F357CFE"/>
    <w:rsid w:val="0F4672D5"/>
    <w:rsid w:val="0F573191"/>
    <w:rsid w:val="0F607C6B"/>
    <w:rsid w:val="0F6C6610"/>
    <w:rsid w:val="0F8E57DC"/>
    <w:rsid w:val="0FAF2A1D"/>
    <w:rsid w:val="0FB32E9F"/>
    <w:rsid w:val="0FE12B5A"/>
    <w:rsid w:val="0FF54FD0"/>
    <w:rsid w:val="0FF56606"/>
    <w:rsid w:val="100811AA"/>
    <w:rsid w:val="103864CF"/>
    <w:rsid w:val="10415455"/>
    <w:rsid w:val="1083432E"/>
    <w:rsid w:val="10913C47"/>
    <w:rsid w:val="10DC08A3"/>
    <w:rsid w:val="10E741A0"/>
    <w:rsid w:val="10F30708"/>
    <w:rsid w:val="111E5EA8"/>
    <w:rsid w:val="112278CE"/>
    <w:rsid w:val="11690959"/>
    <w:rsid w:val="118F38BF"/>
    <w:rsid w:val="1193257A"/>
    <w:rsid w:val="11B35AED"/>
    <w:rsid w:val="11D01026"/>
    <w:rsid w:val="11D30BC8"/>
    <w:rsid w:val="11E82DC2"/>
    <w:rsid w:val="11EC3A38"/>
    <w:rsid w:val="122B4561"/>
    <w:rsid w:val="12415B32"/>
    <w:rsid w:val="12556DED"/>
    <w:rsid w:val="12910D66"/>
    <w:rsid w:val="129A6078"/>
    <w:rsid w:val="12AD7DA8"/>
    <w:rsid w:val="12C81DAF"/>
    <w:rsid w:val="133B4C77"/>
    <w:rsid w:val="13513568"/>
    <w:rsid w:val="135D699C"/>
    <w:rsid w:val="13623FB2"/>
    <w:rsid w:val="136676F5"/>
    <w:rsid w:val="13BF0C9F"/>
    <w:rsid w:val="13CE5AEB"/>
    <w:rsid w:val="13E55991"/>
    <w:rsid w:val="14396561"/>
    <w:rsid w:val="143B234F"/>
    <w:rsid w:val="1441006B"/>
    <w:rsid w:val="14681641"/>
    <w:rsid w:val="147541B9"/>
    <w:rsid w:val="14791559"/>
    <w:rsid w:val="14851961"/>
    <w:rsid w:val="148A24DD"/>
    <w:rsid w:val="14BA7DF7"/>
    <w:rsid w:val="14BC1DE8"/>
    <w:rsid w:val="14D95E2A"/>
    <w:rsid w:val="154C37F4"/>
    <w:rsid w:val="15597637"/>
    <w:rsid w:val="15895290"/>
    <w:rsid w:val="15973EC0"/>
    <w:rsid w:val="15D46DE0"/>
    <w:rsid w:val="163C4DC0"/>
    <w:rsid w:val="163F1046"/>
    <w:rsid w:val="1651030E"/>
    <w:rsid w:val="165F6ECF"/>
    <w:rsid w:val="16696888"/>
    <w:rsid w:val="16D231FD"/>
    <w:rsid w:val="170326E7"/>
    <w:rsid w:val="172D2B29"/>
    <w:rsid w:val="173E4514"/>
    <w:rsid w:val="177000E6"/>
    <w:rsid w:val="17857AE5"/>
    <w:rsid w:val="17960A8A"/>
    <w:rsid w:val="17A16A7A"/>
    <w:rsid w:val="17B679CD"/>
    <w:rsid w:val="17C52E06"/>
    <w:rsid w:val="17CC21EF"/>
    <w:rsid w:val="17D261EE"/>
    <w:rsid w:val="17F83137"/>
    <w:rsid w:val="17F9443C"/>
    <w:rsid w:val="18096D70"/>
    <w:rsid w:val="180E64B6"/>
    <w:rsid w:val="18147845"/>
    <w:rsid w:val="1828201A"/>
    <w:rsid w:val="183D5CA4"/>
    <w:rsid w:val="183E0895"/>
    <w:rsid w:val="18655CAD"/>
    <w:rsid w:val="187C78C4"/>
    <w:rsid w:val="187F2D3B"/>
    <w:rsid w:val="18866995"/>
    <w:rsid w:val="188E5849"/>
    <w:rsid w:val="18B352EF"/>
    <w:rsid w:val="18B43502"/>
    <w:rsid w:val="18CB084B"/>
    <w:rsid w:val="18DC3284"/>
    <w:rsid w:val="18DC3819"/>
    <w:rsid w:val="18F356AC"/>
    <w:rsid w:val="19466124"/>
    <w:rsid w:val="194F2FB7"/>
    <w:rsid w:val="1A1C6D74"/>
    <w:rsid w:val="1A5A1E87"/>
    <w:rsid w:val="1A6A7F32"/>
    <w:rsid w:val="1A6C7B64"/>
    <w:rsid w:val="1A845156"/>
    <w:rsid w:val="1A9A04D5"/>
    <w:rsid w:val="1AA24300"/>
    <w:rsid w:val="1AB52957"/>
    <w:rsid w:val="1AC44190"/>
    <w:rsid w:val="1ADE2146"/>
    <w:rsid w:val="1AE300CE"/>
    <w:rsid w:val="1AE96D67"/>
    <w:rsid w:val="1AEA4C43"/>
    <w:rsid w:val="1AF2106E"/>
    <w:rsid w:val="1B2B0D17"/>
    <w:rsid w:val="1B414828"/>
    <w:rsid w:val="1BB57219"/>
    <w:rsid w:val="1BC85530"/>
    <w:rsid w:val="1BEA0D2F"/>
    <w:rsid w:val="1C011D59"/>
    <w:rsid w:val="1C5207A8"/>
    <w:rsid w:val="1C9B22E3"/>
    <w:rsid w:val="1CD35F20"/>
    <w:rsid w:val="1D1E2032"/>
    <w:rsid w:val="1D221904"/>
    <w:rsid w:val="1D3E3D51"/>
    <w:rsid w:val="1D5030CD"/>
    <w:rsid w:val="1D7E40DE"/>
    <w:rsid w:val="1DBD39D3"/>
    <w:rsid w:val="1DD7602D"/>
    <w:rsid w:val="1DED2FFC"/>
    <w:rsid w:val="1E1E3A70"/>
    <w:rsid w:val="1E3B3D7D"/>
    <w:rsid w:val="1E6037E4"/>
    <w:rsid w:val="1E6E4C31"/>
    <w:rsid w:val="1EA51D2D"/>
    <w:rsid w:val="1ECA6EAF"/>
    <w:rsid w:val="1EE703DC"/>
    <w:rsid w:val="1F0B19A2"/>
    <w:rsid w:val="1F30145D"/>
    <w:rsid w:val="1F901EA7"/>
    <w:rsid w:val="1F982D79"/>
    <w:rsid w:val="1FB94F7B"/>
    <w:rsid w:val="1FDF698A"/>
    <w:rsid w:val="1FE55560"/>
    <w:rsid w:val="1FFA139A"/>
    <w:rsid w:val="2020147D"/>
    <w:rsid w:val="20241681"/>
    <w:rsid w:val="20580C17"/>
    <w:rsid w:val="20754360"/>
    <w:rsid w:val="207D067D"/>
    <w:rsid w:val="208D637E"/>
    <w:rsid w:val="20C80266"/>
    <w:rsid w:val="20D12777"/>
    <w:rsid w:val="20D52267"/>
    <w:rsid w:val="20ED4838"/>
    <w:rsid w:val="212C7E67"/>
    <w:rsid w:val="215C3E48"/>
    <w:rsid w:val="215E5481"/>
    <w:rsid w:val="216B6728"/>
    <w:rsid w:val="21727819"/>
    <w:rsid w:val="21750305"/>
    <w:rsid w:val="219664F3"/>
    <w:rsid w:val="22121299"/>
    <w:rsid w:val="222202F0"/>
    <w:rsid w:val="226338A3"/>
    <w:rsid w:val="22BA5BB9"/>
    <w:rsid w:val="22DE117B"/>
    <w:rsid w:val="22FC3364"/>
    <w:rsid w:val="23011BA4"/>
    <w:rsid w:val="230F7587"/>
    <w:rsid w:val="23201304"/>
    <w:rsid w:val="23332E9B"/>
    <w:rsid w:val="23341B14"/>
    <w:rsid w:val="235B0E86"/>
    <w:rsid w:val="23850217"/>
    <w:rsid w:val="239F6B5C"/>
    <w:rsid w:val="23AD6B27"/>
    <w:rsid w:val="23C860B3"/>
    <w:rsid w:val="23DF233A"/>
    <w:rsid w:val="23E81F7E"/>
    <w:rsid w:val="241134E6"/>
    <w:rsid w:val="241D60CD"/>
    <w:rsid w:val="24374FE7"/>
    <w:rsid w:val="247D209A"/>
    <w:rsid w:val="24A02B8C"/>
    <w:rsid w:val="24B4537F"/>
    <w:rsid w:val="24E2372D"/>
    <w:rsid w:val="25107257"/>
    <w:rsid w:val="251D41DD"/>
    <w:rsid w:val="252C42F9"/>
    <w:rsid w:val="255E3C75"/>
    <w:rsid w:val="25767A70"/>
    <w:rsid w:val="259F2735"/>
    <w:rsid w:val="25C743D9"/>
    <w:rsid w:val="25D06ECB"/>
    <w:rsid w:val="25FF548D"/>
    <w:rsid w:val="262604D9"/>
    <w:rsid w:val="26A23821"/>
    <w:rsid w:val="26BD5EFD"/>
    <w:rsid w:val="26ED047F"/>
    <w:rsid w:val="27096B3C"/>
    <w:rsid w:val="270B0328"/>
    <w:rsid w:val="27206EA6"/>
    <w:rsid w:val="273E72C8"/>
    <w:rsid w:val="277B13F3"/>
    <w:rsid w:val="277B6949"/>
    <w:rsid w:val="27AF5AA5"/>
    <w:rsid w:val="27D668C5"/>
    <w:rsid w:val="2810627B"/>
    <w:rsid w:val="28125B4F"/>
    <w:rsid w:val="282464A4"/>
    <w:rsid w:val="28537F15"/>
    <w:rsid w:val="285F51FE"/>
    <w:rsid w:val="286B525F"/>
    <w:rsid w:val="288A77AC"/>
    <w:rsid w:val="28A02559"/>
    <w:rsid w:val="28B27332"/>
    <w:rsid w:val="28F26EE9"/>
    <w:rsid w:val="290731DA"/>
    <w:rsid w:val="295D442C"/>
    <w:rsid w:val="29B570DA"/>
    <w:rsid w:val="29C03958"/>
    <w:rsid w:val="29D3130E"/>
    <w:rsid w:val="2A0F4C8C"/>
    <w:rsid w:val="2A242238"/>
    <w:rsid w:val="2A336250"/>
    <w:rsid w:val="2A676575"/>
    <w:rsid w:val="2A730E53"/>
    <w:rsid w:val="2A7907DD"/>
    <w:rsid w:val="2AC25CEC"/>
    <w:rsid w:val="2ACB2746"/>
    <w:rsid w:val="2B1C5A9C"/>
    <w:rsid w:val="2B22254D"/>
    <w:rsid w:val="2B334B3C"/>
    <w:rsid w:val="2B3B53BD"/>
    <w:rsid w:val="2B4A7CB3"/>
    <w:rsid w:val="2B612949"/>
    <w:rsid w:val="2B8A3FE8"/>
    <w:rsid w:val="2B8C79C6"/>
    <w:rsid w:val="2BBD04C8"/>
    <w:rsid w:val="2BC15C78"/>
    <w:rsid w:val="2BC5112A"/>
    <w:rsid w:val="2C015C29"/>
    <w:rsid w:val="2C544EB5"/>
    <w:rsid w:val="2C6B4B4E"/>
    <w:rsid w:val="2C86250F"/>
    <w:rsid w:val="2C99598B"/>
    <w:rsid w:val="2CD5539D"/>
    <w:rsid w:val="2D0520EB"/>
    <w:rsid w:val="2D225DBA"/>
    <w:rsid w:val="2D493E68"/>
    <w:rsid w:val="2D526133"/>
    <w:rsid w:val="2D7C1CBC"/>
    <w:rsid w:val="2D8079FF"/>
    <w:rsid w:val="2DB476A8"/>
    <w:rsid w:val="2DE26CD2"/>
    <w:rsid w:val="2E4E6534"/>
    <w:rsid w:val="2E61338C"/>
    <w:rsid w:val="2E750BE6"/>
    <w:rsid w:val="2E770B1D"/>
    <w:rsid w:val="2E876B6B"/>
    <w:rsid w:val="2EC13E2B"/>
    <w:rsid w:val="2EE87609"/>
    <w:rsid w:val="2EF7784D"/>
    <w:rsid w:val="2F25085E"/>
    <w:rsid w:val="2F3C7955"/>
    <w:rsid w:val="2F511653"/>
    <w:rsid w:val="2F5945B7"/>
    <w:rsid w:val="2F761D20"/>
    <w:rsid w:val="2FAB26EB"/>
    <w:rsid w:val="2FD40AF9"/>
    <w:rsid w:val="2FEF49C8"/>
    <w:rsid w:val="30314FE0"/>
    <w:rsid w:val="304C5AA5"/>
    <w:rsid w:val="306C426A"/>
    <w:rsid w:val="307F762A"/>
    <w:rsid w:val="307F7AFA"/>
    <w:rsid w:val="308A1AFA"/>
    <w:rsid w:val="30C0478E"/>
    <w:rsid w:val="30EE5BAC"/>
    <w:rsid w:val="311B126E"/>
    <w:rsid w:val="315D3BED"/>
    <w:rsid w:val="31E16D75"/>
    <w:rsid w:val="31F97C95"/>
    <w:rsid w:val="31FF217F"/>
    <w:rsid w:val="32193F7E"/>
    <w:rsid w:val="321E084B"/>
    <w:rsid w:val="322A7F39"/>
    <w:rsid w:val="323F1C36"/>
    <w:rsid w:val="32424F07"/>
    <w:rsid w:val="32AB107A"/>
    <w:rsid w:val="32F96F06"/>
    <w:rsid w:val="32FB3FA8"/>
    <w:rsid w:val="33460DA3"/>
    <w:rsid w:val="334868C9"/>
    <w:rsid w:val="33530B80"/>
    <w:rsid w:val="3353526D"/>
    <w:rsid w:val="335A06F4"/>
    <w:rsid w:val="336A2CE3"/>
    <w:rsid w:val="33884F17"/>
    <w:rsid w:val="33A10110"/>
    <w:rsid w:val="33A930DF"/>
    <w:rsid w:val="33D01895"/>
    <w:rsid w:val="33DE4BF8"/>
    <w:rsid w:val="33EF31E8"/>
    <w:rsid w:val="34117A99"/>
    <w:rsid w:val="34126ED7"/>
    <w:rsid w:val="341F510D"/>
    <w:rsid w:val="34433E65"/>
    <w:rsid w:val="345B68F3"/>
    <w:rsid w:val="349E35DF"/>
    <w:rsid w:val="34B71F6D"/>
    <w:rsid w:val="34BD5094"/>
    <w:rsid w:val="350C1661"/>
    <w:rsid w:val="35380083"/>
    <w:rsid w:val="35491DBA"/>
    <w:rsid w:val="35903501"/>
    <w:rsid w:val="35CF32D1"/>
    <w:rsid w:val="35D67BEF"/>
    <w:rsid w:val="36122D8A"/>
    <w:rsid w:val="36160F00"/>
    <w:rsid w:val="362A7829"/>
    <w:rsid w:val="36372C24"/>
    <w:rsid w:val="365828F9"/>
    <w:rsid w:val="367D5E1D"/>
    <w:rsid w:val="36963DEF"/>
    <w:rsid w:val="36A24542"/>
    <w:rsid w:val="36AC4CE8"/>
    <w:rsid w:val="36B3674F"/>
    <w:rsid w:val="36E032BC"/>
    <w:rsid w:val="36FC6348"/>
    <w:rsid w:val="3702063C"/>
    <w:rsid w:val="372C02AF"/>
    <w:rsid w:val="373B6744"/>
    <w:rsid w:val="374055DE"/>
    <w:rsid w:val="375D2B5F"/>
    <w:rsid w:val="376106C6"/>
    <w:rsid w:val="37B62F68"/>
    <w:rsid w:val="37B704C1"/>
    <w:rsid w:val="37D4287B"/>
    <w:rsid w:val="37DB2A30"/>
    <w:rsid w:val="37F26B45"/>
    <w:rsid w:val="3801173C"/>
    <w:rsid w:val="3810747A"/>
    <w:rsid w:val="38542467"/>
    <w:rsid w:val="386B59A4"/>
    <w:rsid w:val="38787C50"/>
    <w:rsid w:val="38833F9E"/>
    <w:rsid w:val="38A554F2"/>
    <w:rsid w:val="38A70560"/>
    <w:rsid w:val="38B8629F"/>
    <w:rsid w:val="38BE0A67"/>
    <w:rsid w:val="38E075A3"/>
    <w:rsid w:val="38E946AA"/>
    <w:rsid w:val="392A6A70"/>
    <w:rsid w:val="39331DB8"/>
    <w:rsid w:val="39584452"/>
    <w:rsid w:val="39746B55"/>
    <w:rsid w:val="39C96289"/>
    <w:rsid w:val="39DA2245"/>
    <w:rsid w:val="3A06128C"/>
    <w:rsid w:val="3A184B1B"/>
    <w:rsid w:val="3A757562"/>
    <w:rsid w:val="3AF1203C"/>
    <w:rsid w:val="3AF44AFA"/>
    <w:rsid w:val="3B0A14BF"/>
    <w:rsid w:val="3B0F3D3A"/>
    <w:rsid w:val="3B4007CD"/>
    <w:rsid w:val="3B967788"/>
    <w:rsid w:val="3BB058AC"/>
    <w:rsid w:val="3BB15227"/>
    <w:rsid w:val="3BC211E2"/>
    <w:rsid w:val="3BDB0E56"/>
    <w:rsid w:val="3BE90DD2"/>
    <w:rsid w:val="3BF00A68"/>
    <w:rsid w:val="3C0417FB"/>
    <w:rsid w:val="3C2136AC"/>
    <w:rsid w:val="3C291B89"/>
    <w:rsid w:val="3C476F95"/>
    <w:rsid w:val="3C4D31A2"/>
    <w:rsid w:val="3C720E5A"/>
    <w:rsid w:val="3C7F70D3"/>
    <w:rsid w:val="3C8D4332"/>
    <w:rsid w:val="3C9568F7"/>
    <w:rsid w:val="3CA95416"/>
    <w:rsid w:val="3CD177F1"/>
    <w:rsid w:val="3CD428B3"/>
    <w:rsid w:val="3CE77152"/>
    <w:rsid w:val="3D3A226B"/>
    <w:rsid w:val="3D4F03E6"/>
    <w:rsid w:val="3D51788C"/>
    <w:rsid w:val="3D684476"/>
    <w:rsid w:val="3D900CC7"/>
    <w:rsid w:val="3DF5589F"/>
    <w:rsid w:val="3E151A9D"/>
    <w:rsid w:val="3E4B1963"/>
    <w:rsid w:val="3EC62D97"/>
    <w:rsid w:val="3EED6576"/>
    <w:rsid w:val="3F2952C0"/>
    <w:rsid w:val="3F375A43"/>
    <w:rsid w:val="3F6525B0"/>
    <w:rsid w:val="3F696545"/>
    <w:rsid w:val="3F9A7FF5"/>
    <w:rsid w:val="3FBB6674"/>
    <w:rsid w:val="3FD21D8B"/>
    <w:rsid w:val="3FDB0AC5"/>
    <w:rsid w:val="3FEB1D11"/>
    <w:rsid w:val="3FEE6A4A"/>
    <w:rsid w:val="3FFD6C8D"/>
    <w:rsid w:val="401164D4"/>
    <w:rsid w:val="40356427"/>
    <w:rsid w:val="40957610"/>
    <w:rsid w:val="40980764"/>
    <w:rsid w:val="40A84E4B"/>
    <w:rsid w:val="40AB315A"/>
    <w:rsid w:val="40BE466E"/>
    <w:rsid w:val="40D1782D"/>
    <w:rsid w:val="40DE086C"/>
    <w:rsid w:val="40E12D0D"/>
    <w:rsid w:val="40FF5729"/>
    <w:rsid w:val="411F588B"/>
    <w:rsid w:val="41293A81"/>
    <w:rsid w:val="41605725"/>
    <w:rsid w:val="41650F8E"/>
    <w:rsid w:val="417B3F50"/>
    <w:rsid w:val="417E3D87"/>
    <w:rsid w:val="41807B75"/>
    <w:rsid w:val="41A05BF9"/>
    <w:rsid w:val="41A4624E"/>
    <w:rsid w:val="41A87208"/>
    <w:rsid w:val="41DA1F2F"/>
    <w:rsid w:val="41F37817"/>
    <w:rsid w:val="422A5382"/>
    <w:rsid w:val="422A5CDE"/>
    <w:rsid w:val="42472D6A"/>
    <w:rsid w:val="42476A46"/>
    <w:rsid w:val="425132C0"/>
    <w:rsid w:val="42531F93"/>
    <w:rsid w:val="42611755"/>
    <w:rsid w:val="4267176B"/>
    <w:rsid w:val="42884F34"/>
    <w:rsid w:val="42D54D00"/>
    <w:rsid w:val="42E3660E"/>
    <w:rsid w:val="430976F7"/>
    <w:rsid w:val="431C1B20"/>
    <w:rsid w:val="434269B4"/>
    <w:rsid w:val="43606AD1"/>
    <w:rsid w:val="438A3C39"/>
    <w:rsid w:val="43B81141"/>
    <w:rsid w:val="43BA256C"/>
    <w:rsid w:val="43EF4B3E"/>
    <w:rsid w:val="43FF1225"/>
    <w:rsid w:val="440779ED"/>
    <w:rsid w:val="44351408"/>
    <w:rsid w:val="4441183E"/>
    <w:rsid w:val="445C2C1A"/>
    <w:rsid w:val="445F13A8"/>
    <w:rsid w:val="449556E6"/>
    <w:rsid w:val="44DF1057"/>
    <w:rsid w:val="44FA0349"/>
    <w:rsid w:val="452A2832"/>
    <w:rsid w:val="453B040A"/>
    <w:rsid w:val="45726A09"/>
    <w:rsid w:val="4577303D"/>
    <w:rsid w:val="45973A7F"/>
    <w:rsid w:val="45F54AEC"/>
    <w:rsid w:val="460031F9"/>
    <w:rsid w:val="463A0E45"/>
    <w:rsid w:val="46430D18"/>
    <w:rsid w:val="467634A0"/>
    <w:rsid w:val="46957C1F"/>
    <w:rsid w:val="469B28A0"/>
    <w:rsid w:val="46A12CF7"/>
    <w:rsid w:val="46CC73B9"/>
    <w:rsid w:val="46E741F9"/>
    <w:rsid w:val="470F05CE"/>
    <w:rsid w:val="471F1BDF"/>
    <w:rsid w:val="472B0583"/>
    <w:rsid w:val="473016F6"/>
    <w:rsid w:val="477C190D"/>
    <w:rsid w:val="47A04ACD"/>
    <w:rsid w:val="47C33C7C"/>
    <w:rsid w:val="47CC58C3"/>
    <w:rsid w:val="482F19AD"/>
    <w:rsid w:val="48345216"/>
    <w:rsid w:val="485D651B"/>
    <w:rsid w:val="489A1E58"/>
    <w:rsid w:val="48B3438D"/>
    <w:rsid w:val="48C46E40"/>
    <w:rsid w:val="48E00EFA"/>
    <w:rsid w:val="490C7F41"/>
    <w:rsid w:val="494168BE"/>
    <w:rsid w:val="49580918"/>
    <w:rsid w:val="49622B6C"/>
    <w:rsid w:val="49955F09"/>
    <w:rsid w:val="49995C78"/>
    <w:rsid w:val="49A43930"/>
    <w:rsid w:val="49A563CB"/>
    <w:rsid w:val="49B16CC5"/>
    <w:rsid w:val="49B20AE8"/>
    <w:rsid w:val="49CB1BAA"/>
    <w:rsid w:val="49E547EE"/>
    <w:rsid w:val="4A1452FF"/>
    <w:rsid w:val="4A3D1E58"/>
    <w:rsid w:val="4A58343D"/>
    <w:rsid w:val="4A8A6819"/>
    <w:rsid w:val="4A927F4C"/>
    <w:rsid w:val="4AB10DA0"/>
    <w:rsid w:val="4ABB6473"/>
    <w:rsid w:val="4AFA44F5"/>
    <w:rsid w:val="4B3F63AB"/>
    <w:rsid w:val="4B9B6828"/>
    <w:rsid w:val="4BA206E8"/>
    <w:rsid w:val="4BEE392E"/>
    <w:rsid w:val="4C0F5DE1"/>
    <w:rsid w:val="4C61439A"/>
    <w:rsid w:val="4C7402D7"/>
    <w:rsid w:val="4C942948"/>
    <w:rsid w:val="4CC53C01"/>
    <w:rsid w:val="4CE8116B"/>
    <w:rsid w:val="4CE92A73"/>
    <w:rsid w:val="4DA05B7D"/>
    <w:rsid w:val="4DB447B1"/>
    <w:rsid w:val="4DB841F3"/>
    <w:rsid w:val="4DBC797B"/>
    <w:rsid w:val="4DD8204A"/>
    <w:rsid w:val="4DDC1E5C"/>
    <w:rsid w:val="4DDD3C5A"/>
    <w:rsid w:val="4DE32E60"/>
    <w:rsid w:val="4DF16C6D"/>
    <w:rsid w:val="4E052BE9"/>
    <w:rsid w:val="4E1D06AC"/>
    <w:rsid w:val="4E4301AE"/>
    <w:rsid w:val="4E5D33A7"/>
    <w:rsid w:val="4E7D612D"/>
    <w:rsid w:val="4EA26AE5"/>
    <w:rsid w:val="4EF33BEB"/>
    <w:rsid w:val="4EFC606C"/>
    <w:rsid w:val="4F0040A4"/>
    <w:rsid w:val="4F154FAD"/>
    <w:rsid w:val="4F29184C"/>
    <w:rsid w:val="4F82374D"/>
    <w:rsid w:val="4F8E6670"/>
    <w:rsid w:val="4F984B69"/>
    <w:rsid w:val="4FA179B8"/>
    <w:rsid w:val="4FC368CE"/>
    <w:rsid w:val="4FC60E49"/>
    <w:rsid w:val="4FD12184"/>
    <w:rsid w:val="50222644"/>
    <w:rsid w:val="502945A9"/>
    <w:rsid w:val="5030027B"/>
    <w:rsid w:val="504D5FDF"/>
    <w:rsid w:val="50517DE1"/>
    <w:rsid w:val="505B3C87"/>
    <w:rsid w:val="507765E7"/>
    <w:rsid w:val="50835CE2"/>
    <w:rsid w:val="50903205"/>
    <w:rsid w:val="50930519"/>
    <w:rsid w:val="50AE1895"/>
    <w:rsid w:val="50D852D8"/>
    <w:rsid w:val="50D92DFE"/>
    <w:rsid w:val="50DE393E"/>
    <w:rsid w:val="50E06DA3"/>
    <w:rsid w:val="50F36E5F"/>
    <w:rsid w:val="51112598"/>
    <w:rsid w:val="511D0F3D"/>
    <w:rsid w:val="51206A31"/>
    <w:rsid w:val="51380597"/>
    <w:rsid w:val="513B7615"/>
    <w:rsid w:val="51516E38"/>
    <w:rsid w:val="516465E8"/>
    <w:rsid w:val="518E3BE9"/>
    <w:rsid w:val="51956D25"/>
    <w:rsid w:val="51D07D5D"/>
    <w:rsid w:val="5209507F"/>
    <w:rsid w:val="521C7FDC"/>
    <w:rsid w:val="52217DE7"/>
    <w:rsid w:val="523227C6"/>
    <w:rsid w:val="52340BA5"/>
    <w:rsid w:val="524349D3"/>
    <w:rsid w:val="52691F60"/>
    <w:rsid w:val="526B5CD8"/>
    <w:rsid w:val="52C4520E"/>
    <w:rsid w:val="52C54754"/>
    <w:rsid w:val="52D90E94"/>
    <w:rsid w:val="52D95337"/>
    <w:rsid w:val="52DB2E5E"/>
    <w:rsid w:val="52E066C6"/>
    <w:rsid w:val="534A1A84"/>
    <w:rsid w:val="53504C9E"/>
    <w:rsid w:val="53573A63"/>
    <w:rsid w:val="53A60F66"/>
    <w:rsid w:val="53D173F2"/>
    <w:rsid w:val="544221C7"/>
    <w:rsid w:val="54587FBF"/>
    <w:rsid w:val="5476680F"/>
    <w:rsid w:val="547F44D8"/>
    <w:rsid w:val="54817A35"/>
    <w:rsid w:val="54880DC3"/>
    <w:rsid w:val="54934FDB"/>
    <w:rsid w:val="54A26DD6"/>
    <w:rsid w:val="54AC3DF4"/>
    <w:rsid w:val="54C139E7"/>
    <w:rsid w:val="54C835E5"/>
    <w:rsid w:val="54CA318A"/>
    <w:rsid w:val="54E92143"/>
    <w:rsid w:val="54F21A09"/>
    <w:rsid w:val="54F24686"/>
    <w:rsid w:val="552242F5"/>
    <w:rsid w:val="55523DC7"/>
    <w:rsid w:val="555722CE"/>
    <w:rsid w:val="5583158B"/>
    <w:rsid w:val="55CA7510"/>
    <w:rsid w:val="55F345A1"/>
    <w:rsid w:val="55FD4F65"/>
    <w:rsid w:val="56287489"/>
    <w:rsid w:val="56530F5D"/>
    <w:rsid w:val="565E2B72"/>
    <w:rsid w:val="568F72F6"/>
    <w:rsid w:val="569A3F75"/>
    <w:rsid w:val="56B57E6A"/>
    <w:rsid w:val="56E04EE6"/>
    <w:rsid w:val="56EF1C69"/>
    <w:rsid w:val="56F63354"/>
    <w:rsid w:val="5711675C"/>
    <w:rsid w:val="573E7F48"/>
    <w:rsid w:val="57792C45"/>
    <w:rsid w:val="578A6C00"/>
    <w:rsid w:val="578C2978"/>
    <w:rsid w:val="57AA602F"/>
    <w:rsid w:val="57DB3900"/>
    <w:rsid w:val="57EB3450"/>
    <w:rsid w:val="580E05A5"/>
    <w:rsid w:val="581C337E"/>
    <w:rsid w:val="581D1822"/>
    <w:rsid w:val="58247055"/>
    <w:rsid w:val="58360991"/>
    <w:rsid w:val="58475690"/>
    <w:rsid w:val="5850181E"/>
    <w:rsid w:val="585723B0"/>
    <w:rsid w:val="585E30FF"/>
    <w:rsid w:val="58737694"/>
    <w:rsid w:val="58741A46"/>
    <w:rsid w:val="58871392"/>
    <w:rsid w:val="588F26E5"/>
    <w:rsid w:val="58B856C2"/>
    <w:rsid w:val="58CB5722"/>
    <w:rsid w:val="58D2085F"/>
    <w:rsid w:val="58EB36CF"/>
    <w:rsid w:val="58F76517"/>
    <w:rsid w:val="59375F3A"/>
    <w:rsid w:val="597B52F1"/>
    <w:rsid w:val="59A26483"/>
    <w:rsid w:val="59A319F7"/>
    <w:rsid w:val="59AB102B"/>
    <w:rsid w:val="59CE36FA"/>
    <w:rsid w:val="5A016227"/>
    <w:rsid w:val="5A624F25"/>
    <w:rsid w:val="5A9B1CD3"/>
    <w:rsid w:val="5A9C44F9"/>
    <w:rsid w:val="5AA26DF4"/>
    <w:rsid w:val="5ACC7530"/>
    <w:rsid w:val="5ACF34DD"/>
    <w:rsid w:val="5AFC7FD4"/>
    <w:rsid w:val="5B2813F0"/>
    <w:rsid w:val="5B5E63DA"/>
    <w:rsid w:val="5B6E1C37"/>
    <w:rsid w:val="5B761099"/>
    <w:rsid w:val="5BA5225B"/>
    <w:rsid w:val="5BDF36DC"/>
    <w:rsid w:val="5BE7577A"/>
    <w:rsid w:val="5BEF66F8"/>
    <w:rsid w:val="5BF22FC6"/>
    <w:rsid w:val="5C011502"/>
    <w:rsid w:val="5C2515ED"/>
    <w:rsid w:val="5C3434B0"/>
    <w:rsid w:val="5C60084D"/>
    <w:rsid w:val="5C98591B"/>
    <w:rsid w:val="5CE61B47"/>
    <w:rsid w:val="5CFA2F03"/>
    <w:rsid w:val="5D0644D0"/>
    <w:rsid w:val="5D16695A"/>
    <w:rsid w:val="5D3D7E3E"/>
    <w:rsid w:val="5D8B7132"/>
    <w:rsid w:val="5DA45E5B"/>
    <w:rsid w:val="5DFD75BE"/>
    <w:rsid w:val="5E124FE0"/>
    <w:rsid w:val="5E1E23FB"/>
    <w:rsid w:val="5E2240FA"/>
    <w:rsid w:val="5E2C0A11"/>
    <w:rsid w:val="5E400E18"/>
    <w:rsid w:val="5E764D5F"/>
    <w:rsid w:val="5E977CD1"/>
    <w:rsid w:val="5EA3640A"/>
    <w:rsid w:val="5EAC1B52"/>
    <w:rsid w:val="5EF12254"/>
    <w:rsid w:val="5EFF2CFB"/>
    <w:rsid w:val="5F2C5541"/>
    <w:rsid w:val="5F3758C0"/>
    <w:rsid w:val="5F4C0C3F"/>
    <w:rsid w:val="5F671E89"/>
    <w:rsid w:val="5F795ED8"/>
    <w:rsid w:val="5F8332C8"/>
    <w:rsid w:val="5FEF619A"/>
    <w:rsid w:val="60042D62"/>
    <w:rsid w:val="601479AF"/>
    <w:rsid w:val="6022014B"/>
    <w:rsid w:val="60424A95"/>
    <w:rsid w:val="60470E3C"/>
    <w:rsid w:val="60793CB6"/>
    <w:rsid w:val="60A62CD1"/>
    <w:rsid w:val="60BD0047"/>
    <w:rsid w:val="60C904DD"/>
    <w:rsid w:val="60D1764E"/>
    <w:rsid w:val="60EA0710"/>
    <w:rsid w:val="60EA6962"/>
    <w:rsid w:val="60FF065F"/>
    <w:rsid w:val="611939F2"/>
    <w:rsid w:val="611F03B9"/>
    <w:rsid w:val="611F0425"/>
    <w:rsid w:val="61411A9F"/>
    <w:rsid w:val="614240F3"/>
    <w:rsid w:val="6155202D"/>
    <w:rsid w:val="61867498"/>
    <w:rsid w:val="61AB22DB"/>
    <w:rsid w:val="61CC585F"/>
    <w:rsid w:val="61DC274E"/>
    <w:rsid w:val="61E11B13"/>
    <w:rsid w:val="61E8217E"/>
    <w:rsid w:val="61EF2482"/>
    <w:rsid w:val="621B1D3E"/>
    <w:rsid w:val="621F208B"/>
    <w:rsid w:val="62425706"/>
    <w:rsid w:val="62461F7A"/>
    <w:rsid w:val="624D3D9E"/>
    <w:rsid w:val="62565C7A"/>
    <w:rsid w:val="62796E1C"/>
    <w:rsid w:val="62A768B8"/>
    <w:rsid w:val="62AC4350"/>
    <w:rsid w:val="63080FD7"/>
    <w:rsid w:val="63203780"/>
    <w:rsid w:val="63222FBD"/>
    <w:rsid w:val="63645CE3"/>
    <w:rsid w:val="636C1EF3"/>
    <w:rsid w:val="636F6C44"/>
    <w:rsid w:val="637A221F"/>
    <w:rsid w:val="637B0337"/>
    <w:rsid w:val="642752E7"/>
    <w:rsid w:val="64504F4E"/>
    <w:rsid w:val="64901ED1"/>
    <w:rsid w:val="64ED23A7"/>
    <w:rsid w:val="650B53D5"/>
    <w:rsid w:val="65242442"/>
    <w:rsid w:val="65736F26"/>
    <w:rsid w:val="658B24C1"/>
    <w:rsid w:val="658E3D60"/>
    <w:rsid w:val="65E971E8"/>
    <w:rsid w:val="65F71905"/>
    <w:rsid w:val="65FE0D7E"/>
    <w:rsid w:val="66065FEC"/>
    <w:rsid w:val="660B3602"/>
    <w:rsid w:val="66252656"/>
    <w:rsid w:val="6646463A"/>
    <w:rsid w:val="66D221F7"/>
    <w:rsid w:val="66DA29A5"/>
    <w:rsid w:val="66F63B32"/>
    <w:rsid w:val="670106D2"/>
    <w:rsid w:val="67184229"/>
    <w:rsid w:val="6746612F"/>
    <w:rsid w:val="674C1305"/>
    <w:rsid w:val="676E5BF7"/>
    <w:rsid w:val="677551D7"/>
    <w:rsid w:val="67760F4F"/>
    <w:rsid w:val="678159CE"/>
    <w:rsid w:val="67A1421E"/>
    <w:rsid w:val="67B57CC9"/>
    <w:rsid w:val="67D143D7"/>
    <w:rsid w:val="681C406B"/>
    <w:rsid w:val="682B7683"/>
    <w:rsid w:val="686F7E78"/>
    <w:rsid w:val="68837FD6"/>
    <w:rsid w:val="68EF720B"/>
    <w:rsid w:val="68F22857"/>
    <w:rsid w:val="690311BF"/>
    <w:rsid w:val="690703FD"/>
    <w:rsid w:val="693230B5"/>
    <w:rsid w:val="693A03E2"/>
    <w:rsid w:val="698F3636"/>
    <w:rsid w:val="69911737"/>
    <w:rsid w:val="69DB32EB"/>
    <w:rsid w:val="6A0C050A"/>
    <w:rsid w:val="6A295932"/>
    <w:rsid w:val="6A5E78F7"/>
    <w:rsid w:val="6A745C1A"/>
    <w:rsid w:val="6AB0562A"/>
    <w:rsid w:val="6AC56475"/>
    <w:rsid w:val="6AF63D32"/>
    <w:rsid w:val="6B0A20DA"/>
    <w:rsid w:val="6B453807"/>
    <w:rsid w:val="6B7D7C3A"/>
    <w:rsid w:val="6B8C0D41"/>
    <w:rsid w:val="6B8E1401"/>
    <w:rsid w:val="6B940B38"/>
    <w:rsid w:val="6BA240C1"/>
    <w:rsid w:val="6BC33532"/>
    <w:rsid w:val="6BCA186A"/>
    <w:rsid w:val="6BF63BFB"/>
    <w:rsid w:val="6BFB7C75"/>
    <w:rsid w:val="6C1A2CFD"/>
    <w:rsid w:val="6C2D26C7"/>
    <w:rsid w:val="6C3D028D"/>
    <w:rsid w:val="6CA41BAB"/>
    <w:rsid w:val="6CE37867"/>
    <w:rsid w:val="6D0D3629"/>
    <w:rsid w:val="6D196C83"/>
    <w:rsid w:val="6D1D3026"/>
    <w:rsid w:val="6D3E4BF7"/>
    <w:rsid w:val="6D4A2660"/>
    <w:rsid w:val="6D5E495F"/>
    <w:rsid w:val="6D604233"/>
    <w:rsid w:val="6D921C73"/>
    <w:rsid w:val="6DC943E2"/>
    <w:rsid w:val="6DCC7643"/>
    <w:rsid w:val="6DFF1C9E"/>
    <w:rsid w:val="6E2132BB"/>
    <w:rsid w:val="6E2434B3"/>
    <w:rsid w:val="6E81047D"/>
    <w:rsid w:val="6E891568"/>
    <w:rsid w:val="6E8C1058"/>
    <w:rsid w:val="6E9B455D"/>
    <w:rsid w:val="6EE90259"/>
    <w:rsid w:val="6EF32E85"/>
    <w:rsid w:val="6F034164"/>
    <w:rsid w:val="6F673E70"/>
    <w:rsid w:val="6F675D4D"/>
    <w:rsid w:val="6F683499"/>
    <w:rsid w:val="6F6B6EC0"/>
    <w:rsid w:val="6F79782E"/>
    <w:rsid w:val="70003FA0"/>
    <w:rsid w:val="70657DB3"/>
    <w:rsid w:val="70757FF6"/>
    <w:rsid w:val="70936510"/>
    <w:rsid w:val="70A57A3D"/>
    <w:rsid w:val="70C20B36"/>
    <w:rsid w:val="70C9329A"/>
    <w:rsid w:val="70F03B20"/>
    <w:rsid w:val="70FA793C"/>
    <w:rsid w:val="71290DE0"/>
    <w:rsid w:val="712B025D"/>
    <w:rsid w:val="717A4915"/>
    <w:rsid w:val="71883D59"/>
    <w:rsid w:val="71D62D16"/>
    <w:rsid w:val="71E51B0A"/>
    <w:rsid w:val="71E67D1A"/>
    <w:rsid w:val="722814F9"/>
    <w:rsid w:val="724A54B2"/>
    <w:rsid w:val="727442DD"/>
    <w:rsid w:val="72A41061"/>
    <w:rsid w:val="72D677C4"/>
    <w:rsid w:val="73047CD5"/>
    <w:rsid w:val="730F10D1"/>
    <w:rsid w:val="73233446"/>
    <w:rsid w:val="73326672"/>
    <w:rsid w:val="73372521"/>
    <w:rsid w:val="73373830"/>
    <w:rsid w:val="734239A8"/>
    <w:rsid w:val="73832A2A"/>
    <w:rsid w:val="73AD55A1"/>
    <w:rsid w:val="73E2768A"/>
    <w:rsid w:val="73F86E4E"/>
    <w:rsid w:val="73F924E2"/>
    <w:rsid w:val="740A7B07"/>
    <w:rsid w:val="74144456"/>
    <w:rsid w:val="74367A9C"/>
    <w:rsid w:val="745C560B"/>
    <w:rsid w:val="7465798E"/>
    <w:rsid w:val="7476433D"/>
    <w:rsid w:val="748F53FE"/>
    <w:rsid w:val="74C64AB8"/>
    <w:rsid w:val="74D0554E"/>
    <w:rsid w:val="7505444A"/>
    <w:rsid w:val="750D4926"/>
    <w:rsid w:val="751B6BE1"/>
    <w:rsid w:val="75371D1E"/>
    <w:rsid w:val="756D47FB"/>
    <w:rsid w:val="75C5557C"/>
    <w:rsid w:val="75EC1271"/>
    <w:rsid w:val="7621652A"/>
    <w:rsid w:val="763149BF"/>
    <w:rsid w:val="76C53359"/>
    <w:rsid w:val="76D87CC3"/>
    <w:rsid w:val="76E934EC"/>
    <w:rsid w:val="770C2D36"/>
    <w:rsid w:val="772207AC"/>
    <w:rsid w:val="772E0EFE"/>
    <w:rsid w:val="775C2AE7"/>
    <w:rsid w:val="777728A5"/>
    <w:rsid w:val="77925931"/>
    <w:rsid w:val="779B4ADD"/>
    <w:rsid w:val="77DF49A9"/>
    <w:rsid w:val="78007B88"/>
    <w:rsid w:val="7803238B"/>
    <w:rsid w:val="782F5F2A"/>
    <w:rsid w:val="783349A9"/>
    <w:rsid w:val="78A0407E"/>
    <w:rsid w:val="78B94C28"/>
    <w:rsid w:val="78F55F22"/>
    <w:rsid w:val="790E5416"/>
    <w:rsid w:val="7919732B"/>
    <w:rsid w:val="79326208"/>
    <w:rsid w:val="79490272"/>
    <w:rsid w:val="794B3FEA"/>
    <w:rsid w:val="79726CD0"/>
    <w:rsid w:val="797352EE"/>
    <w:rsid w:val="79BD4AEA"/>
    <w:rsid w:val="79DE7658"/>
    <w:rsid w:val="79FE034D"/>
    <w:rsid w:val="7A440A39"/>
    <w:rsid w:val="7A594874"/>
    <w:rsid w:val="7A681106"/>
    <w:rsid w:val="7A846E55"/>
    <w:rsid w:val="7A9B7520"/>
    <w:rsid w:val="7AA34A81"/>
    <w:rsid w:val="7AB52AE8"/>
    <w:rsid w:val="7ACF0E76"/>
    <w:rsid w:val="7AE17C60"/>
    <w:rsid w:val="7B2B5D06"/>
    <w:rsid w:val="7B2C3872"/>
    <w:rsid w:val="7B370D47"/>
    <w:rsid w:val="7B597A59"/>
    <w:rsid w:val="7B871525"/>
    <w:rsid w:val="7BAD0F8C"/>
    <w:rsid w:val="7BB21A33"/>
    <w:rsid w:val="7BCE0F02"/>
    <w:rsid w:val="7BF919B8"/>
    <w:rsid w:val="7C373E78"/>
    <w:rsid w:val="7C7761E7"/>
    <w:rsid w:val="7C7B2437"/>
    <w:rsid w:val="7C885555"/>
    <w:rsid w:val="7C8A4E29"/>
    <w:rsid w:val="7C8F4A8C"/>
    <w:rsid w:val="7CB522BA"/>
    <w:rsid w:val="7CBC5615"/>
    <w:rsid w:val="7CCD7F2D"/>
    <w:rsid w:val="7CD81998"/>
    <w:rsid w:val="7CF14EA8"/>
    <w:rsid w:val="7D0A0A59"/>
    <w:rsid w:val="7D2B52AC"/>
    <w:rsid w:val="7D3D35A2"/>
    <w:rsid w:val="7D7C3107"/>
    <w:rsid w:val="7DC14BCA"/>
    <w:rsid w:val="7DC6784E"/>
    <w:rsid w:val="7DCA095D"/>
    <w:rsid w:val="7E7245A6"/>
    <w:rsid w:val="7E7905F9"/>
    <w:rsid w:val="7EA74CEC"/>
    <w:rsid w:val="7EF46ED2"/>
    <w:rsid w:val="7F0013D2"/>
    <w:rsid w:val="7F6417A5"/>
    <w:rsid w:val="7F676460"/>
    <w:rsid w:val="7F6E3F09"/>
    <w:rsid w:val="7FA51F7A"/>
    <w:rsid w:val="7FA6781D"/>
    <w:rsid w:val="7FFB60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3"/>
    <w:qFormat/>
    <w:uiPriority w:val="9"/>
    <w:pPr>
      <w:keepNext/>
      <w:keepLines/>
      <w:numPr>
        <w:ilvl w:val="0"/>
        <w:numId w:val="1"/>
      </w:numPr>
      <w:spacing w:before="100" w:beforeLines="100" w:after="100" w:afterLines="100" w:line="480" w:lineRule="auto"/>
      <w:outlineLvl w:val="0"/>
    </w:pPr>
    <w:rPr>
      <w:b/>
      <w:kern w:val="44"/>
      <w:sz w:val="28"/>
      <w:szCs w:val="20"/>
      <w:lang w:val="zh-CN"/>
    </w:rPr>
  </w:style>
  <w:style w:type="paragraph" w:styleId="3">
    <w:name w:val="heading 2"/>
    <w:basedOn w:val="1"/>
    <w:next w:val="1"/>
    <w:link w:val="104"/>
    <w:qFormat/>
    <w:uiPriority w:val="0"/>
    <w:pPr>
      <w:keepNext/>
      <w:keepLines/>
      <w:numPr>
        <w:ilvl w:val="1"/>
        <w:numId w:val="1"/>
      </w:numPr>
      <w:spacing w:before="260" w:after="260" w:line="360" w:lineRule="auto"/>
      <w:outlineLvl w:val="1"/>
    </w:pPr>
    <w:rPr>
      <w:b/>
      <w:sz w:val="24"/>
      <w:szCs w:val="20"/>
    </w:rPr>
  </w:style>
  <w:style w:type="paragraph" w:styleId="4">
    <w:name w:val="heading 3"/>
    <w:basedOn w:val="1"/>
    <w:next w:val="1"/>
    <w:link w:val="105"/>
    <w:qFormat/>
    <w:uiPriority w:val="9"/>
    <w:pPr>
      <w:numPr>
        <w:ilvl w:val="2"/>
        <w:numId w:val="1"/>
      </w:numPr>
      <w:adjustRightInd w:val="0"/>
      <w:spacing w:before="50" w:beforeLines="50" w:after="50" w:afterLines="50" w:line="360" w:lineRule="auto"/>
      <w:jc w:val="left"/>
      <w:textAlignment w:val="baseline"/>
      <w:outlineLvl w:val="2"/>
    </w:pPr>
    <w:rPr>
      <w:b/>
      <w:kern w:val="0"/>
      <w:sz w:val="24"/>
      <w:szCs w:val="20"/>
    </w:rPr>
  </w:style>
  <w:style w:type="paragraph" w:styleId="5">
    <w:name w:val="heading 4"/>
    <w:basedOn w:val="1"/>
    <w:next w:val="6"/>
    <w:link w:val="106"/>
    <w:qFormat/>
    <w:uiPriority w:val="9"/>
    <w:pPr>
      <w:numPr>
        <w:ilvl w:val="3"/>
        <w:numId w:val="1"/>
      </w:numPr>
      <w:adjustRightInd w:val="0"/>
      <w:spacing w:line="360" w:lineRule="auto"/>
      <w:jc w:val="left"/>
      <w:textAlignment w:val="baseline"/>
      <w:outlineLvl w:val="3"/>
    </w:pPr>
    <w:rPr>
      <w:kern w:val="0"/>
      <w:sz w:val="24"/>
      <w:szCs w:val="20"/>
    </w:rPr>
  </w:style>
  <w:style w:type="paragraph" w:styleId="7">
    <w:name w:val="heading 5"/>
    <w:basedOn w:val="1"/>
    <w:next w:val="1"/>
    <w:link w:val="107"/>
    <w:qFormat/>
    <w:uiPriority w:val="9"/>
    <w:pPr>
      <w:keepNext/>
      <w:keepLines/>
      <w:numPr>
        <w:ilvl w:val="4"/>
        <w:numId w:val="1"/>
      </w:numPr>
      <w:spacing w:before="280" w:after="290" w:line="374" w:lineRule="auto"/>
      <w:outlineLvl w:val="4"/>
    </w:pPr>
    <w:rPr>
      <w:b/>
      <w:sz w:val="28"/>
      <w:szCs w:val="20"/>
    </w:rPr>
  </w:style>
  <w:style w:type="paragraph" w:styleId="8">
    <w:name w:val="heading 6"/>
    <w:basedOn w:val="1"/>
    <w:next w:val="1"/>
    <w:link w:val="108"/>
    <w:qFormat/>
    <w:uiPriority w:val="9"/>
    <w:pPr>
      <w:numPr>
        <w:ilvl w:val="5"/>
        <w:numId w:val="1"/>
      </w:numPr>
      <w:tabs>
        <w:tab w:val="left" w:pos="0"/>
      </w:tabs>
      <w:adjustRightInd w:val="0"/>
      <w:spacing w:line="460" w:lineRule="exact"/>
      <w:jc w:val="left"/>
      <w:textAlignment w:val="baseline"/>
      <w:outlineLvl w:val="5"/>
    </w:pPr>
    <w:rPr>
      <w:kern w:val="0"/>
      <w:sz w:val="24"/>
      <w:szCs w:val="20"/>
    </w:rPr>
  </w:style>
  <w:style w:type="paragraph" w:styleId="9">
    <w:name w:val="heading 7"/>
    <w:basedOn w:val="1"/>
    <w:next w:val="1"/>
    <w:link w:val="109"/>
    <w:qFormat/>
    <w:uiPriority w:val="9"/>
    <w:pPr>
      <w:numPr>
        <w:ilvl w:val="6"/>
        <w:numId w:val="1"/>
      </w:numPr>
      <w:tabs>
        <w:tab w:val="left" w:pos="0"/>
      </w:tabs>
      <w:adjustRightInd w:val="0"/>
      <w:spacing w:line="460" w:lineRule="exact"/>
      <w:jc w:val="left"/>
      <w:textAlignment w:val="baseline"/>
      <w:outlineLvl w:val="6"/>
    </w:pPr>
    <w:rPr>
      <w:kern w:val="0"/>
      <w:sz w:val="24"/>
      <w:szCs w:val="20"/>
    </w:rPr>
  </w:style>
  <w:style w:type="paragraph" w:styleId="10">
    <w:name w:val="heading 8"/>
    <w:basedOn w:val="1"/>
    <w:next w:val="1"/>
    <w:link w:val="110"/>
    <w:qFormat/>
    <w:uiPriority w:val="9"/>
    <w:pPr>
      <w:numPr>
        <w:ilvl w:val="7"/>
        <w:numId w:val="1"/>
      </w:numPr>
      <w:tabs>
        <w:tab w:val="left" w:pos="0"/>
      </w:tabs>
      <w:adjustRightInd w:val="0"/>
      <w:spacing w:line="460" w:lineRule="exact"/>
      <w:jc w:val="left"/>
      <w:textAlignment w:val="baseline"/>
      <w:outlineLvl w:val="7"/>
    </w:pPr>
    <w:rPr>
      <w:kern w:val="0"/>
      <w:sz w:val="24"/>
      <w:szCs w:val="20"/>
    </w:rPr>
  </w:style>
  <w:style w:type="paragraph" w:styleId="11">
    <w:name w:val="heading 9"/>
    <w:basedOn w:val="1"/>
    <w:next w:val="1"/>
    <w:link w:val="111"/>
    <w:qFormat/>
    <w:uiPriority w:val="9"/>
    <w:pPr>
      <w:keepNext/>
      <w:keepLines/>
      <w:numPr>
        <w:ilvl w:val="8"/>
        <w:numId w:val="1"/>
      </w:numPr>
      <w:tabs>
        <w:tab w:val="left" w:pos="0"/>
      </w:tabs>
      <w:adjustRightInd w:val="0"/>
      <w:spacing w:before="240" w:after="64" w:line="320" w:lineRule="atLeast"/>
      <w:jc w:val="left"/>
      <w:textAlignment w:val="baseline"/>
      <w:outlineLvl w:val="8"/>
    </w:pPr>
    <w:rPr>
      <w:rFonts w:ascii="Arial" w:hAnsi="Arial" w:eastAsia="黑体"/>
      <w:kern w:val="0"/>
      <w:sz w:val="24"/>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12">
    <w:name w:val="toc 7"/>
    <w:basedOn w:val="1"/>
    <w:next w:val="1"/>
    <w:qFormat/>
    <w:uiPriority w:val="39"/>
    <w:pPr>
      <w:ind w:left="1260"/>
      <w:jc w:val="left"/>
    </w:pPr>
    <w:rPr>
      <w:rFonts w:asciiTheme="minorHAnsi" w:hAnsiTheme="minorHAnsi" w:cstheme="minorHAnsi"/>
      <w:sz w:val="18"/>
      <w:szCs w:val="18"/>
    </w:rPr>
  </w:style>
  <w:style w:type="paragraph" w:styleId="13">
    <w:name w:val="table of authorities"/>
    <w:basedOn w:val="1"/>
    <w:next w:val="1"/>
    <w:qFormat/>
    <w:uiPriority w:val="0"/>
    <w:pPr>
      <w:ind w:left="420"/>
    </w:pPr>
    <w:rPr>
      <w:szCs w:val="20"/>
    </w:rPr>
  </w:style>
  <w:style w:type="paragraph" w:styleId="14">
    <w:name w:val="caption"/>
    <w:basedOn w:val="1"/>
    <w:next w:val="1"/>
    <w:qFormat/>
    <w:uiPriority w:val="0"/>
    <w:pPr>
      <w:widowControl/>
      <w:spacing w:after="200"/>
      <w:jc w:val="left"/>
    </w:pPr>
    <w:rPr>
      <w:rFonts w:ascii="Calibri" w:hAnsi="Calibri"/>
      <w:b/>
      <w:bCs/>
      <w:color w:val="4F81BD"/>
      <w:kern w:val="0"/>
      <w:sz w:val="18"/>
      <w:szCs w:val="18"/>
      <w:lang w:eastAsia="en-US" w:bidi="en-US"/>
    </w:rPr>
  </w:style>
  <w:style w:type="paragraph" w:styleId="15">
    <w:name w:val="Document Map"/>
    <w:basedOn w:val="1"/>
    <w:link w:val="137"/>
    <w:qFormat/>
    <w:uiPriority w:val="0"/>
    <w:pPr>
      <w:shd w:val="clear" w:color="auto" w:fill="000080"/>
    </w:pPr>
  </w:style>
  <w:style w:type="paragraph" w:styleId="16">
    <w:name w:val="toa heading"/>
    <w:basedOn w:val="1"/>
    <w:next w:val="1"/>
    <w:qFormat/>
    <w:uiPriority w:val="0"/>
    <w:pPr>
      <w:spacing w:before="120"/>
    </w:pPr>
    <w:rPr>
      <w:rFonts w:ascii="Arial" w:hAnsi="Arial"/>
      <w:sz w:val="24"/>
      <w:szCs w:val="20"/>
    </w:rPr>
  </w:style>
  <w:style w:type="paragraph" w:styleId="17">
    <w:name w:val="annotation text"/>
    <w:basedOn w:val="1"/>
    <w:link w:val="83"/>
    <w:qFormat/>
    <w:uiPriority w:val="99"/>
    <w:pPr>
      <w:jc w:val="left"/>
    </w:pPr>
  </w:style>
  <w:style w:type="paragraph" w:styleId="18">
    <w:name w:val="Salutation"/>
    <w:basedOn w:val="1"/>
    <w:next w:val="1"/>
    <w:qFormat/>
    <w:uiPriority w:val="0"/>
    <w:rPr>
      <w:szCs w:val="20"/>
    </w:rPr>
  </w:style>
  <w:style w:type="paragraph" w:styleId="19">
    <w:name w:val="Body Text 3"/>
    <w:basedOn w:val="1"/>
    <w:qFormat/>
    <w:uiPriority w:val="0"/>
    <w:rPr>
      <w:sz w:val="20"/>
      <w:szCs w:val="20"/>
    </w:rPr>
  </w:style>
  <w:style w:type="paragraph" w:styleId="20">
    <w:name w:val="Body Text"/>
    <w:basedOn w:val="1"/>
    <w:next w:val="21"/>
    <w:link w:val="114"/>
    <w:qFormat/>
    <w:uiPriority w:val="0"/>
    <w:pPr>
      <w:spacing w:after="120"/>
    </w:pPr>
    <w:rPr>
      <w:szCs w:val="20"/>
    </w:rPr>
  </w:style>
  <w:style w:type="paragraph" w:styleId="21">
    <w:name w:val="Title"/>
    <w:basedOn w:val="1"/>
    <w:next w:val="1"/>
    <w:link w:val="120"/>
    <w:qFormat/>
    <w:uiPriority w:val="0"/>
    <w:pPr>
      <w:autoSpaceDE w:val="0"/>
      <w:autoSpaceDN w:val="0"/>
      <w:adjustRightInd w:val="0"/>
      <w:spacing w:before="240" w:after="60"/>
      <w:jc w:val="center"/>
      <w:outlineLvl w:val="0"/>
    </w:pPr>
    <w:rPr>
      <w:rFonts w:ascii="Cambria" w:hAnsi="Cambria"/>
      <w:b/>
      <w:bCs/>
      <w:kern w:val="0"/>
      <w:sz w:val="32"/>
      <w:szCs w:val="32"/>
    </w:rPr>
  </w:style>
  <w:style w:type="paragraph" w:styleId="22">
    <w:name w:val="Body Text Indent"/>
    <w:basedOn w:val="1"/>
    <w:link w:val="117"/>
    <w:qFormat/>
    <w:uiPriority w:val="99"/>
    <w:pPr>
      <w:tabs>
        <w:tab w:val="left" w:pos="2410"/>
      </w:tabs>
      <w:snapToGrid w:val="0"/>
      <w:spacing w:before="120" w:line="360" w:lineRule="auto"/>
      <w:ind w:firstLine="520"/>
    </w:pPr>
    <w:rPr>
      <w:rFonts w:ascii="宋体" w:hAnsi="宋体"/>
      <w:sz w:val="24"/>
      <w:szCs w:val="20"/>
    </w:rPr>
  </w:style>
  <w:style w:type="paragraph" w:styleId="23">
    <w:name w:val="toc 5"/>
    <w:basedOn w:val="1"/>
    <w:next w:val="1"/>
    <w:qFormat/>
    <w:uiPriority w:val="39"/>
    <w:pPr>
      <w:ind w:left="840"/>
      <w:jc w:val="left"/>
    </w:pPr>
    <w:rPr>
      <w:rFonts w:asciiTheme="minorHAnsi" w:hAnsiTheme="minorHAnsi" w:cstheme="minorHAnsi"/>
      <w:sz w:val="18"/>
      <w:szCs w:val="18"/>
    </w:rPr>
  </w:style>
  <w:style w:type="paragraph" w:styleId="24">
    <w:name w:val="toc 3"/>
    <w:basedOn w:val="16"/>
    <w:next w:val="16"/>
    <w:qFormat/>
    <w:uiPriority w:val="39"/>
    <w:pPr>
      <w:spacing w:before="0"/>
      <w:ind w:left="420"/>
      <w:jc w:val="left"/>
    </w:pPr>
    <w:rPr>
      <w:rFonts w:asciiTheme="minorHAnsi" w:hAnsiTheme="minorHAnsi" w:cstheme="minorHAnsi"/>
      <w:i/>
      <w:iCs/>
      <w:sz w:val="20"/>
    </w:rPr>
  </w:style>
  <w:style w:type="paragraph" w:styleId="25">
    <w:name w:val="Plain Text"/>
    <w:basedOn w:val="1"/>
    <w:link w:val="87"/>
    <w:qFormat/>
    <w:uiPriority w:val="0"/>
    <w:rPr>
      <w:rFonts w:ascii="宋体" w:hAnsi="Courier New"/>
      <w:szCs w:val="20"/>
    </w:rPr>
  </w:style>
  <w:style w:type="paragraph" w:styleId="26">
    <w:name w:val="toc 8"/>
    <w:basedOn w:val="1"/>
    <w:next w:val="1"/>
    <w:qFormat/>
    <w:uiPriority w:val="39"/>
    <w:pPr>
      <w:ind w:left="1470"/>
      <w:jc w:val="left"/>
    </w:pPr>
    <w:rPr>
      <w:rFonts w:asciiTheme="minorHAnsi" w:hAnsiTheme="minorHAnsi" w:cstheme="minorHAnsi"/>
      <w:sz w:val="18"/>
      <w:szCs w:val="18"/>
    </w:rPr>
  </w:style>
  <w:style w:type="paragraph" w:styleId="27">
    <w:name w:val="Date"/>
    <w:basedOn w:val="1"/>
    <w:next w:val="1"/>
    <w:link w:val="94"/>
    <w:qFormat/>
    <w:uiPriority w:val="0"/>
    <w:rPr>
      <w:rFonts w:ascii="宋体" w:hAnsi="Courier New"/>
      <w:sz w:val="24"/>
      <w:szCs w:val="20"/>
    </w:rPr>
  </w:style>
  <w:style w:type="paragraph" w:styleId="28">
    <w:name w:val="Body Text Indent 2"/>
    <w:basedOn w:val="1"/>
    <w:link w:val="118"/>
    <w:qFormat/>
    <w:uiPriority w:val="0"/>
    <w:pPr>
      <w:spacing w:after="80" w:line="400" w:lineRule="exact"/>
      <w:ind w:left="1260"/>
    </w:pPr>
    <w:rPr>
      <w:rFonts w:ascii="宋体" w:hAnsi="宋体"/>
      <w:sz w:val="24"/>
      <w:szCs w:val="20"/>
    </w:rPr>
  </w:style>
  <w:style w:type="paragraph" w:styleId="29">
    <w:name w:val="Balloon Text"/>
    <w:basedOn w:val="1"/>
    <w:link w:val="119"/>
    <w:qFormat/>
    <w:uiPriority w:val="99"/>
    <w:rPr>
      <w:sz w:val="18"/>
      <w:szCs w:val="18"/>
    </w:rPr>
  </w:style>
  <w:style w:type="paragraph" w:styleId="30">
    <w:name w:val="footer"/>
    <w:basedOn w:val="1"/>
    <w:link w:val="89"/>
    <w:qFormat/>
    <w:uiPriority w:val="99"/>
    <w:pPr>
      <w:tabs>
        <w:tab w:val="center" w:pos="4153"/>
        <w:tab w:val="right" w:pos="8306"/>
      </w:tabs>
      <w:snapToGrid w:val="0"/>
      <w:jc w:val="left"/>
    </w:pPr>
    <w:rPr>
      <w:sz w:val="18"/>
      <w:szCs w:val="20"/>
    </w:rPr>
  </w:style>
  <w:style w:type="paragraph" w:styleId="31">
    <w:name w:val="header"/>
    <w:basedOn w:val="1"/>
    <w:link w:val="122"/>
    <w:qFormat/>
    <w:uiPriority w:val="99"/>
    <w:pPr>
      <w:pBdr>
        <w:bottom w:val="single" w:color="auto" w:sz="6" w:space="1"/>
      </w:pBdr>
      <w:tabs>
        <w:tab w:val="center" w:pos="4153"/>
        <w:tab w:val="right" w:pos="8306"/>
      </w:tabs>
      <w:snapToGrid w:val="0"/>
      <w:jc w:val="center"/>
    </w:pPr>
    <w:rPr>
      <w:sz w:val="18"/>
      <w:szCs w:val="20"/>
    </w:rPr>
  </w:style>
  <w:style w:type="paragraph" w:styleId="32">
    <w:name w:val="toc 1"/>
    <w:next w:val="13"/>
    <w:qFormat/>
    <w:uiPriority w:val="39"/>
    <w:pPr>
      <w:widowControl w:val="0"/>
      <w:spacing w:before="120" w:after="120"/>
    </w:pPr>
    <w:rPr>
      <w:rFonts w:eastAsia="宋体" w:asciiTheme="minorHAnsi" w:hAnsiTheme="minorHAnsi" w:cstheme="minorHAnsi"/>
      <w:b/>
      <w:bCs/>
      <w:caps/>
      <w:kern w:val="2"/>
      <w:lang w:val="en-US" w:eastAsia="zh-CN" w:bidi="ar-SA"/>
    </w:rPr>
  </w:style>
  <w:style w:type="paragraph" w:styleId="33">
    <w:name w:val="toc 4"/>
    <w:basedOn w:val="1"/>
    <w:next w:val="1"/>
    <w:qFormat/>
    <w:uiPriority w:val="39"/>
    <w:pPr>
      <w:ind w:left="630"/>
      <w:jc w:val="left"/>
    </w:pPr>
    <w:rPr>
      <w:rFonts w:asciiTheme="minorHAnsi" w:hAnsiTheme="minorHAnsi" w:cstheme="minorHAnsi"/>
      <w:sz w:val="18"/>
      <w:szCs w:val="18"/>
    </w:rPr>
  </w:style>
  <w:style w:type="paragraph" w:styleId="34">
    <w:name w:val="Subtitle"/>
    <w:basedOn w:val="1"/>
    <w:next w:val="1"/>
    <w:link w:val="125"/>
    <w:qFormat/>
    <w:uiPriority w:val="0"/>
    <w:pPr>
      <w:autoSpaceDE w:val="0"/>
      <w:autoSpaceDN w:val="0"/>
      <w:adjustRightInd w:val="0"/>
      <w:spacing w:before="240" w:after="60" w:line="312" w:lineRule="auto"/>
      <w:jc w:val="center"/>
      <w:outlineLvl w:val="1"/>
    </w:pPr>
    <w:rPr>
      <w:rFonts w:ascii="Cambria" w:hAnsi="Cambria"/>
      <w:b/>
      <w:bCs/>
      <w:kern w:val="28"/>
      <w:sz w:val="32"/>
      <w:szCs w:val="32"/>
    </w:rPr>
  </w:style>
  <w:style w:type="paragraph" w:styleId="35">
    <w:name w:val="footnote text"/>
    <w:basedOn w:val="1"/>
    <w:link w:val="140"/>
    <w:semiHidden/>
    <w:qFormat/>
    <w:uiPriority w:val="0"/>
    <w:pPr>
      <w:snapToGrid w:val="0"/>
      <w:spacing w:line="360" w:lineRule="auto"/>
      <w:jc w:val="left"/>
    </w:pPr>
    <w:rPr>
      <w:sz w:val="18"/>
      <w:szCs w:val="18"/>
    </w:rPr>
  </w:style>
  <w:style w:type="paragraph" w:styleId="36">
    <w:name w:val="toc 6"/>
    <w:basedOn w:val="1"/>
    <w:next w:val="1"/>
    <w:qFormat/>
    <w:uiPriority w:val="39"/>
    <w:pPr>
      <w:ind w:left="1050"/>
      <w:jc w:val="left"/>
    </w:pPr>
    <w:rPr>
      <w:rFonts w:asciiTheme="minorHAnsi" w:hAnsiTheme="minorHAnsi" w:cstheme="minorHAnsi"/>
      <w:sz w:val="18"/>
      <w:szCs w:val="18"/>
    </w:rPr>
  </w:style>
  <w:style w:type="paragraph" w:styleId="37">
    <w:name w:val="Body Text Indent 3"/>
    <w:basedOn w:val="1"/>
    <w:qFormat/>
    <w:uiPriority w:val="0"/>
    <w:pPr>
      <w:spacing w:after="120"/>
      <w:ind w:left="420"/>
    </w:pPr>
    <w:rPr>
      <w:sz w:val="16"/>
      <w:szCs w:val="20"/>
    </w:rPr>
  </w:style>
  <w:style w:type="paragraph" w:styleId="38">
    <w:name w:val="toc 2"/>
    <w:basedOn w:val="1"/>
    <w:next w:val="1"/>
    <w:qFormat/>
    <w:uiPriority w:val="39"/>
    <w:pPr>
      <w:ind w:left="210"/>
      <w:jc w:val="left"/>
    </w:pPr>
    <w:rPr>
      <w:rFonts w:asciiTheme="minorHAnsi" w:hAnsiTheme="minorHAnsi" w:cstheme="minorHAnsi"/>
      <w:smallCaps/>
      <w:sz w:val="20"/>
      <w:szCs w:val="20"/>
    </w:rPr>
  </w:style>
  <w:style w:type="paragraph" w:styleId="39">
    <w:name w:val="toc 9"/>
    <w:basedOn w:val="1"/>
    <w:next w:val="1"/>
    <w:qFormat/>
    <w:uiPriority w:val="39"/>
    <w:pPr>
      <w:ind w:left="1680"/>
      <w:jc w:val="left"/>
    </w:pPr>
    <w:rPr>
      <w:rFonts w:asciiTheme="minorHAnsi" w:hAnsiTheme="minorHAnsi" w:cstheme="minorHAnsi"/>
      <w:sz w:val="18"/>
      <w:szCs w:val="18"/>
    </w:rPr>
  </w:style>
  <w:style w:type="paragraph" w:styleId="40">
    <w:name w:val="Body Text 2"/>
    <w:basedOn w:val="1"/>
    <w:link w:val="130"/>
    <w:qFormat/>
    <w:uiPriority w:val="0"/>
    <w:pPr>
      <w:autoSpaceDE w:val="0"/>
      <w:autoSpaceDN w:val="0"/>
      <w:adjustRightInd w:val="0"/>
      <w:jc w:val="center"/>
    </w:pPr>
    <w:rPr>
      <w:color w:val="000000"/>
      <w:sz w:val="20"/>
      <w:szCs w:val="20"/>
    </w:rPr>
  </w:style>
  <w:style w:type="paragraph" w:styleId="41">
    <w:name w:val="Normal (Web)"/>
    <w:basedOn w:val="1"/>
    <w:qFormat/>
    <w:uiPriority w:val="99"/>
    <w:pPr>
      <w:widowControl/>
      <w:spacing w:before="100" w:beforeAutospacing="1" w:after="100" w:afterAutospacing="1" w:line="330" w:lineRule="atLeast"/>
      <w:jc w:val="left"/>
    </w:pPr>
    <w:rPr>
      <w:rFonts w:ascii="宋体" w:hAnsi="宋体" w:cs="宋体"/>
      <w:kern w:val="0"/>
      <w:sz w:val="22"/>
      <w:szCs w:val="22"/>
    </w:rPr>
  </w:style>
  <w:style w:type="paragraph" w:styleId="42">
    <w:name w:val="annotation subject"/>
    <w:basedOn w:val="17"/>
    <w:next w:val="17"/>
    <w:link w:val="84"/>
    <w:qFormat/>
    <w:uiPriority w:val="99"/>
    <w:rPr>
      <w:b/>
      <w:bCs/>
    </w:rPr>
  </w:style>
  <w:style w:type="paragraph" w:styleId="43">
    <w:name w:val="Body Text First Indent"/>
    <w:basedOn w:val="1"/>
    <w:link w:val="112"/>
    <w:qFormat/>
    <w:uiPriority w:val="0"/>
    <w:pPr>
      <w:ind w:firstLine="420"/>
    </w:pPr>
  </w:style>
  <w:style w:type="table" w:styleId="45">
    <w:name w:val="Table Grid"/>
    <w:basedOn w:val="44"/>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basedOn w:val="46"/>
    <w:qFormat/>
    <w:uiPriority w:val="20"/>
    <w:rPr>
      <w:i/>
      <w:iCs/>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footnote reference"/>
    <w:semiHidden/>
    <w:qFormat/>
    <w:uiPriority w:val="0"/>
    <w:rPr>
      <w:vertAlign w:val="superscript"/>
    </w:rPr>
  </w:style>
  <w:style w:type="paragraph" w:customStyle="1" w:styleId="54">
    <w:name w:val="首行缩进"/>
    <w:basedOn w:val="1"/>
    <w:link w:val="226"/>
    <w:qFormat/>
    <w:uiPriority w:val="0"/>
    <w:pPr>
      <w:spacing w:line="360" w:lineRule="auto"/>
      <w:ind w:firstLine="200" w:firstLineChars="200"/>
    </w:pPr>
    <w:rPr>
      <w:rFonts w:eastAsia="仿宋_GB2312"/>
      <w:sz w:val="30"/>
    </w:rPr>
  </w:style>
  <w:style w:type="character" w:customStyle="1" w:styleId="55">
    <w:name w:val="表正文 Char"/>
    <w:qFormat/>
    <w:uiPriority w:val="0"/>
    <w:rPr>
      <w:rFonts w:eastAsia="宋体"/>
      <w:kern w:val="2"/>
      <w:sz w:val="21"/>
      <w:lang w:val="en-US" w:eastAsia="zh-CN" w:bidi="ar-SA"/>
    </w:rPr>
  </w:style>
  <w:style w:type="character" w:customStyle="1" w:styleId="56">
    <w:name w:val="发布"/>
    <w:qFormat/>
    <w:uiPriority w:val="0"/>
    <w:rPr>
      <w:rFonts w:ascii="黑体" w:eastAsia="黑体"/>
      <w:spacing w:val="22"/>
      <w:w w:val="100"/>
      <w:position w:val="3"/>
      <w:sz w:val="28"/>
    </w:rPr>
  </w:style>
  <w:style w:type="character" w:customStyle="1" w:styleId="57">
    <w:name w:val="一级节名 Char"/>
    <w:qFormat/>
    <w:uiPriority w:val="0"/>
    <w:rPr>
      <w:rFonts w:ascii="Arial" w:hAnsi="Arial" w:eastAsia="黑体"/>
      <w:b/>
      <w:kern w:val="2"/>
      <w:sz w:val="32"/>
      <w:lang w:val="en-US" w:eastAsia="zh-CN" w:bidi="ar-SA"/>
    </w:rPr>
  </w:style>
  <w:style w:type="character" w:customStyle="1" w:styleId="58">
    <w:name w:val="天天 Char"/>
    <w:qFormat/>
    <w:uiPriority w:val="0"/>
    <w:rPr>
      <w:rFonts w:eastAsia="宋体"/>
      <w:b/>
      <w:kern w:val="44"/>
      <w:sz w:val="44"/>
      <w:lang w:val="en-US" w:eastAsia="zh-CN" w:bidi="ar-SA"/>
    </w:rPr>
  </w:style>
  <w:style w:type="paragraph" w:customStyle="1" w:styleId="59">
    <w:name w:val="一级条标题"/>
    <w:basedOn w:val="60"/>
    <w:next w:val="1"/>
    <w:link w:val="99"/>
    <w:qFormat/>
    <w:uiPriority w:val="0"/>
    <w:pPr>
      <w:tabs>
        <w:tab w:val="left" w:pos="360"/>
      </w:tabs>
      <w:spacing w:beforeLines="0"/>
      <w:outlineLvl w:val="2"/>
    </w:pPr>
  </w:style>
  <w:style w:type="paragraph" w:customStyle="1" w:styleId="60">
    <w:name w:val="章标题"/>
    <w:next w:val="1"/>
    <w:link w:val="124"/>
    <w:qFormat/>
    <w:uiPriority w:val="0"/>
    <w:pPr>
      <w:spacing w:beforeLines="50" w:afterLines="50"/>
      <w:ind w:left="630"/>
      <w:jc w:val="both"/>
      <w:outlineLvl w:val="1"/>
    </w:pPr>
    <w:rPr>
      <w:rFonts w:ascii="黑体" w:hAnsi="Times New Roman" w:eastAsia="黑体" w:cs="Times New Roman"/>
      <w:sz w:val="21"/>
      <w:lang w:val="en-US" w:eastAsia="zh-CN" w:bidi="ar-SA"/>
    </w:rPr>
  </w:style>
  <w:style w:type="paragraph" w:customStyle="1" w:styleId="61">
    <w:name w:val="样式3"/>
    <w:basedOn w:val="30"/>
    <w:qFormat/>
    <w:uiPriority w:val="0"/>
    <w:pPr>
      <w:pBdr>
        <w:top w:val="single" w:color="auto" w:sz="4" w:space="1"/>
      </w:pBdr>
    </w:pPr>
  </w:style>
  <w:style w:type="paragraph" w:customStyle="1" w:styleId="62">
    <w:name w:val="四级条标题"/>
    <w:basedOn w:val="63"/>
    <w:next w:val="1"/>
    <w:qFormat/>
    <w:uiPriority w:val="0"/>
    <w:pPr>
      <w:tabs>
        <w:tab w:val="left" w:pos="360"/>
      </w:tabs>
      <w:outlineLvl w:val="5"/>
    </w:pPr>
  </w:style>
  <w:style w:type="paragraph" w:customStyle="1" w:styleId="63">
    <w:name w:val="三级条标题"/>
    <w:basedOn w:val="64"/>
    <w:next w:val="1"/>
    <w:link w:val="100"/>
    <w:qFormat/>
    <w:uiPriority w:val="0"/>
    <w:pPr>
      <w:tabs>
        <w:tab w:val="left" w:pos="360"/>
      </w:tabs>
      <w:outlineLvl w:val="4"/>
    </w:pPr>
  </w:style>
  <w:style w:type="paragraph" w:customStyle="1" w:styleId="64">
    <w:name w:val="二级条标题"/>
    <w:basedOn w:val="59"/>
    <w:next w:val="1"/>
    <w:link w:val="98"/>
    <w:qFormat/>
    <w:uiPriority w:val="0"/>
    <w:pPr>
      <w:outlineLvl w:val="3"/>
    </w:pPr>
  </w:style>
  <w:style w:type="paragraph" w:customStyle="1" w:styleId="65">
    <w:name w:val="样式2"/>
    <w:basedOn w:val="31"/>
    <w:link w:val="233"/>
    <w:qFormat/>
    <w:uiPriority w:val="0"/>
    <w:pPr>
      <w:pBdr>
        <w:bottom w:val="none" w:color="auto" w:sz="0" w:space="0"/>
      </w:pBdr>
    </w:pPr>
  </w:style>
  <w:style w:type="paragraph" w:customStyle="1" w:styleId="66">
    <w:name w:val="特点"/>
    <w:basedOn w:val="1"/>
    <w:next w:val="6"/>
    <w:qFormat/>
    <w:uiPriority w:val="0"/>
    <w:pPr>
      <w:spacing w:line="360" w:lineRule="auto"/>
      <w:ind w:firstLine="200" w:firstLineChars="200"/>
    </w:pPr>
    <w:rPr>
      <w:sz w:val="24"/>
    </w:rPr>
  </w:style>
  <w:style w:type="paragraph" w:customStyle="1" w:styleId="67">
    <w:name w:val="Char Char1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68">
    <w:name w:val="样式1"/>
    <w:basedOn w:val="3"/>
    <w:qFormat/>
    <w:uiPriority w:val="0"/>
    <w:pPr>
      <w:spacing w:before="0" w:after="0" w:line="300" w:lineRule="auto"/>
    </w:pPr>
  </w:style>
  <w:style w:type="paragraph" w:customStyle="1" w:styleId="69">
    <w:name w:val="text"/>
    <w:basedOn w:val="1"/>
    <w:qFormat/>
    <w:uiPriority w:val="0"/>
    <w:pPr>
      <w:adjustRightInd w:val="0"/>
      <w:spacing w:before="120"/>
      <w:textAlignment w:val="baseline"/>
    </w:pPr>
    <w:rPr>
      <w:kern w:val="0"/>
      <w:sz w:val="26"/>
      <w:szCs w:val="20"/>
    </w:rPr>
  </w:style>
  <w:style w:type="paragraph" w:customStyle="1" w:styleId="70">
    <w:name w:val="gg"/>
    <w:basedOn w:val="1"/>
    <w:qFormat/>
    <w:uiPriority w:val="0"/>
    <w:pPr>
      <w:adjustRightInd w:val="0"/>
      <w:spacing w:line="312" w:lineRule="atLeast"/>
      <w:ind w:left="1162" w:hanging="255"/>
      <w:textAlignment w:val="baseline"/>
    </w:pPr>
    <w:rPr>
      <w:rFonts w:ascii="宋体"/>
      <w:kern w:val="0"/>
      <w:sz w:val="24"/>
      <w:szCs w:val="20"/>
    </w:rPr>
  </w:style>
  <w:style w:type="paragraph" w:customStyle="1" w:styleId="71">
    <w:name w:val="段"/>
    <w:link w:val="96"/>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2">
    <w:name w:val="五级条标题"/>
    <w:basedOn w:val="62"/>
    <w:next w:val="1"/>
    <w:qFormat/>
    <w:uiPriority w:val="0"/>
    <w:pPr>
      <w:outlineLvl w:val="6"/>
    </w:pPr>
  </w:style>
  <w:style w:type="paragraph" w:customStyle="1" w:styleId="73">
    <w:name w:val="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74">
    <w:name w:val="默认段落字体 Para Char Char Char Char Char Char Char"/>
    <w:basedOn w:val="1"/>
    <w:qFormat/>
    <w:uiPriority w:val="0"/>
    <w:pPr>
      <w:spacing w:line="360" w:lineRule="auto"/>
    </w:pPr>
    <w:rPr>
      <w:rFonts w:ascii="Tahoma" w:hAnsi="Tahoma"/>
      <w:sz w:val="24"/>
      <w:szCs w:val="20"/>
    </w:rPr>
  </w:style>
  <w:style w:type="paragraph" w:customStyle="1" w:styleId="75">
    <w:name w:val="条目正文"/>
    <w:basedOn w:val="1"/>
    <w:qFormat/>
    <w:uiPriority w:val="0"/>
    <w:pPr>
      <w:tabs>
        <w:tab w:val="left" w:pos="360"/>
      </w:tabs>
      <w:spacing w:after="120" w:line="360" w:lineRule="auto"/>
    </w:pPr>
    <w:rPr>
      <w:kern w:val="0"/>
      <w:sz w:val="24"/>
      <w:szCs w:val="20"/>
    </w:rPr>
  </w:style>
  <w:style w:type="paragraph" w:customStyle="1" w:styleId="76">
    <w:name w:val="样式 正文首行缩进 + 段前: 0.5 行 段后: 0.5 行"/>
    <w:basedOn w:val="43"/>
    <w:qFormat/>
    <w:uiPriority w:val="0"/>
    <w:pPr>
      <w:spacing w:beforeLines="50" w:afterLines="50" w:line="480" w:lineRule="exact"/>
    </w:pPr>
    <w:rPr>
      <w:rFonts w:cs="宋体"/>
      <w:sz w:val="24"/>
    </w:rPr>
  </w:style>
  <w:style w:type="paragraph" w:customStyle="1" w:styleId="77">
    <w:name w:val="1"/>
    <w:basedOn w:val="1"/>
    <w:next w:val="6"/>
    <w:qFormat/>
    <w:uiPriority w:val="0"/>
    <w:pPr>
      <w:ind w:firstLine="420"/>
    </w:pPr>
    <w:rPr>
      <w:szCs w:val="20"/>
    </w:rPr>
  </w:style>
  <w:style w:type="paragraph" w:customStyle="1" w:styleId="78">
    <w:name w:val="1.1.1"/>
    <w:basedOn w:val="4"/>
    <w:next w:val="69"/>
    <w:qFormat/>
    <w:uiPriority w:val="0"/>
    <w:pPr>
      <w:tabs>
        <w:tab w:val="left" w:pos="1740"/>
      </w:tabs>
      <w:spacing w:before="120" w:line="240" w:lineRule="auto"/>
      <w:ind w:left="1740" w:hanging="420"/>
      <w:jc w:val="both"/>
      <w:textAlignment w:val="auto"/>
      <w:outlineLvl w:val="9"/>
    </w:pPr>
    <w:rPr>
      <w:b w:val="0"/>
      <w:sz w:val="26"/>
    </w:rPr>
  </w:style>
  <w:style w:type="paragraph" w:customStyle="1" w:styleId="79">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80">
    <w:name w:val="正文圆点编号"/>
    <w:basedOn w:val="1"/>
    <w:qFormat/>
    <w:uiPriority w:val="0"/>
    <w:pPr>
      <w:adjustRightInd w:val="0"/>
      <w:spacing w:line="312" w:lineRule="atLeast"/>
    </w:pPr>
    <w:rPr>
      <w:rFonts w:hint="eastAsia" w:ascii="宋体" w:hAnsi="Arial"/>
      <w:kern w:val="0"/>
      <w:sz w:val="24"/>
      <w:szCs w:val="20"/>
    </w:rPr>
  </w:style>
  <w:style w:type="paragraph" w:customStyle="1" w:styleId="81">
    <w:name w:val="标准书眉一"/>
    <w:qFormat/>
    <w:uiPriority w:val="0"/>
    <w:pPr>
      <w:jc w:val="both"/>
    </w:pPr>
    <w:rPr>
      <w:rFonts w:ascii="Times New Roman" w:hAnsi="Times New Roman" w:eastAsia="宋体" w:cs="Times New Roman"/>
      <w:lang w:val="en-US" w:eastAsia="zh-CN" w:bidi="ar-SA"/>
    </w:rPr>
  </w:style>
  <w:style w:type="paragraph" w:customStyle="1" w:styleId="82">
    <w:name w:val="Char"/>
    <w:basedOn w:val="1"/>
    <w:qFormat/>
    <w:uiPriority w:val="0"/>
  </w:style>
  <w:style w:type="character" w:customStyle="1" w:styleId="83">
    <w:name w:val="批注文字 字符"/>
    <w:link w:val="17"/>
    <w:qFormat/>
    <w:uiPriority w:val="99"/>
    <w:rPr>
      <w:kern w:val="2"/>
      <w:sz w:val="21"/>
      <w:szCs w:val="24"/>
    </w:rPr>
  </w:style>
  <w:style w:type="character" w:customStyle="1" w:styleId="84">
    <w:name w:val="批注主题 字符"/>
    <w:link w:val="42"/>
    <w:qFormat/>
    <w:uiPriority w:val="99"/>
    <w:rPr>
      <w:b/>
      <w:bCs/>
      <w:kern w:val="2"/>
      <w:sz w:val="21"/>
      <w:szCs w:val="24"/>
    </w:rPr>
  </w:style>
  <w:style w:type="paragraph" w:customStyle="1" w:styleId="85">
    <w:name w:val="TOC 标题1"/>
    <w:basedOn w:val="2"/>
    <w:next w:val="1"/>
    <w:unhideWhenUsed/>
    <w:qFormat/>
    <w:uiPriority w:val="39"/>
    <w:pPr>
      <w:widowControl/>
      <w:spacing w:before="480" w:after="0" w:line="276" w:lineRule="auto"/>
      <w:jc w:val="left"/>
      <w:outlineLvl w:val="9"/>
    </w:pPr>
    <w:rPr>
      <w:rFonts w:ascii="Cambria" w:hAnsi="Cambria"/>
      <w:bCs/>
      <w:color w:val="365F91"/>
      <w:kern w:val="0"/>
      <w:szCs w:val="28"/>
    </w:rPr>
  </w:style>
  <w:style w:type="paragraph" w:customStyle="1" w:styleId="86">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87">
    <w:name w:val="纯文本 字符"/>
    <w:link w:val="25"/>
    <w:qFormat/>
    <w:uiPriority w:val="0"/>
    <w:rPr>
      <w:rFonts w:ascii="宋体" w:hAnsi="Courier New"/>
      <w:kern w:val="2"/>
      <w:sz w:val="21"/>
    </w:rPr>
  </w:style>
  <w:style w:type="paragraph" w:customStyle="1" w:styleId="88">
    <w:name w:val="Char1"/>
    <w:basedOn w:val="1"/>
    <w:qFormat/>
    <w:uiPriority w:val="0"/>
    <w:pPr>
      <w:widowControl/>
      <w:spacing w:line="348" w:lineRule="auto"/>
      <w:ind w:firstLine="560" w:firstLineChars="200"/>
    </w:pPr>
    <w:rPr>
      <w:rFonts w:eastAsia="仿宋_GB2312"/>
      <w:sz w:val="24"/>
    </w:rPr>
  </w:style>
  <w:style w:type="character" w:customStyle="1" w:styleId="89">
    <w:name w:val="页脚 字符"/>
    <w:link w:val="30"/>
    <w:qFormat/>
    <w:uiPriority w:val="99"/>
    <w:rPr>
      <w:kern w:val="2"/>
      <w:sz w:val="18"/>
    </w:rPr>
  </w:style>
  <w:style w:type="paragraph" w:customStyle="1" w:styleId="90">
    <w:name w:val="列表段落1"/>
    <w:basedOn w:val="1"/>
    <w:link w:val="91"/>
    <w:qFormat/>
    <w:uiPriority w:val="34"/>
    <w:pPr>
      <w:widowControl/>
      <w:spacing w:line="348" w:lineRule="auto"/>
      <w:ind w:firstLine="420" w:firstLineChars="200"/>
    </w:pPr>
    <w:rPr>
      <w:rFonts w:ascii="仿宋_GB2312" w:hAnsi="Calibri" w:eastAsia="仿宋_GB2312"/>
      <w:sz w:val="24"/>
      <w:szCs w:val="28"/>
    </w:rPr>
  </w:style>
  <w:style w:type="character" w:customStyle="1" w:styleId="91">
    <w:name w:val="列出段落 Char"/>
    <w:link w:val="90"/>
    <w:qFormat/>
    <w:uiPriority w:val="34"/>
    <w:rPr>
      <w:rFonts w:ascii="仿宋_GB2312" w:hAnsi="Calibri" w:eastAsia="仿宋_GB2312"/>
      <w:kern w:val="2"/>
      <w:sz w:val="24"/>
      <w:szCs w:val="28"/>
    </w:rPr>
  </w:style>
  <w:style w:type="paragraph" w:customStyle="1" w:styleId="92">
    <w:name w:val="1.1.1.1"/>
    <w:basedOn w:val="1"/>
    <w:qFormat/>
    <w:uiPriority w:val="0"/>
    <w:pPr>
      <w:tabs>
        <w:tab w:val="left" w:pos="1134"/>
      </w:tabs>
      <w:adjustRightInd w:val="0"/>
      <w:spacing w:before="60" w:after="60" w:line="360" w:lineRule="atLeast"/>
      <w:ind w:left="1134" w:hanging="1134"/>
      <w:textAlignment w:val="baseline"/>
    </w:pPr>
    <w:rPr>
      <w:rFonts w:ascii="Arial" w:hAnsi="Arial" w:cs="Arial"/>
      <w:kern w:val="0"/>
      <w:sz w:val="24"/>
    </w:rPr>
  </w:style>
  <w:style w:type="character" w:customStyle="1" w:styleId="93">
    <w:name w:val="apple-converted-space"/>
    <w:basedOn w:val="46"/>
    <w:qFormat/>
    <w:uiPriority w:val="0"/>
  </w:style>
  <w:style w:type="character" w:customStyle="1" w:styleId="94">
    <w:name w:val="日期 字符"/>
    <w:basedOn w:val="46"/>
    <w:link w:val="27"/>
    <w:qFormat/>
    <w:uiPriority w:val="0"/>
    <w:rPr>
      <w:rFonts w:ascii="宋体" w:hAnsi="Courier New"/>
      <w:kern w:val="2"/>
      <w:sz w:val="24"/>
    </w:rPr>
  </w:style>
  <w:style w:type="paragraph" w:customStyle="1" w:styleId="95">
    <w:name w:val="正文表标题"/>
    <w:next w:val="71"/>
    <w:qFormat/>
    <w:uiPriority w:val="0"/>
    <w:pPr>
      <w:tabs>
        <w:tab w:val="left" w:pos="360"/>
      </w:tabs>
      <w:jc w:val="center"/>
    </w:pPr>
    <w:rPr>
      <w:rFonts w:ascii="黑体" w:hAnsi="Times New Roman" w:eastAsia="黑体" w:cs="Times New Roman"/>
      <w:sz w:val="21"/>
      <w:lang w:val="en-US" w:eastAsia="zh-CN" w:bidi="ar-SA"/>
    </w:rPr>
  </w:style>
  <w:style w:type="character" w:customStyle="1" w:styleId="96">
    <w:name w:val="段 Char"/>
    <w:link w:val="71"/>
    <w:qFormat/>
    <w:uiPriority w:val="0"/>
    <w:rPr>
      <w:rFonts w:ascii="宋体"/>
      <w:sz w:val="21"/>
    </w:rPr>
  </w:style>
  <w:style w:type="paragraph" w:customStyle="1" w:styleId="97">
    <w:name w:val="三级无标题条"/>
    <w:basedOn w:val="1"/>
    <w:qFormat/>
    <w:uiPriority w:val="0"/>
    <w:rPr>
      <w:b/>
    </w:rPr>
  </w:style>
  <w:style w:type="character" w:customStyle="1" w:styleId="98">
    <w:name w:val="二级条标题 Char"/>
    <w:basedOn w:val="46"/>
    <w:link w:val="64"/>
    <w:qFormat/>
    <w:uiPriority w:val="0"/>
    <w:rPr>
      <w:rFonts w:ascii="黑体" w:eastAsia="黑体"/>
      <w:sz w:val="21"/>
    </w:rPr>
  </w:style>
  <w:style w:type="character" w:customStyle="1" w:styleId="99">
    <w:name w:val="一级条标题 Char"/>
    <w:basedOn w:val="46"/>
    <w:link w:val="59"/>
    <w:qFormat/>
    <w:locked/>
    <w:uiPriority w:val="0"/>
    <w:rPr>
      <w:rFonts w:ascii="黑体" w:eastAsia="黑体"/>
      <w:sz w:val="21"/>
    </w:rPr>
  </w:style>
  <w:style w:type="character" w:customStyle="1" w:styleId="100">
    <w:name w:val="三级条标题 Char Char"/>
    <w:link w:val="63"/>
    <w:qFormat/>
    <w:locked/>
    <w:uiPriority w:val="0"/>
    <w:rPr>
      <w:rFonts w:ascii="黑体" w:eastAsia="黑体"/>
      <w:sz w:val="21"/>
    </w:rPr>
  </w:style>
  <w:style w:type="paragraph" w:customStyle="1" w:styleId="101">
    <w:name w:val="二级无标题条"/>
    <w:basedOn w:val="1"/>
    <w:qFormat/>
    <w:uiPriority w:val="0"/>
    <w:rPr>
      <w:b/>
    </w:rPr>
  </w:style>
  <w:style w:type="paragraph" w:customStyle="1" w:styleId="102">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03">
    <w:name w:val="标题 1 字符"/>
    <w:link w:val="2"/>
    <w:qFormat/>
    <w:uiPriority w:val="9"/>
    <w:rPr>
      <w:rFonts w:ascii="Times New Roman" w:hAnsi="Times New Roman" w:eastAsia="宋体" w:cs="Times New Roman"/>
      <w:b/>
      <w:kern w:val="44"/>
      <w:sz w:val="28"/>
      <w:szCs w:val="20"/>
      <w:highlight w:val="none"/>
      <w:lang w:val="zh-CN" w:eastAsia="zh-CN" w:bidi="ar-SA"/>
    </w:rPr>
  </w:style>
  <w:style w:type="character" w:customStyle="1" w:styleId="104">
    <w:name w:val="标题 2 字符"/>
    <w:basedOn w:val="46"/>
    <w:link w:val="3"/>
    <w:qFormat/>
    <w:uiPriority w:val="0"/>
    <w:rPr>
      <w:rFonts w:ascii="Times New Roman" w:hAnsi="Times New Roman" w:eastAsia="宋体"/>
      <w:b/>
      <w:kern w:val="2"/>
      <w:sz w:val="24"/>
    </w:rPr>
  </w:style>
  <w:style w:type="character" w:customStyle="1" w:styleId="105">
    <w:name w:val="标题 3 字符"/>
    <w:basedOn w:val="46"/>
    <w:link w:val="4"/>
    <w:qFormat/>
    <w:uiPriority w:val="9"/>
    <w:rPr>
      <w:rFonts w:ascii="Times New Roman" w:hAnsi="Times New Roman" w:eastAsia="宋体"/>
      <w:b/>
      <w:sz w:val="24"/>
    </w:rPr>
  </w:style>
  <w:style w:type="character" w:customStyle="1" w:styleId="106">
    <w:name w:val="标题 4 字符"/>
    <w:basedOn w:val="46"/>
    <w:link w:val="5"/>
    <w:qFormat/>
    <w:uiPriority w:val="9"/>
    <w:rPr>
      <w:sz w:val="24"/>
    </w:rPr>
  </w:style>
  <w:style w:type="character" w:customStyle="1" w:styleId="107">
    <w:name w:val="标题 5 字符"/>
    <w:basedOn w:val="46"/>
    <w:link w:val="7"/>
    <w:qFormat/>
    <w:uiPriority w:val="9"/>
    <w:rPr>
      <w:b/>
      <w:kern w:val="2"/>
      <w:sz w:val="28"/>
    </w:rPr>
  </w:style>
  <w:style w:type="character" w:customStyle="1" w:styleId="108">
    <w:name w:val="标题 6 字符"/>
    <w:basedOn w:val="46"/>
    <w:link w:val="8"/>
    <w:qFormat/>
    <w:uiPriority w:val="9"/>
    <w:rPr>
      <w:sz w:val="24"/>
    </w:rPr>
  </w:style>
  <w:style w:type="character" w:customStyle="1" w:styleId="109">
    <w:name w:val="标题 7 字符"/>
    <w:basedOn w:val="46"/>
    <w:link w:val="9"/>
    <w:qFormat/>
    <w:uiPriority w:val="9"/>
    <w:rPr>
      <w:sz w:val="24"/>
    </w:rPr>
  </w:style>
  <w:style w:type="character" w:customStyle="1" w:styleId="110">
    <w:name w:val="标题 8 字符"/>
    <w:basedOn w:val="46"/>
    <w:link w:val="10"/>
    <w:qFormat/>
    <w:uiPriority w:val="9"/>
    <w:rPr>
      <w:sz w:val="24"/>
    </w:rPr>
  </w:style>
  <w:style w:type="character" w:customStyle="1" w:styleId="111">
    <w:name w:val="标题 9 字符"/>
    <w:basedOn w:val="46"/>
    <w:link w:val="11"/>
    <w:qFormat/>
    <w:uiPriority w:val="9"/>
    <w:rPr>
      <w:rFonts w:ascii="Arial" w:hAnsi="Arial" w:eastAsia="黑体"/>
      <w:sz w:val="24"/>
    </w:rPr>
  </w:style>
  <w:style w:type="character" w:customStyle="1" w:styleId="112">
    <w:name w:val="正文文本首行缩进 字符"/>
    <w:link w:val="43"/>
    <w:qFormat/>
    <w:uiPriority w:val="0"/>
    <w:rPr>
      <w:kern w:val="2"/>
      <w:sz w:val="21"/>
    </w:rPr>
  </w:style>
  <w:style w:type="character" w:customStyle="1" w:styleId="113">
    <w:name w:val="纯文本 Char1"/>
    <w:semiHidden/>
    <w:qFormat/>
    <w:uiPriority w:val="99"/>
    <w:rPr>
      <w:rFonts w:ascii="宋体" w:hAnsi="Courier New" w:eastAsia="宋体" w:cs="Courier New"/>
      <w:kern w:val="0"/>
      <w:szCs w:val="21"/>
    </w:rPr>
  </w:style>
  <w:style w:type="character" w:customStyle="1" w:styleId="114">
    <w:name w:val="正文文本 字符"/>
    <w:link w:val="20"/>
    <w:qFormat/>
    <w:uiPriority w:val="0"/>
    <w:rPr>
      <w:kern w:val="2"/>
      <w:sz w:val="21"/>
    </w:rPr>
  </w:style>
  <w:style w:type="character" w:customStyle="1" w:styleId="115">
    <w:name w:val="Char Char4"/>
    <w:qFormat/>
    <w:uiPriority w:val="0"/>
    <w:rPr>
      <w:sz w:val="18"/>
      <w:szCs w:val="18"/>
    </w:rPr>
  </w:style>
  <w:style w:type="character" w:customStyle="1" w:styleId="116">
    <w:name w:val="注释"/>
    <w:qFormat/>
    <w:uiPriority w:val="0"/>
    <w:rPr>
      <w:rFonts w:ascii="Times New Roman" w:eastAsia="宋体"/>
      <w:sz w:val="18"/>
    </w:rPr>
  </w:style>
  <w:style w:type="character" w:customStyle="1" w:styleId="117">
    <w:name w:val="正文文本缩进 字符"/>
    <w:link w:val="22"/>
    <w:qFormat/>
    <w:uiPriority w:val="99"/>
    <w:rPr>
      <w:rFonts w:ascii="宋体" w:hAnsi="宋体"/>
      <w:kern w:val="2"/>
      <w:sz w:val="24"/>
    </w:rPr>
  </w:style>
  <w:style w:type="character" w:customStyle="1" w:styleId="118">
    <w:name w:val="正文文本缩进 2 字符"/>
    <w:link w:val="28"/>
    <w:qFormat/>
    <w:uiPriority w:val="0"/>
    <w:rPr>
      <w:rFonts w:ascii="宋体" w:hAnsi="宋体"/>
      <w:kern w:val="2"/>
      <w:sz w:val="24"/>
    </w:rPr>
  </w:style>
  <w:style w:type="character" w:customStyle="1" w:styleId="119">
    <w:name w:val="批注框文本 字符"/>
    <w:link w:val="29"/>
    <w:qFormat/>
    <w:uiPriority w:val="99"/>
    <w:rPr>
      <w:kern w:val="2"/>
      <w:sz w:val="18"/>
      <w:szCs w:val="18"/>
    </w:rPr>
  </w:style>
  <w:style w:type="character" w:customStyle="1" w:styleId="120">
    <w:name w:val="标题 字符"/>
    <w:link w:val="21"/>
    <w:qFormat/>
    <w:uiPriority w:val="0"/>
    <w:rPr>
      <w:rFonts w:ascii="Cambria" w:hAnsi="Cambria"/>
      <w:b/>
      <w:bCs/>
      <w:sz w:val="32"/>
      <w:szCs w:val="32"/>
    </w:rPr>
  </w:style>
  <w:style w:type="character" w:customStyle="1" w:styleId="121">
    <w:name w:val="图中文字"/>
    <w:qFormat/>
    <w:uiPriority w:val="0"/>
    <w:rPr>
      <w:rFonts w:ascii="Times New Roman" w:eastAsia="宋体"/>
      <w:sz w:val="15"/>
    </w:rPr>
  </w:style>
  <w:style w:type="character" w:customStyle="1" w:styleId="122">
    <w:name w:val="页眉 字符"/>
    <w:link w:val="31"/>
    <w:qFormat/>
    <w:uiPriority w:val="99"/>
    <w:rPr>
      <w:kern w:val="2"/>
      <w:sz w:val="18"/>
    </w:rPr>
  </w:style>
  <w:style w:type="character" w:customStyle="1" w:styleId="123">
    <w:name w:val="章标题 Char Char"/>
    <w:qFormat/>
    <w:uiPriority w:val="0"/>
    <w:rPr>
      <w:rFonts w:ascii="黑体" w:hAnsi="Times New Roman" w:eastAsia="黑体" w:cs="Times New Roman"/>
      <w:kern w:val="0"/>
      <w:szCs w:val="20"/>
    </w:rPr>
  </w:style>
  <w:style w:type="character" w:customStyle="1" w:styleId="124">
    <w:name w:val="章标题 Char"/>
    <w:link w:val="60"/>
    <w:qFormat/>
    <w:uiPriority w:val="0"/>
    <w:rPr>
      <w:rFonts w:ascii="黑体" w:eastAsia="黑体"/>
      <w:sz w:val="21"/>
    </w:rPr>
  </w:style>
  <w:style w:type="character" w:customStyle="1" w:styleId="125">
    <w:name w:val="副标题 字符"/>
    <w:link w:val="34"/>
    <w:qFormat/>
    <w:uiPriority w:val="0"/>
    <w:rPr>
      <w:rFonts w:ascii="Cambria" w:hAnsi="Cambria"/>
      <w:b/>
      <w:bCs/>
      <w:kern w:val="28"/>
      <w:sz w:val="32"/>
      <w:szCs w:val="32"/>
    </w:rPr>
  </w:style>
  <w:style w:type="character" w:customStyle="1" w:styleId="126">
    <w:name w:val="页眉 Char1"/>
    <w:basedOn w:val="46"/>
    <w:semiHidden/>
    <w:qFormat/>
    <w:uiPriority w:val="99"/>
    <w:rPr>
      <w:kern w:val="2"/>
      <w:sz w:val="18"/>
      <w:szCs w:val="18"/>
    </w:rPr>
  </w:style>
  <w:style w:type="character" w:customStyle="1" w:styleId="127">
    <w:name w:val="日期 Char1"/>
    <w:basedOn w:val="46"/>
    <w:semiHidden/>
    <w:qFormat/>
    <w:uiPriority w:val="99"/>
    <w:rPr>
      <w:kern w:val="2"/>
      <w:sz w:val="21"/>
      <w:szCs w:val="24"/>
    </w:rPr>
  </w:style>
  <w:style w:type="character" w:customStyle="1" w:styleId="128">
    <w:name w:val="正文文本 Char1"/>
    <w:basedOn w:val="46"/>
    <w:link w:val="129"/>
    <w:qFormat/>
    <w:uiPriority w:val="0"/>
    <w:rPr>
      <w:kern w:val="2"/>
      <w:sz w:val="21"/>
      <w:szCs w:val="24"/>
    </w:rPr>
  </w:style>
  <w:style w:type="paragraph" w:customStyle="1" w:styleId="129">
    <w:name w:val="正文文本1"/>
    <w:basedOn w:val="1"/>
    <w:link w:val="128"/>
    <w:qFormat/>
    <w:uiPriority w:val="0"/>
  </w:style>
  <w:style w:type="character" w:customStyle="1" w:styleId="130">
    <w:name w:val="正文文本 2 字符"/>
    <w:basedOn w:val="46"/>
    <w:link w:val="40"/>
    <w:qFormat/>
    <w:uiPriority w:val="0"/>
    <w:rPr>
      <w:color w:val="000000"/>
      <w:kern w:val="2"/>
    </w:rPr>
  </w:style>
  <w:style w:type="character" w:customStyle="1" w:styleId="131">
    <w:name w:val="副标题 Char1"/>
    <w:basedOn w:val="46"/>
    <w:qFormat/>
    <w:uiPriority w:val="11"/>
    <w:rPr>
      <w:rFonts w:asciiTheme="majorHAnsi" w:hAnsiTheme="majorHAnsi" w:cstheme="majorBidi"/>
      <w:b/>
      <w:bCs/>
      <w:kern w:val="28"/>
      <w:sz w:val="32"/>
      <w:szCs w:val="32"/>
    </w:rPr>
  </w:style>
  <w:style w:type="character" w:customStyle="1" w:styleId="132">
    <w:name w:val="批注文字 Char1"/>
    <w:basedOn w:val="46"/>
    <w:semiHidden/>
    <w:qFormat/>
    <w:uiPriority w:val="99"/>
    <w:rPr>
      <w:kern w:val="2"/>
      <w:sz w:val="21"/>
      <w:szCs w:val="24"/>
    </w:rPr>
  </w:style>
  <w:style w:type="character" w:customStyle="1" w:styleId="133">
    <w:name w:val="正文首行缩进 Char1"/>
    <w:basedOn w:val="128"/>
    <w:semiHidden/>
    <w:qFormat/>
    <w:uiPriority w:val="99"/>
    <w:rPr>
      <w:kern w:val="2"/>
      <w:sz w:val="21"/>
      <w:szCs w:val="24"/>
    </w:rPr>
  </w:style>
  <w:style w:type="character" w:customStyle="1" w:styleId="134">
    <w:name w:val="批注主题 Char1"/>
    <w:basedOn w:val="132"/>
    <w:semiHidden/>
    <w:qFormat/>
    <w:uiPriority w:val="99"/>
    <w:rPr>
      <w:b/>
      <w:bCs/>
      <w:kern w:val="2"/>
      <w:sz w:val="21"/>
      <w:szCs w:val="24"/>
    </w:rPr>
  </w:style>
  <w:style w:type="character" w:customStyle="1" w:styleId="135">
    <w:name w:val="页脚 Char1"/>
    <w:basedOn w:val="46"/>
    <w:semiHidden/>
    <w:qFormat/>
    <w:uiPriority w:val="99"/>
    <w:rPr>
      <w:kern w:val="2"/>
      <w:sz w:val="18"/>
      <w:szCs w:val="18"/>
    </w:rPr>
  </w:style>
  <w:style w:type="character" w:customStyle="1" w:styleId="136">
    <w:name w:val="批注框文本 Char1"/>
    <w:basedOn w:val="46"/>
    <w:semiHidden/>
    <w:qFormat/>
    <w:uiPriority w:val="99"/>
    <w:rPr>
      <w:kern w:val="2"/>
      <w:sz w:val="18"/>
      <w:szCs w:val="18"/>
    </w:rPr>
  </w:style>
  <w:style w:type="character" w:customStyle="1" w:styleId="137">
    <w:name w:val="文档结构图 字符"/>
    <w:basedOn w:val="46"/>
    <w:link w:val="15"/>
    <w:qFormat/>
    <w:uiPriority w:val="0"/>
    <w:rPr>
      <w:kern w:val="2"/>
      <w:sz w:val="21"/>
      <w:szCs w:val="24"/>
      <w:shd w:val="clear" w:color="auto" w:fill="000080"/>
    </w:rPr>
  </w:style>
  <w:style w:type="character" w:customStyle="1" w:styleId="138">
    <w:name w:val="纯文本 Char2"/>
    <w:basedOn w:val="46"/>
    <w:semiHidden/>
    <w:qFormat/>
    <w:uiPriority w:val="99"/>
    <w:rPr>
      <w:rFonts w:ascii="宋体" w:hAnsi="Courier New" w:cs="Courier New"/>
      <w:kern w:val="2"/>
      <w:sz w:val="21"/>
      <w:szCs w:val="21"/>
    </w:rPr>
  </w:style>
  <w:style w:type="character" w:customStyle="1" w:styleId="139">
    <w:name w:val="正文文本缩进 Char1"/>
    <w:basedOn w:val="46"/>
    <w:semiHidden/>
    <w:qFormat/>
    <w:uiPriority w:val="99"/>
    <w:rPr>
      <w:kern w:val="2"/>
      <w:sz w:val="21"/>
      <w:szCs w:val="24"/>
    </w:rPr>
  </w:style>
  <w:style w:type="character" w:customStyle="1" w:styleId="140">
    <w:name w:val="脚注文本 字符"/>
    <w:basedOn w:val="46"/>
    <w:link w:val="35"/>
    <w:semiHidden/>
    <w:qFormat/>
    <w:uiPriority w:val="0"/>
    <w:rPr>
      <w:kern w:val="2"/>
      <w:sz w:val="18"/>
      <w:szCs w:val="18"/>
    </w:rPr>
  </w:style>
  <w:style w:type="character" w:customStyle="1" w:styleId="141">
    <w:name w:val="正文文本缩进 2 Char1"/>
    <w:basedOn w:val="46"/>
    <w:semiHidden/>
    <w:qFormat/>
    <w:uiPriority w:val="0"/>
    <w:rPr>
      <w:kern w:val="2"/>
      <w:sz w:val="21"/>
      <w:szCs w:val="24"/>
    </w:rPr>
  </w:style>
  <w:style w:type="character" w:customStyle="1" w:styleId="142">
    <w:name w:val="标题 Char1"/>
    <w:basedOn w:val="46"/>
    <w:qFormat/>
    <w:uiPriority w:val="10"/>
    <w:rPr>
      <w:rFonts w:asciiTheme="majorHAnsi" w:hAnsiTheme="majorHAnsi" w:cstheme="majorBidi"/>
      <w:b/>
      <w:bCs/>
      <w:kern w:val="2"/>
      <w:sz w:val="32"/>
      <w:szCs w:val="32"/>
    </w:rPr>
  </w:style>
  <w:style w:type="paragraph" w:customStyle="1" w:styleId="14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44">
    <w:name w:val="附录三级条标题"/>
    <w:basedOn w:val="145"/>
    <w:next w:val="71"/>
    <w:qFormat/>
    <w:uiPriority w:val="0"/>
    <w:pPr>
      <w:tabs>
        <w:tab w:val="left" w:pos="360"/>
      </w:tabs>
      <w:outlineLvl w:val="4"/>
    </w:pPr>
  </w:style>
  <w:style w:type="paragraph" w:customStyle="1" w:styleId="145">
    <w:name w:val="附录二级条标题"/>
    <w:basedOn w:val="146"/>
    <w:next w:val="71"/>
    <w:qFormat/>
    <w:uiPriority w:val="0"/>
    <w:pPr>
      <w:tabs>
        <w:tab w:val="left" w:pos="360"/>
      </w:tabs>
      <w:ind w:left="3224"/>
      <w:outlineLvl w:val="3"/>
    </w:pPr>
  </w:style>
  <w:style w:type="paragraph" w:customStyle="1" w:styleId="146">
    <w:name w:val="附录一级条标题"/>
    <w:basedOn w:val="147"/>
    <w:next w:val="71"/>
    <w:qFormat/>
    <w:uiPriority w:val="0"/>
    <w:pPr>
      <w:tabs>
        <w:tab w:val="left" w:pos="360"/>
      </w:tabs>
      <w:autoSpaceDN w:val="0"/>
      <w:spacing w:beforeLines="0" w:afterLines="0"/>
      <w:ind w:left="2804"/>
      <w:outlineLvl w:val="2"/>
    </w:pPr>
  </w:style>
  <w:style w:type="paragraph" w:customStyle="1" w:styleId="147">
    <w:name w:val="附录章标题"/>
    <w:next w:val="71"/>
    <w:qFormat/>
    <w:uiPriority w:val="0"/>
    <w:pPr>
      <w:tabs>
        <w:tab w:val="left" w:pos="360"/>
      </w:tabs>
      <w:wordWrap w:val="0"/>
      <w:overflowPunct w:val="0"/>
      <w:autoSpaceDE w:val="0"/>
      <w:spacing w:beforeLines="50" w:afterLines="50" w:line="360" w:lineRule="auto"/>
      <w:ind w:left="2384" w:hanging="420"/>
      <w:jc w:val="both"/>
      <w:textAlignment w:val="baseline"/>
      <w:outlineLvl w:val="1"/>
    </w:pPr>
    <w:rPr>
      <w:rFonts w:ascii="黑体" w:hAnsi="Times New Roman" w:eastAsia="黑体" w:cs="Times New Roman"/>
      <w:kern w:val="21"/>
      <w:sz w:val="21"/>
      <w:lang w:val="en-US" w:eastAsia="zh-CN" w:bidi="ar-SA"/>
    </w:rPr>
  </w:style>
  <w:style w:type="paragraph" w:customStyle="1" w:styleId="148">
    <w:name w:val="附录四级条标题"/>
    <w:basedOn w:val="144"/>
    <w:next w:val="71"/>
    <w:qFormat/>
    <w:uiPriority w:val="0"/>
    <w:pPr>
      <w:tabs>
        <w:tab w:val="clear" w:pos="360"/>
      </w:tabs>
      <w:outlineLvl w:val="5"/>
    </w:pPr>
  </w:style>
  <w:style w:type="paragraph" w:customStyle="1" w:styleId="149">
    <w:name w:val="发布日期"/>
    <w:qFormat/>
    <w:uiPriority w:val="0"/>
    <w:pPr>
      <w:framePr w:w="4000" w:h="473" w:hRule="exact" w:hSpace="180" w:vSpace="180" w:wrap="around" w:vAnchor="margin" w:hAnchor="margin" w:y="13511" w:anchorLock="1"/>
      <w:spacing w:line="360" w:lineRule="auto"/>
    </w:pPr>
    <w:rPr>
      <w:rFonts w:ascii="Times New Roman" w:hAnsi="Times New Roman" w:eastAsia="黑体" w:cs="Times New Roman"/>
      <w:sz w:val="28"/>
      <w:lang w:val="en-US" w:eastAsia="zh-CN" w:bidi="ar-SA"/>
    </w:rPr>
  </w:style>
  <w:style w:type="paragraph" w:customStyle="1" w:styleId="15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51">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152">
    <w:name w:val="附录五级条标题"/>
    <w:basedOn w:val="148"/>
    <w:next w:val="71"/>
    <w:qFormat/>
    <w:uiPriority w:val="0"/>
    <w:pPr>
      <w:outlineLvl w:val="6"/>
    </w:pPr>
  </w:style>
  <w:style w:type="paragraph" w:customStyle="1" w:styleId="153">
    <w:name w:val="表格标题正常_制度头表格"/>
    <w:qFormat/>
    <w:uiPriority w:val="0"/>
    <w:pPr>
      <w:spacing w:line="360" w:lineRule="auto"/>
      <w:jc w:val="center"/>
    </w:pPr>
    <w:rPr>
      <w:rFonts w:ascii="Times New Roman" w:hAnsi="Times New Roman" w:eastAsia="宋体" w:cs="Times New Roman"/>
      <w:sz w:val="21"/>
      <w:lang w:val="en-US" w:eastAsia="zh-CN" w:bidi="ar-SA"/>
    </w:rPr>
  </w:style>
  <w:style w:type="paragraph" w:customStyle="1" w:styleId="154">
    <w:name w:val="表格内容靠左正常_制度头表格"/>
    <w:qFormat/>
    <w:uiPriority w:val="0"/>
    <w:pPr>
      <w:spacing w:line="360" w:lineRule="auto"/>
    </w:pPr>
    <w:rPr>
      <w:rFonts w:ascii="Times New Roman" w:hAnsi="Times New Roman" w:eastAsia="宋体" w:cs="Times New Roman"/>
      <w:sz w:val="21"/>
      <w:szCs w:val="21"/>
      <w:lang w:val="en-US" w:eastAsia="zh-CN" w:bidi="ar-SA"/>
    </w:rPr>
  </w:style>
  <w:style w:type="paragraph" w:customStyle="1" w:styleId="155">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56">
    <w:name w:val="实施日期"/>
    <w:basedOn w:val="149"/>
    <w:qFormat/>
    <w:uiPriority w:val="0"/>
    <w:pPr>
      <w:framePr w:hSpace="0" w:wrap="around" w:xAlign="right"/>
      <w:jc w:val="right"/>
    </w:pPr>
  </w:style>
  <w:style w:type="paragraph" w:customStyle="1" w:styleId="157">
    <w:name w:val="条文脚注"/>
    <w:basedOn w:val="35"/>
    <w:qFormat/>
    <w:uiPriority w:val="0"/>
    <w:pPr>
      <w:ind w:left="780" w:leftChars="200" w:hanging="360" w:hangingChars="200"/>
      <w:jc w:val="both"/>
    </w:pPr>
    <w:rPr>
      <w:rFonts w:ascii="宋体"/>
    </w:rPr>
  </w:style>
  <w:style w:type="paragraph" w:customStyle="1" w:styleId="158">
    <w:name w:val="表格内容居中正常_制度头表格"/>
    <w:qFormat/>
    <w:uiPriority w:val="0"/>
    <w:pPr>
      <w:spacing w:line="360" w:lineRule="auto"/>
      <w:jc w:val="center"/>
    </w:pPr>
    <w:rPr>
      <w:rFonts w:ascii="Times New Roman" w:hAnsi="Times New Roman" w:eastAsia="宋体" w:cs="Times New Roman"/>
      <w:szCs w:val="21"/>
      <w:lang w:val="en-US" w:eastAsia="zh-CN" w:bidi="ar-SA"/>
    </w:rPr>
  </w:style>
  <w:style w:type="paragraph" w:customStyle="1" w:styleId="159">
    <w:name w:val="Char Char Char Char Char Char Char Char Char Char Char Char"/>
    <w:basedOn w:val="1"/>
    <w:qFormat/>
    <w:uiPriority w:val="0"/>
    <w:pPr>
      <w:spacing w:line="360" w:lineRule="auto"/>
    </w:pPr>
    <w:rPr>
      <w:rFonts w:ascii="Tahoma" w:hAnsi="Tahoma"/>
      <w:sz w:val="24"/>
      <w:szCs w:val="20"/>
    </w:rPr>
  </w:style>
  <w:style w:type="paragraph" w:customStyle="1" w:styleId="160">
    <w:name w:val="标准书眉_偶数页"/>
    <w:basedOn w:val="161"/>
    <w:next w:val="1"/>
    <w:qFormat/>
    <w:uiPriority w:val="0"/>
    <w:pPr>
      <w:tabs>
        <w:tab w:val="center" w:pos="4154"/>
        <w:tab w:val="right" w:pos="8306"/>
      </w:tabs>
      <w:jc w:val="left"/>
    </w:pPr>
  </w:style>
  <w:style w:type="paragraph" w:customStyle="1" w:styleId="161">
    <w:name w:val="标准书眉_奇数页"/>
    <w:next w:val="1"/>
    <w:qFormat/>
    <w:uiPriority w:val="0"/>
    <w:pPr>
      <w:tabs>
        <w:tab w:val="center" w:pos="4154"/>
        <w:tab w:val="right" w:pos="8306"/>
      </w:tabs>
      <w:spacing w:after="120" w:line="360" w:lineRule="auto"/>
      <w:jc w:val="right"/>
    </w:pPr>
    <w:rPr>
      <w:rFonts w:ascii="Times New Roman" w:hAnsi="Times New Roman" w:eastAsia="宋体" w:cs="Times New Roman"/>
      <w:sz w:val="21"/>
      <w:lang w:val="en-US" w:eastAsia="zh-CN" w:bidi="ar-SA"/>
    </w:rPr>
  </w:style>
  <w:style w:type="paragraph" w:customStyle="1" w:styleId="16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63">
    <w:name w:val="附录标识"/>
    <w:basedOn w:val="79"/>
    <w:qFormat/>
    <w:uiPriority w:val="0"/>
    <w:pPr>
      <w:tabs>
        <w:tab w:val="left" w:pos="6405"/>
        <w:tab w:val="clear" w:pos="360"/>
      </w:tabs>
      <w:spacing w:after="200" w:line="360" w:lineRule="auto"/>
      <w:ind w:left="1964" w:hanging="420"/>
    </w:pPr>
    <w:rPr>
      <w:sz w:val="21"/>
    </w:rPr>
  </w:style>
  <w:style w:type="paragraph" w:customStyle="1" w:styleId="164">
    <w:name w:val="封面正文"/>
    <w:qFormat/>
    <w:uiPriority w:val="0"/>
    <w:pPr>
      <w:spacing w:line="360" w:lineRule="auto"/>
      <w:jc w:val="both"/>
    </w:pPr>
    <w:rPr>
      <w:rFonts w:ascii="Times New Roman" w:hAnsi="Times New Roman" w:eastAsia="宋体" w:cs="Times New Roman"/>
      <w:lang w:val="en-US" w:eastAsia="zh-CN" w:bidi="ar-SA"/>
    </w:rPr>
  </w:style>
  <w:style w:type="paragraph" w:customStyle="1" w:styleId="165">
    <w:name w:val="列项·"/>
    <w:qFormat/>
    <w:uiPriority w:val="0"/>
    <w:pPr>
      <w:tabs>
        <w:tab w:val="left" w:pos="360"/>
        <w:tab w:val="left" w:pos="840"/>
      </w:tabs>
      <w:jc w:val="both"/>
    </w:pPr>
    <w:rPr>
      <w:rFonts w:ascii="宋体" w:hAnsi="Times New Roman" w:eastAsia="宋体" w:cs="Times New Roman"/>
      <w:sz w:val="21"/>
      <w:lang w:val="en-US" w:eastAsia="zh-CN" w:bidi="ar-SA"/>
    </w:rPr>
  </w:style>
  <w:style w:type="paragraph" w:customStyle="1" w:styleId="166">
    <w:name w:val="列出段落1"/>
    <w:basedOn w:val="1"/>
    <w:qFormat/>
    <w:uiPriority w:val="0"/>
    <w:pPr>
      <w:autoSpaceDE w:val="0"/>
      <w:autoSpaceDN w:val="0"/>
      <w:adjustRightInd w:val="0"/>
      <w:ind w:firstLine="420" w:firstLineChars="200"/>
      <w:jc w:val="left"/>
    </w:pPr>
    <w:rPr>
      <w:rFonts w:ascii="宋体"/>
      <w:kern w:val="0"/>
      <w:sz w:val="34"/>
      <w:szCs w:val="20"/>
    </w:rPr>
  </w:style>
  <w:style w:type="paragraph" w:customStyle="1" w:styleId="16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68">
    <w:name w:val="目次、标准名称标题"/>
    <w:basedOn w:val="79"/>
    <w:next w:val="71"/>
    <w:qFormat/>
    <w:uiPriority w:val="0"/>
    <w:pPr>
      <w:tabs>
        <w:tab w:val="clear" w:pos="360"/>
      </w:tabs>
      <w:spacing w:line="460" w:lineRule="exact"/>
    </w:pPr>
  </w:style>
  <w:style w:type="paragraph" w:customStyle="1" w:styleId="169">
    <w:name w:val="正文图标题"/>
    <w:next w:val="71"/>
    <w:qFormat/>
    <w:uiPriority w:val="0"/>
    <w:pPr>
      <w:tabs>
        <w:tab w:val="left" w:pos="360"/>
      </w:tabs>
      <w:spacing w:line="360" w:lineRule="auto"/>
      <w:jc w:val="center"/>
    </w:pPr>
    <w:rPr>
      <w:rFonts w:ascii="黑体" w:hAnsi="Times New Roman" w:eastAsia="黑体" w:cs="Times New Roman"/>
      <w:sz w:val="21"/>
      <w:lang w:val="en-US" w:eastAsia="zh-CN" w:bidi="ar-SA"/>
    </w:rPr>
  </w:style>
  <w:style w:type="paragraph" w:customStyle="1" w:styleId="170">
    <w:name w:val="文献分类号"/>
    <w:qFormat/>
    <w:uiPriority w:val="0"/>
    <w:pPr>
      <w:framePr w:hSpace="180" w:vSpace="180" w:wrap="around" w:vAnchor="margin" w:hAnchor="margin" w:y="1" w:anchorLock="1"/>
      <w:widowControl w:val="0"/>
      <w:spacing w:line="360" w:lineRule="auto"/>
      <w:textAlignment w:val="center"/>
    </w:pPr>
    <w:rPr>
      <w:rFonts w:ascii="Times New Roman" w:hAnsi="Times New Roman" w:eastAsia="黑体" w:cs="Times New Roman"/>
      <w:sz w:val="21"/>
      <w:lang w:val="en-US" w:eastAsia="zh-CN" w:bidi="ar-SA"/>
    </w:rPr>
  </w:style>
  <w:style w:type="paragraph" w:customStyle="1" w:styleId="171">
    <w:name w:val="表格内容靠左粗体_制度头表格"/>
    <w:basedOn w:val="158"/>
    <w:qFormat/>
    <w:uiPriority w:val="0"/>
    <w:pPr>
      <w:jc w:val="both"/>
    </w:pPr>
    <w:rPr>
      <w:b/>
      <w:bCs/>
      <w:sz w:val="21"/>
    </w:rPr>
  </w:style>
  <w:style w:type="paragraph" w:customStyle="1" w:styleId="172">
    <w:name w:val="表格标题粗体_制度头表格"/>
    <w:qFormat/>
    <w:uiPriority w:val="0"/>
    <w:pPr>
      <w:spacing w:line="360" w:lineRule="auto"/>
      <w:jc w:val="center"/>
    </w:pPr>
    <w:rPr>
      <w:rFonts w:ascii="Times New Roman" w:hAnsi="Times New Roman" w:eastAsia="宋体" w:cs="Times New Roman"/>
      <w:b/>
      <w:sz w:val="21"/>
      <w:szCs w:val="21"/>
      <w:lang w:val="en-US" w:eastAsia="zh-CN" w:bidi="ar-SA"/>
    </w:rPr>
  </w:style>
  <w:style w:type="paragraph" w:customStyle="1" w:styleId="173">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74">
    <w:name w:val="无标题条"/>
    <w:next w:val="71"/>
    <w:qFormat/>
    <w:uiPriority w:val="0"/>
    <w:pPr>
      <w:spacing w:line="360" w:lineRule="auto"/>
      <w:jc w:val="both"/>
    </w:pPr>
    <w:rPr>
      <w:rFonts w:ascii="Times New Roman" w:hAnsi="Times New Roman" w:eastAsia="宋体" w:cs="Times New Roman"/>
      <w:sz w:val="21"/>
      <w:lang w:val="en-US" w:eastAsia="zh-CN" w:bidi="ar-SA"/>
    </w:rPr>
  </w:style>
  <w:style w:type="paragraph" w:customStyle="1" w:styleId="175">
    <w:name w:val="标准书脚_偶数页"/>
    <w:qFormat/>
    <w:uiPriority w:val="0"/>
    <w:pPr>
      <w:spacing w:before="120" w:line="360" w:lineRule="auto"/>
    </w:pPr>
    <w:rPr>
      <w:rFonts w:ascii="Times New Roman" w:hAnsi="Times New Roman" w:eastAsia="宋体" w:cs="Times New Roman"/>
      <w:sz w:val="18"/>
      <w:lang w:val="en-US" w:eastAsia="zh-CN" w:bidi="ar-SA"/>
    </w:rPr>
  </w:style>
  <w:style w:type="paragraph" w:customStyle="1" w:styleId="17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77">
    <w:name w:val="数字编号列项（二级）"/>
    <w:qFormat/>
    <w:uiPriority w:val="0"/>
    <w:pPr>
      <w:spacing w:line="360" w:lineRule="auto"/>
      <w:ind w:left="1260" w:leftChars="400" w:hanging="420" w:hangingChars="200"/>
      <w:jc w:val="both"/>
    </w:pPr>
    <w:rPr>
      <w:rFonts w:ascii="宋体" w:hAnsi="Times New Roman" w:eastAsia="宋体" w:cs="Times New Roman"/>
      <w:sz w:val="21"/>
      <w:lang w:val="en-US" w:eastAsia="zh-CN" w:bidi="ar-SA"/>
    </w:rPr>
  </w:style>
  <w:style w:type="paragraph" w:customStyle="1" w:styleId="178">
    <w:name w:val="表格空行_制度头表格"/>
    <w:basedOn w:val="153"/>
    <w:qFormat/>
    <w:uiPriority w:val="0"/>
    <w:pPr>
      <w:tabs>
        <w:tab w:val="left" w:pos="2960"/>
      </w:tabs>
      <w:jc w:val="both"/>
    </w:pPr>
    <w:rPr>
      <w:rFonts w:eastAsia="黑体"/>
      <w:sz w:val="11"/>
      <w:szCs w:val="30"/>
    </w:rPr>
  </w:style>
  <w:style w:type="paragraph" w:customStyle="1" w:styleId="179">
    <w:name w:val="标准书脚_奇数页"/>
    <w:qFormat/>
    <w:uiPriority w:val="0"/>
    <w:pPr>
      <w:spacing w:before="120" w:line="360" w:lineRule="auto"/>
      <w:jc w:val="right"/>
    </w:pPr>
    <w:rPr>
      <w:rFonts w:ascii="Times New Roman" w:hAnsi="Times New Roman" w:eastAsia="宋体" w:cs="Times New Roman"/>
      <w:sz w:val="18"/>
      <w:lang w:val="en-US" w:eastAsia="zh-CN" w:bidi="ar-SA"/>
    </w:rPr>
  </w:style>
  <w:style w:type="paragraph" w:customStyle="1" w:styleId="180">
    <w:name w:val="图表脚注"/>
    <w:next w:val="71"/>
    <w:qFormat/>
    <w:uiPriority w:val="0"/>
    <w:pPr>
      <w:spacing w:line="360" w:lineRule="auto"/>
      <w:ind w:left="300" w:leftChars="200" w:hanging="100" w:hangingChars="100"/>
      <w:jc w:val="both"/>
    </w:pPr>
    <w:rPr>
      <w:rFonts w:ascii="宋体" w:hAnsi="Times New Roman" w:eastAsia="宋体" w:cs="Times New Roman"/>
      <w:sz w:val="18"/>
      <w:lang w:val="en-US" w:eastAsia="zh-CN" w:bidi="ar-SA"/>
    </w:rPr>
  </w:style>
  <w:style w:type="paragraph" w:customStyle="1" w:styleId="181">
    <w:name w:val="封面标准号1"/>
    <w:qFormat/>
    <w:uiPriority w:val="0"/>
    <w:pPr>
      <w:widowControl w:val="0"/>
      <w:kinsoku w:val="0"/>
      <w:overflowPunct w:val="0"/>
      <w:autoSpaceDE w:val="0"/>
      <w:autoSpaceDN w:val="0"/>
      <w:spacing w:before="308" w:line="360" w:lineRule="auto"/>
      <w:jc w:val="right"/>
      <w:textAlignment w:val="center"/>
    </w:pPr>
    <w:rPr>
      <w:rFonts w:ascii="Times New Roman" w:hAnsi="Times New Roman" w:eastAsia="宋体" w:cs="Times New Roman"/>
      <w:sz w:val="28"/>
      <w:lang w:val="en-US" w:eastAsia="zh-CN" w:bidi="ar-SA"/>
    </w:rPr>
  </w:style>
  <w:style w:type="paragraph" w:customStyle="1" w:styleId="18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83">
    <w:name w:val="_Style 1"/>
    <w:basedOn w:val="1"/>
    <w:qFormat/>
    <w:uiPriority w:val="0"/>
    <w:pPr>
      <w:autoSpaceDE w:val="0"/>
      <w:autoSpaceDN w:val="0"/>
      <w:adjustRightInd w:val="0"/>
      <w:ind w:firstLine="420" w:firstLineChars="200"/>
      <w:jc w:val="left"/>
    </w:pPr>
    <w:rPr>
      <w:rFonts w:ascii="宋体"/>
      <w:kern w:val="0"/>
      <w:sz w:val="34"/>
      <w:szCs w:val="20"/>
    </w:rPr>
  </w:style>
  <w:style w:type="paragraph" w:customStyle="1" w:styleId="184">
    <w:name w:val="列出段落2"/>
    <w:basedOn w:val="1"/>
    <w:qFormat/>
    <w:uiPriority w:val="34"/>
    <w:pPr>
      <w:tabs>
        <w:tab w:val="left" w:pos="760"/>
      </w:tabs>
      <w:spacing w:line="500" w:lineRule="exact"/>
      <w:ind w:left="760"/>
    </w:pPr>
    <w:rPr>
      <w:color w:val="000000"/>
      <w:sz w:val="24"/>
      <w:szCs w:val="22"/>
    </w:rPr>
  </w:style>
  <w:style w:type="paragraph" w:customStyle="1" w:styleId="18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7">
    <w:name w:val="xl66"/>
    <w:basedOn w:val="1"/>
    <w:qFormat/>
    <w:uiPriority w:val="0"/>
    <w:pPr>
      <w:widowControl/>
      <w:spacing w:before="100" w:beforeAutospacing="1" w:after="100" w:afterAutospacing="1"/>
      <w:jc w:val="left"/>
    </w:pPr>
    <w:rPr>
      <w:rFonts w:ascii="微软雅黑" w:hAnsi="微软雅黑" w:eastAsia="微软雅黑" w:cs="宋体"/>
      <w:kern w:val="0"/>
      <w:sz w:val="24"/>
    </w:rPr>
  </w:style>
  <w:style w:type="paragraph" w:customStyle="1" w:styleId="18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s="宋体"/>
      <w:kern w:val="0"/>
      <w:sz w:val="24"/>
    </w:rPr>
  </w:style>
  <w:style w:type="paragraph" w:customStyle="1" w:styleId="18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s="宋体"/>
      <w:kern w:val="0"/>
      <w:sz w:val="24"/>
    </w:rPr>
  </w:style>
  <w:style w:type="paragraph" w:customStyle="1" w:styleId="19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s="宋体"/>
      <w:kern w:val="0"/>
      <w:sz w:val="24"/>
    </w:rPr>
  </w:style>
  <w:style w:type="paragraph" w:customStyle="1" w:styleId="19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paragraph" w:customStyle="1" w:styleId="19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19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19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19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paragraph" w:customStyle="1" w:styleId="19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s="宋体"/>
      <w:kern w:val="0"/>
      <w:sz w:val="24"/>
    </w:rPr>
  </w:style>
  <w:style w:type="paragraph" w:customStyle="1" w:styleId="19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微软雅黑" w:hAnsi="微软雅黑" w:eastAsia="微软雅黑" w:cs="宋体"/>
      <w:kern w:val="0"/>
      <w:sz w:val="24"/>
    </w:rPr>
  </w:style>
  <w:style w:type="paragraph" w:customStyle="1" w:styleId="19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table" w:customStyle="1" w:styleId="199">
    <w:name w:val="我的表格"/>
    <w:basedOn w:val="44"/>
    <w:qFormat/>
    <w:uiPriority w:val="99"/>
    <w:pPr>
      <w:spacing w:before="100" w:after="100"/>
      <w:ind w:left="50" w:leftChars="50" w:right="50" w:rightChars="50"/>
    </w:pPr>
    <w:rPr>
      <w:rFonts w:ascii="微软雅黑" w:hAnsi="微软雅黑" w:eastAsia="微软雅黑" w:cstheme="minorBidi"/>
      <w:b/>
      <w:kern w:val="2"/>
      <w:sz w:val="18"/>
      <w:szCs w:val="22"/>
    </w:rPr>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CellMar>
        <w:top w:w="6" w:type="dxa"/>
        <w:left w:w="74" w:type="dxa"/>
        <w:bottom w:w="6" w:type="dxa"/>
        <w:right w:w="74" w:type="dxa"/>
      </w:tblCellMar>
    </w:tblPr>
    <w:tcPr>
      <w:vAlign w:val="center"/>
    </w:tcPr>
  </w:style>
  <w:style w:type="paragraph" w:customStyle="1" w:styleId="200">
    <w:name w:val="特性内容"/>
    <w:basedOn w:val="1"/>
    <w:qFormat/>
    <w:uiPriority w:val="0"/>
    <w:pPr>
      <w:numPr>
        <w:ilvl w:val="0"/>
        <w:numId w:val="2"/>
      </w:numPr>
      <w:spacing w:before="200" w:after="200" w:line="276" w:lineRule="auto"/>
    </w:pPr>
    <w:rPr>
      <w:rFonts w:ascii="Calibri" w:hAnsi="Calibri" w:cstheme="minorBidi"/>
      <w:bCs/>
      <w:color w:val="000000" w:themeColor="text1"/>
      <w:sz w:val="22"/>
      <w:szCs w:val="22"/>
      <w14:textFill>
        <w14:solidFill>
          <w14:schemeClr w14:val="tx1"/>
        </w14:solidFill>
      </w14:textFill>
    </w:rPr>
  </w:style>
  <w:style w:type="paragraph" w:customStyle="1" w:styleId="201">
    <w:name w:val="Char Char Char"/>
    <w:basedOn w:val="1"/>
    <w:qFormat/>
    <w:uiPriority w:val="0"/>
  </w:style>
  <w:style w:type="paragraph" w:customStyle="1" w:styleId="20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3">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szCs w:val="28"/>
    </w:rPr>
  </w:style>
  <w:style w:type="paragraph" w:customStyle="1" w:styleId="204">
    <w:name w:val="1.标题"/>
    <w:basedOn w:val="1"/>
    <w:qFormat/>
    <w:uiPriority w:val="0"/>
    <w:pPr>
      <w:keepNext/>
      <w:keepLines/>
      <w:numPr>
        <w:ilvl w:val="0"/>
        <w:numId w:val="3"/>
      </w:numPr>
      <w:spacing w:before="120" w:after="120" w:line="578" w:lineRule="auto"/>
      <w:outlineLvl w:val="0"/>
    </w:pPr>
    <w:rPr>
      <w:rFonts w:asciiTheme="minorHAnsi" w:hAnsiTheme="minorHAnsi" w:cstheme="minorBidi"/>
      <w:b/>
      <w:bCs/>
      <w:kern w:val="44"/>
      <w:sz w:val="44"/>
      <w:szCs w:val="44"/>
    </w:rPr>
  </w:style>
  <w:style w:type="paragraph" w:customStyle="1" w:styleId="205">
    <w:name w:val="1.1标题"/>
    <w:basedOn w:val="3"/>
    <w:link w:val="207"/>
    <w:qFormat/>
    <w:uiPriority w:val="0"/>
    <w:pPr>
      <w:numPr>
        <w:numId w:val="3"/>
      </w:numPr>
      <w:tabs>
        <w:tab w:val="left" w:pos="426"/>
        <w:tab w:val="left" w:pos="576"/>
      </w:tabs>
      <w:spacing w:line="416" w:lineRule="auto"/>
    </w:pPr>
    <w:rPr>
      <w:rFonts w:asciiTheme="majorHAnsi" w:hAnsiTheme="majorHAnsi" w:eastAsiaTheme="majorEastAsia" w:cstheme="majorBidi"/>
      <w:szCs w:val="21"/>
    </w:rPr>
  </w:style>
  <w:style w:type="paragraph" w:customStyle="1" w:styleId="206">
    <w:name w:val="1.1.1标题"/>
    <w:basedOn w:val="4"/>
    <w:qFormat/>
    <w:uiPriority w:val="0"/>
    <w:pPr>
      <w:keepNext/>
      <w:keepLines/>
      <w:numPr>
        <w:numId w:val="3"/>
      </w:numPr>
      <w:adjustRightInd/>
      <w:spacing w:before="260" w:after="260" w:line="416" w:lineRule="auto"/>
      <w:jc w:val="both"/>
      <w:textAlignment w:val="auto"/>
    </w:pPr>
    <w:rPr>
      <w:rFonts w:asciiTheme="minorHAnsi" w:hAnsiTheme="minorHAnsi" w:cstheme="minorBidi"/>
      <w:bCs/>
      <w:kern w:val="2"/>
      <w:sz w:val="32"/>
      <w:szCs w:val="32"/>
    </w:rPr>
  </w:style>
  <w:style w:type="character" w:customStyle="1" w:styleId="207">
    <w:name w:val="1.1标题 字符"/>
    <w:basedOn w:val="104"/>
    <w:link w:val="205"/>
    <w:qFormat/>
    <w:uiPriority w:val="0"/>
    <w:rPr>
      <w:rFonts w:asciiTheme="majorHAnsi" w:hAnsiTheme="majorHAnsi" w:eastAsiaTheme="majorEastAsia" w:cstheme="majorBidi"/>
      <w:kern w:val="2"/>
      <w:sz w:val="32"/>
      <w:szCs w:val="21"/>
    </w:rPr>
  </w:style>
  <w:style w:type="paragraph" w:customStyle="1" w:styleId="208">
    <w:name w:val="1.1.1.1标题"/>
    <w:basedOn w:val="5"/>
    <w:qFormat/>
    <w:uiPriority w:val="0"/>
    <w:pPr>
      <w:keepNext/>
      <w:keepLines/>
      <w:numPr>
        <w:numId w:val="3"/>
      </w:numPr>
      <w:adjustRightInd/>
      <w:spacing w:before="280" w:after="290" w:line="376" w:lineRule="auto"/>
      <w:jc w:val="both"/>
      <w:textAlignment w:val="auto"/>
    </w:pPr>
    <w:rPr>
      <w:rFonts w:asciiTheme="majorHAnsi" w:hAnsiTheme="majorHAnsi" w:eastAsiaTheme="majorEastAsia" w:cstheme="majorBidi"/>
      <w:b/>
      <w:bCs/>
      <w:kern w:val="2"/>
      <w:sz w:val="28"/>
      <w:szCs w:val="28"/>
    </w:rPr>
  </w:style>
  <w:style w:type="character" w:customStyle="1" w:styleId="209">
    <w:name w:val="2级标题 Char"/>
    <w:link w:val="210"/>
    <w:qFormat/>
    <w:uiPriority w:val="0"/>
    <w:rPr>
      <w:rFonts w:ascii="黑体" w:hAnsi="黑体" w:eastAsia="黑体"/>
      <w:kern w:val="2"/>
      <w:sz w:val="21"/>
    </w:rPr>
  </w:style>
  <w:style w:type="paragraph" w:customStyle="1" w:styleId="210">
    <w:name w:val="2级标题"/>
    <w:basedOn w:val="1"/>
    <w:link w:val="209"/>
    <w:qFormat/>
    <w:uiPriority w:val="0"/>
    <w:pPr>
      <w:spacing w:line="360" w:lineRule="auto"/>
      <w:outlineLvl w:val="1"/>
    </w:pPr>
    <w:rPr>
      <w:rFonts w:ascii="黑体" w:hAnsi="黑体" w:eastAsia="黑体"/>
      <w:szCs w:val="20"/>
    </w:rPr>
  </w:style>
  <w:style w:type="character" w:customStyle="1" w:styleId="211">
    <w:name w:val="列出段落 字符"/>
    <w:qFormat/>
    <w:locked/>
    <w:uiPriority w:val="34"/>
    <w:rPr>
      <w:kern w:val="2"/>
      <w:sz w:val="21"/>
      <w:szCs w:val="22"/>
    </w:rPr>
  </w:style>
  <w:style w:type="paragraph" w:customStyle="1" w:styleId="212">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213">
    <w:name w:val="GEDI正文样式"/>
    <w:basedOn w:val="1"/>
    <w:link w:val="214"/>
    <w:qFormat/>
    <w:uiPriority w:val="0"/>
    <w:pPr>
      <w:adjustRightInd w:val="0"/>
      <w:snapToGrid w:val="0"/>
      <w:spacing w:line="480" w:lineRule="atLeast"/>
      <w:ind w:firstLine="480" w:firstLineChars="200"/>
    </w:pPr>
    <w:rPr>
      <w:kern w:val="0"/>
      <w:sz w:val="24"/>
    </w:rPr>
  </w:style>
  <w:style w:type="character" w:customStyle="1" w:styleId="214">
    <w:name w:val="GEDI正文样式 Char"/>
    <w:link w:val="213"/>
    <w:qFormat/>
    <w:uiPriority w:val="0"/>
    <w:rPr>
      <w:sz w:val="24"/>
      <w:szCs w:val="24"/>
    </w:rPr>
  </w:style>
  <w:style w:type="table" w:customStyle="1" w:styleId="215">
    <w:name w:val="网格型1"/>
    <w:basedOn w:val="44"/>
    <w:qFormat/>
    <w:uiPriority w:val="59"/>
    <w:rPr>
      <w:rFonts w:asciiTheme="minorHAnsi" w:hAnsiTheme="minorHAnsi" w:eastAsiaTheme="minorEastAsia" w:cstheme="minorBidi"/>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216">
    <w:name w:val="标题 5（有编号）（绿盟科技）"/>
    <w:basedOn w:val="1"/>
    <w:next w:val="217"/>
    <w:qFormat/>
    <w:uiPriority w:val="0"/>
    <w:pPr>
      <w:keepNext/>
      <w:keepLines/>
      <w:numPr>
        <w:ilvl w:val="4"/>
        <w:numId w:val="4"/>
      </w:numPr>
      <w:spacing w:before="280" w:after="156" w:line="377" w:lineRule="auto"/>
      <w:jc w:val="left"/>
      <w:outlineLvl w:val="4"/>
    </w:pPr>
    <w:rPr>
      <w:rFonts w:ascii="Arial" w:hAnsi="Arial" w:eastAsia="黑体"/>
      <w:b/>
      <w:sz w:val="24"/>
      <w:szCs w:val="28"/>
    </w:rPr>
  </w:style>
  <w:style w:type="paragraph" w:customStyle="1" w:styleId="217">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218">
    <w:name w:val="F1 Char"/>
    <w:link w:val="219"/>
    <w:qFormat/>
    <w:uiPriority w:val="0"/>
    <w:rPr>
      <w:rFonts w:ascii="EU-F1" w:hAnsi="Calibri" w:eastAsia="黑体" w:cs="黑体"/>
      <w:szCs w:val="22"/>
    </w:rPr>
  </w:style>
  <w:style w:type="paragraph" w:customStyle="1" w:styleId="219">
    <w:name w:val="F1"/>
    <w:basedOn w:val="1"/>
    <w:link w:val="218"/>
    <w:qFormat/>
    <w:uiPriority w:val="0"/>
    <w:pPr>
      <w:topLinePunct/>
      <w:spacing w:line="312" w:lineRule="exact"/>
    </w:pPr>
    <w:rPr>
      <w:rFonts w:ascii="EU-F1" w:hAnsi="Calibri" w:eastAsia="黑体" w:cs="黑体"/>
      <w:szCs w:val="22"/>
    </w:rPr>
  </w:style>
  <w:style w:type="paragraph" w:styleId="220">
    <w:name w:val="List Paragraph"/>
    <w:basedOn w:val="1"/>
    <w:link w:val="221"/>
    <w:qFormat/>
    <w:uiPriority w:val="34"/>
    <w:pPr>
      <w:widowControl/>
      <w:spacing w:line="348" w:lineRule="auto"/>
      <w:ind w:firstLine="420" w:firstLineChars="200"/>
    </w:pPr>
    <w:rPr>
      <w:rFonts w:ascii="仿宋_GB2312" w:hAnsi="Calibri" w:eastAsia="仿宋_GB2312"/>
      <w:sz w:val="24"/>
      <w:szCs w:val="28"/>
    </w:rPr>
  </w:style>
  <w:style w:type="character" w:customStyle="1" w:styleId="221">
    <w:name w:val="列表段落 字符"/>
    <w:link w:val="220"/>
    <w:qFormat/>
    <w:uiPriority w:val="34"/>
    <w:rPr>
      <w:rFonts w:ascii="仿宋_GB2312" w:hAnsi="Calibri" w:eastAsia="仿宋_GB2312"/>
      <w:kern w:val="2"/>
      <w:sz w:val="24"/>
      <w:szCs w:val="28"/>
    </w:rPr>
  </w:style>
  <w:style w:type="paragraph" w:styleId="22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23">
    <w:name w:val="图符 Char"/>
    <w:link w:val="224"/>
    <w:qFormat/>
    <w:uiPriority w:val="0"/>
    <w:rPr>
      <w:b/>
      <w:szCs w:val="21"/>
    </w:rPr>
  </w:style>
  <w:style w:type="paragraph" w:customStyle="1" w:styleId="224">
    <w:name w:val="图符"/>
    <w:basedOn w:val="1"/>
    <w:link w:val="223"/>
    <w:qFormat/>
    <w:uiPriority w:val="0"/>
    <w:pPr>
      <w:jc w:val="center"/>
    </w:pPr>
    <w:rPr>
      <w:b/>
      <w:kern w:val="0"/>
      <w:sz w:val="20"/>
      <w:szCs w:val="21"/>
    </w:rPr>
  </w:style>
  <w:style w:type="paragraph" w:customStyle="1" w:styleId="225">
    <w:name w:val="正文文本3"/>
    <w:basedOn w:val="1"/>
    <w:qFormat/>
    <w:uiPriority w:val="0"/>
    <w:rPr>
      <w:rFonts w:ascii="Calibri" w:hAnsi="Calibri"/>
      <w:sz w:val="28"/>
      <w:szCs w:val="22"/>
    </w:rPr>
  </w:style>
  <w:style w:type="character" w:customStyle="1" w:styleId="226">
    <w:name w:val="首行缩进 Char"/>
    <w:link w:val="54"/>
    <w:qFormat/>
    <w:uiPriority w:val="0"/>
    <w:rPr>
      <w:rFonts w:eastAsia="仿宋_GB2312"/>
      <w:kern w:val="2"/>
      <w:sz w:val="30"/>
      <w:szCs w:val="24"/>
    </w:rPr>
  </w:style>
  <w:style w:type="paragraph" w:customStyle="1" w:styleId="227">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228">
    <w:name w:val="font21"/>
    <w:basedOn w:val="46"/>
    <w:qFormat/>
    <w:uiPriority w:val="0"/>
    <w:rPr>
      <w:rFonts w:hint="default" w:ascii="Times New Roman" w:hAnsi="Times New Roman" w:cs="Times New Roman"/>
      <w:color w:val="000000"/>
      <w:sz w:val="21"/>
      <w:szCs w:val="21"/>
      <w:u w:val="none"/>
    </w:rPr>
  </w:style>
  <w:style w:type="character" w:customStyle="1" w:styleId="229">
    <w:name w:val="font31"/>
    <w:basedOn w:val="46"/>
    <w:qFormat/>
    <w:uiPriority w:val="0"/>
    <w:rPr>
      <w:rFonts w:hint="eastAsia" w:ascii="宋体" w:hAnsi="宋体" w:eastAsia="宋体" w:cs="宋体"/>
      <w:color w:val="000000"/>
      <w:sz w:val="21"/>
      <w:szCs w:val="21"/>
      <w:u w:val="none"/>
    </w:rPr>
  </w:style>
  <w:style w:type="character" w:customStyle="1" w:styleId="230">
    <w:name w:val="font11"/>
    <w:basedOn w:val="46"/>
    <w:qFormat/>
    <w:uiPriority w:val="0"/>
    <w:rPr>
      <w:rFonts w:hint="default" w:ascii="Times New Roman" w:hAnsi="Times New Roman" w:cs="Times New Roman"/>
      <w:color w:val="000000"/>
      <w:sz w:val="21"/>
      <w:szCs w:val="21"/>
      <w:u w:val="none"/>
      <w:vertAlign w:val="superscript"/>
    </w:rPr>
  </w:style>
  <w:style w:type="paragraph" w:customStyle="1" w:styleId="231">
    <w:name w:val="表内容"/>
    <w:qFormat/>
    <w:uiPriority w:val="0"/>
    <w:pPr>
      <w:jc w:val="center"/>
    </w:pPr>
    <w:rPr>
      <w:rFonts w:hint="eastAsia" w:ascii="Times New Roman" w:hAnsi="Times New Roman" w:eastAsia="宋体" w:cs="Times New Roman"/>
      <w:sz w:val="21"/>
      <w:szCs w:val="24"/>
      <w:lang w:val="en-US" w:eastAsia="zh-CN" w:bidi="ar-SA"/>
    </w:rPr>
  </w:style>
  <w:style w:type="paragraph" w:customStyle="1" w:styleId="232">
    <w:name w:val="表头"/>
    <w:qFormat/>
    <w:uiPriority w:val="0"/>
    <w:pPr>
      <w:jc w:val="center"/>
    </w:pPr>
    <w:rPr>
      <w:rFonts w:hint="eastAsia" w:ascii="Times New Roman" w:hAnsi="Times New Roman" w:eastAsia="宋体" w:cs="Times New Roman"/>
      <w:sz w:val="21"/>
      <w:szCs w:val="21"/>
      <w:lang w:val="en-US" w:eastAsia="zh-CN" w:bidi="ar-SA"/>
    </w:rPr>
  </w:style>
  <w:style w:type="character" w:customStyle="1" w:styleId="233">
    <w:name w:val="样式2 字符"/>
    <w:basedOn w:val="104"/>
    <w:link w:val="65"/>
    <w:qFormat/>
    <w:uiPriority w:val="0"/>
    <w:rPr>
      <w:rFonts w:ascii="Arial" w:hAnsi="Arial" w:eastAsia="黑体"/>
      <w:b w:val="0"/>
      <w:kern w:val="2"/>
      <w:sz w:val="18"/>
    </w:rPr>
  </w:style>
  <w:style w:type="paragraph" w:customStyle="1" w:styleId="234">
    <w:name w:val="00正文"/>
    <w:basedOn w:val="1"/>
    <w:qFormat/>
    <w:uiPriority w:val="0"/>
    <w:pPr>
      <w:spacing w:line="360" w:lineRule="auto"/>
      <w:ind w:firstLine="200" w:firstLineChars="200"/>
      <w:textAlignment w:val="center"/>
    </w:pPr>
    <w:rPr>
      <w:sz w:val="24"/>
    </w:rPr>
  </w:style>
  <w:style w:type="paragraph" w:customStyle="1" w:styleId="235">
    <w:name w:val="01级标题"/>
    <w:basedOn w:val="2"/>
    <w:qFormat/>
    <w:uiPriority w:val="0"/>
    <w:pPr>
      <w:pageBreakBefore/>
      <w:spacing w:before="120" w:after="120" w:line="360" w:lineRule="auto"/>
    </w:pPr>
    <w:rPr>
      <w:rFonts w:eastAsia="黑体" w:asciiTheme="minorHAnsi" w:hAnsiTheme="minorHAnsi" w:cstheme="minorBidi"/>
      <w:b w:val="0"/>
      <w:bCs/>
      <w:sz w:val="32"/>
      <w:szCs w:val="44"/>
    </w:rPr>
  </w:style>
  <w:style w:type="paragraph" w:customStyle="1" w:styleId="236">
    <w:name w:val="03级标题"/>
    <w:basedOn w:val="237"/>
    <w:qFormat/>
    <w:uiPriority w:val="0"/>
    <w:pPr>
      <w:numPr>
        <w:ilvl w:val="2"/>
      </w:numPr>
      <w:outlineLvl w:val="2"/>
    </w:pPr>
    <w:rPr>
      <w:rFonts w:asciiTheme="minorHAnsi" w:hAnsiTheme="minorHAnsi" w:cstheme="minorBidi"/>
      <w:sz w:val="24"/>
    </w:rPr>
  </w:style>
  <w:style w:type="paragraph" w:customStyle="1" w:styleId="237">
    <w:name w:val="02级标题"/>
    <w:basedOn w:val="1"/>
    <w:qFormat/>
    <w:uiPriority w:val="0"/>
    <w:pPr>
      <w:numPr>
        <w:ilvl w:val="1"/>
        <w:numId w:val="5"/>
      </w:numPr>
      <w:spacing w:before="120" w:after="120" w:line="360" w:lineRule="auto"/>
      <w:textAlignment w:val="center"/>
      <w:outlineLvl w:val="1"/>
    </w:pPr>
    <w:rPr>
      <w:rFonts w:eastAsia="黑体"/>
      <w:sz w:val="28"/>
    </w:rPr>
  </w:style>
  <w:style w:type="paragraph" w:customStyle="1" w:styleId="238">
    <w:name w:val="04级标题"/>
    <w:basedOn w:val="236"/>
    <w:qFormat/>
    <w:uiPriority w:val="0"/>
    <w:pPr>
      <w:numPr>
        <w:ilvl w:val="3"/>
      </w:numPr>
      <w:outlineLvl w:val="3"/>
    </w:pPr>
    <w:rPr>
      <w:rFonts w:eastAsiaTheme="minorEastAsia"/>
      <w:sz w:val="21"/>
      <w:szCs w:val="22"/>
    </w:rPr>
  </w:style>
  <w:style w:type="character" w:customStyle="1" w:styleId="239">
    <w:name w:val="font41"/>
    <w:basedOn w:val="46"/>
    <w:qFormat/>
    <w:uiPriority w:val="0"/>
    <w:rPr>
      <w:rFonts w:hint="eastAsia" w:ascii="宋体" w:hAnsi="宋体" w:eastAsia="宋体" w:cs="宋体"/>
      <w:b/>
      <w:bCs/>
      <w:color w:val="000000"/>
      <w:sz w:val="21"/>
      <w:szCs w:val="21"/>
      <w:u w:val="none"/>
    </w:rPr>
  </w:style>
  <w:style w:type="character" w:customStyle="1" w:styleId="240">
    <w:name w:val="font51"/>
    <w:basedOn w:val="46"/>
    <w:qFormat/>
    <w:uiPriority w:val="0"/>
    <w:rPr>
      <w:rFonts w:hint="eastAsia" w:ascii="宋体" w:hAnsi="宋体" w:eastAsia="宋体" w:cs="宋体"/>
      <w:color w:val="000000"/>
      <w:sz w:val="21"/>
      <w:szCs w:val="21"/>
      <w:u w:val="none"/>
    </w:rPr>
  </w:style>
  <w:style w:type="character" w:customStyle="1" w:styleId="241">
    <w:name w:val="font61"/>
    <w:basedOn w:val="46"/>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BA70D-8252-4255-B059-9A7A116E9CFB}">
  <ds:schemaRefs/>
</ds:datastoreItem>
</file>

<file path=docProps/app.xml><?xml version="1.0" encoding="utf-8"?>
<Properties xmlns="http://schemas.openxmlformats.org/officeDocument/2006/extended-properties" xmlns:vt="http://schemas.openxmlformats.org/officeDocument/2006/docPropsVTypes">
  <Template>Normal.dotm</Template>
  <Company>中国南方电网广东电网公司佛山供电局</Company>
  <Pages>14</Pages>
  <Words>1231</Words>
  <Characters>7019</Characters>
  <Lines>58</Lines>
  <Paragraphs>16</Paragraphs>
  <TotalTime>254</TotalTime>
  <ScaleCrop>false</ScaleCrop>
  <LinksUpToDate>false</LinksUpToDate>
  <CharactersWithSpaces>8234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2026-03-25T00:41:00Z</dcterms:created>
  <dc:creator>jxcrk</dc:creator>
  <cp:lastModifiedBy>E4299387985D136AE053064310AC0894</cp:lastModifiedBy>
  <cp:lastPrinted>2020-04-26T03:55:00Z</cp:lastPrinted>
  <dcterms:modified xsi:type="dcterms:W3CDTF">2026-03-25T06:32:15Z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GrammarlyDocumentId">
    <vt:lpwstr>0065fdfeaef91190bfea5035fec8143eedfca62d2adb1e504493a8c696b1542c</vt:lpwstr>
  </property>
  <property fmtid="{D5CDD505-2E9C-101B-9397-08002B2CF9AE}" pid="4" name="ICV">
    <vt:lpwstr>EE5F49B9FA01401286EE320F3EBD3DD1_13</vt:lpwstr>
  </property>
  <property fmtid="{D5CDD505-2E9C-101B-9397-08002B2CF9AE}" pid="5" name="KSOTemplateDocerSaveRecord">
    <vt:lpwstr>eyJoZGlkIjoiOGFjOWU3OWJlNzVmNzY0ZGZkYmM3ZTIwYWZjOTNhNzciLCJ1c2VySWQiOiI2NTI5NjIzMDEifQ==</vt:lpwstr>
  </property>
</Properties>
</file>